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8D9B604" w:rsidR="00D309CC" w:rsidRDefault="00D309CC" w:rsidP="00D46431">
      <w:pPr>
        <w:pStyle w:val="CH"/>
      </w:pPr>
      <w:bookmarkStart w:id="0" w:name="historyclause"/>
      <w:r w:rsidRPr="003C564B">
        <w:t>3GPP RAN</w:t>
      </w:r>
      <w:r w:rsidR="00CF20E3" w:rsidRPr="003C564B">
        <w:t xml:space="preserve"> </w:t>
      </w:r>
      <w:r w:rsidRPr="003C564B">
        <w:t>WG</w:t>
      </w:r>
      <w:r w:rsidR="003D7AA8">
        <w:t>2</w:t>
      </w:r>
      <w:r w:rsidRPr="003C564B">
        <w:t xml:space="preserve"> Meeting #</w:t>
      </w:r>
      <w:r w:rsidR="003D7AA8">
        <w:t>107bis</w:t>
      </w:r>
      <w:r>
        <w:tab/>
      </w:r>
      <w:r w:rsidR="00D46431">
        <w:tab/>
      </w:r>
      <w:r w:rsidRPr="00447117">
        <w:t>R</w:t>
      </w:r>
      <w:r w:rsidR="00313F1B" w:rsidRPr="00447117">
        <w:t>2</w:t>
      </w:r>
      <w:r w:rsidRPr="00447117">
        <w:t>-</w:t>
      </w:r>
      <w:r w:rsidR="00692656" w:rsidRPr="00447117">
        <w:t>1913383</w:t>
      </w:r>
    </w:p>
    <w:p w14:paraId="50DC9730" w14:textId="3E125654" w:rsidR="00D309CC" w:rsidRPr="00FD166F" w:rsidRDefault="003D7AA8" w:rsidP="00D46431">
      <w:pPr>
        <w:pStyle w:val="CH"/>
        <w:tabs>
          <w:tab w:val="clear" w:pos="7920"/>
        </w:tabs>
        <w:rPr>
          <w:b w:val="0"/>
        </w:rPr>
      </w:pPr>
      <w:r w:rsidRPr="00B070F5">
        <w:t xml:space="preserve">Chongqing, China, 14 – </w:t>
      </w:r>
      <w:r>
        <w:t>18</w:t>
      </w:r>
      <w:r w:rsidRPr="00B070F5">
        <w:t>th October 2019</w:t>
      </w:r>
      <w:r w:rsidR="00D46431">
        <w:tab/>
      </w:r>
    </w:p>
    <w:p w14:paraId="39A0EE25" w14:textId="77777777" w:rsidR="00D309CC" w:rsidRDefault="00D309CC" w:rsidP="00D309CC">
      <w:pPr>
        <w:tabs>
          <w:tab w:val="left" w:pos="2160"/>
        </w:tabs>
        <w:rPr>
          <w:rFonts w:ascii="Arial" w:hAnsi="Arial" w:cs="Arial"/>
          <w:b/>
        </w:rPr>
      </w:pPr>
    </w:p>
    <w:p w14:paraId="6DDCE159" w14:textId="132886BB" w:rsidR="00D309CC" w:rsidRPr="0008103A" w:rsidRDefault="00D309CC" w:rsidP="00D309CC">
      <w:pPr>
        <w:pStyle w:val="CH"/>
        <w:rPr>
          <w:b w:val="0"/>
        </w:rPr>
      </w:pPr>
      <w:r w:rsidRPr="0008103A">
        <w:t>Agenda item:</w:t>
      </w:r>
      <w:r>
        <w:tab/>
      </w:r>
      <w:r w:rsidR="00692656">
        <w:t>5.4.4</w:t>
      </w:r>
    </w:p>
    <w:p w14:paraId="4DBE005A" w14:textId="26B39481" w:rsidR="00D309CC" w:rsidRPr="0008103A" w:rsidRDefault="00D309CC" w:rsidP="00D309CC">
      <w:pPr>
        <w:pStyle w:val="CH"/>
        <w:rPr>
          <w:b w:val="0"/>
        </w:rPr>
      </w:pPr>
      <w:r>
        <w:t>Source:</w:t>
      </w:r>
      <w:r>
        <w:tab/>
        <w:t>Apple</w:t>
      </w:r>
      <w:r w:rsidR="003D7AA8">
        <w:t xml:space="preserve"> Inc.</w:t>
      </w:r>
    </w:p>
    <w:p w14:paraId="0D2061A1" w14:textId="485E1EF7" w:rsidR="00D309CC" w:rsidRDefault="00D309CC" w:rsidP="00776039">
      <w:pPr>
        <w:pStyle w:val="CH"/>
        <w:ind w:left="2260" w:hanging="2260"/>
      </w:pPr>
      <w:r w:rsidRPr="0008103A">
        <w:t>Title:</w:t>
      </w:r>
      <w:r w:rsidRPr="0008103A">
        <w:tab/>
      </w:r>
      <w:r w:rsidR="00EC55C0" w:rsidRPr="00EC55C0">
        <w:t>Handling of fallbacks for combined contiguous and non-contiguous CA in FR2</w:t>
      </w:r>
    </w:p>
    <w:p w14:paraId="2E4E044D" w14:textId="45394524" w:rsidR="00D309CC" w:rsidRDefault="00D309CC" w:rsidP="00D309CC">
      <w:pPr>
        <w:pStyle w:val="CH"/>
      </w:pPr>
      <w:r>
        <w:t>Document for:</w:t>
      </w:r>
      <w:r>
        <w:tab/>
      </w:r>
      <w:r w:rsidR="0009755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6C858D5F" w:rsidR="008E7986" w:rsidRDefault="009332B0" w:rsidP="008E7986">
      <w:r>
        <w:t>During the RAN4#92 meeting, an issue was raised in [1] that there are</w:t>
      </w:r>
      <w:r w:rsidR="00776039">
        <w:t xml:space="preserve"> </w:t>
      </w:r>
      <w:r w:rsidR="004E350F">
        <w:t xml:space="preserve">many </w:t>
      </w:r>
      <w:r w:rsidR="00776039">
        <w:t>combinations of intra-band contiguous and non-contiguous CA configurations</w:t>
      </w:r>
      <w:r>
        <w:t>, especially in FR2</w:t>
      </w:r>
      <w:r w:rsidR="004E350F">
        <w:t xml:space="preserve">. Generating all possible fallbacks for these combinations </w:t>
      </w:r>
      <w:r>
        <w:t>adds</w:t>
      </w:r>
      <w:r w:rsidR="004E350F">
        <w:t xml:space="preserve"> a huge amount of new combinations, </w:t>
      </w:r>
      <w:r>
        <w:t>and</w:t>
      </w:r>
      <w:r w:rsidR="004E350F">
        <w:t xml:space="preserve"> many fallbacks for the existing combinations are missing in the spec. </w:t>
      </w:r>
      <w:r>
        <w:t>Thus, it was agreed further by RAN WG4 to add the corresponding clarification to Rel-15 TS 38.101-2 [2] and TS 38.101-3 [3] that "</w:t>
      </w:r>
      <w:r w:rsidRPr="009332B0">
        <w:rPr>
          <w:i/>
          <w:iCs/>
        </w:rPr>
        <w:t>a UE is not required to support all possible fallback combinations but can directly fall back to a single FR2 carrier</w:t>
      </w:r>
      <w:r>
        <w:t>"</w:t>
      </w:r>
      <w:r w:rsidRPr="009332B0">
        <w:t>.</w:t>
      </w:r>
      <w:r>
        <w:t xml:space="preserve"> In addition </w:t>
      </w:r>
      <w:r w:rsidR="003A2259">
        <w:t xml:space="preserve">to </w:t>
      </w:r>
      <w:r>
        <w:t>it, RAN WG4 sent an LS [4] asking RAN WG2 to check signalling to avoid</w:t>
      </w:r>
      <w:r w:rsidRPr="009332B0">
        <w:t xml:space="preserve"> mandating support of all possible fallback</w:t>
      </w:r>
      <w:r>
        <w:t xml:space="preserve"> combinations.</w:t>
      </w:r>
    </w:p>
    <w:p w14:paraId="5FD1821E" w14:textId="77777777" w:rsidR="00A13BC0" w:rsidRDefault="008E7986" w:rsidP="008E7986">
      <w:pPr>
        <w:pStyle w:val="Heading1"/>
      </w:pPr>
      <w:r>
        <w:t>2</w:t>
      </w:r>
      <w:r>
        <w:tab/>
      </w:r>
      <w:r w:rsidR="004E350F">
        <w:t>Fallbacks of contiguous/non-contiguous CA in FR2</w:t>
      </w:r>
    </w:p>
    <w:p w14:paraId="3A67921B" w14:textId="193967A6" w:rsidR="008E7986" w:rsidRDefault="00A13BC0" w:rsidP="00A13BC0">
      <w:pPr>
        <w:pStyle w:val="Heading2"/>
      </w:pPr>
      <w:r>
        <w:t>2.1</w:t>
      </w:r>
      <w:r>
        <w:tab/>
        <w:t>Background</w:t>
      </w:r>
      <w:r w:rsidR="008E7986">
        <w:t xml:space="preserve"> </w:t>
      </w:r>
    </w:p>
    <w:p w14:paraId="7BCCB13D" w14:textId="560A590F" w:rsidR="00EF7BF5" w:rsidRDefault="00776039" w:rsidP="00776039">
      <w:r>
        <w:t>In the E-UTRA specs it was introduced that a UE needs to support all fallbacks for the supported CA combinations</w:t>
      </w:r>
      <w:r w:rsidRPr="0009755D">
        <w:t>.</w:t>
      </w:r>
      <w:r>
        <w:t xml:space="preserve"> </w:t>
      </w:r>
      <w:r w:rsidR="008A7428">
        <w:t>The same approach has been g</w:t>
      </w:r>
      <w:r>
        <w:t>enerally used also for NR, however, there are many more complicated combinations in NR</w:t>
      </w:r>
      <w:r w:rsidR="008A7428">
        <w:t xml:space="preserve"> </w:t>
      </w:r>
      <w:r>
        <w:t xml:space="preserve">especially within FR2. Fallback groups have been defined to mitigate this a bit by not mandating fallbacks outside the fallback group. However, </w:t>
      </w:r>
      <w:r w:rsidR="008A7428">
        <w:t xml:space="preserve">there are certain CA combinations in </w:t>
      </w:r>
      <w:r>
        <w:t>in FR2</w:t>
      </w:r>
      <w:r w:rsidR="008A7428">
        <w:t>,</w:t>
      </w:r>
      <w:r>
        <w:t xml:space="preserve"> which are a combination of contiguous and non-contiguous CA</w:t>
      </w:r>
      <w:r w:rsidR="008A7428">
        <w:t>; and</w:t>
      </w:r>
      <w:r>
        <w:t xml:space="preserve"> these </w:t>
      </w:r>
      <w:r w:rsidR="004E350F">
        <w:t>CA combinations c</w:t>
      </w:r>
      <w:r>
        <w:t>an also be part of EN-DC</w:t>
      </w:r>
      <w:r w:rsidR="004E350F">
        <w:t>/NE-DC</w:t>
      </w:r>
      <w:r>
        <w:t xml:space="preserve"> combinations. </w:t>
      </w:r>
      <w:r w:rsidR="00A807DA">
        <w:t xml:space="preserve">Examples are all the combinations which have dashes within the bandwidth class part or have multiple blocks of contiguous carriers like CA_n260(2O), CA_n260(H-I), CA_n260(2A-2O-Q). </w:t>
      </w:r>
      <w:r>
        <w:t xml:space="preserve">While we have fallback groups for contiguous CA, fallback groups or other limitations of fallbacks are missing for combinations of contiguous and non-contiguous fallbacks. </w:t>
      </w:r>
      <w:r w:rsidR="00EF7BF5">
        <w:t>Currently this sentence on fallbacks is in 38.101-3:</w:t>
      </w:r>
    </w:p>
    <w:p w14:paraId="1BEA99A8" w14:textId="66078058" w:rsidR="00EF7BF5" w:rsidRPr="00EF7BF5" w:rsidRDefault="00EF7BF5" w:rsidP="00EF7BF5">
      <w:pPr>
        <w:pStyle w:val="NormalWeb"/>
        <w:rPr>
          <w:i/>
          <w:lang w:val="en-US"/>
        </w:rPr>
      </w:pPr>
      <w:r w:rsidRPr="00EF7BF5">
        <w:rPr>
          <w:i/>
          <w:lang w:val="en-US"/>
        </w:rPr>
        <w:t>“</w:t>
      </w:r>
      <w:r w:rsidRPr="00EF7BF5">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2FA7577E" w14:textId="3D6A3C96" w:rsidR="00776039" w:rsidRDefault="00EF7BF5" w:rsidP="00776039">
      <w:r>
        <w:t>This sentence does</w:t>
      </w:r>
      <w:r w:rsidR="008A7428">
        <w:t xml:space="preserve"> </w:t>
      </w:r>
      <w:r>
        <w:t>n</w:t>
      </w:r>
      <w:r w:rsidR="008A7428">
        <w:t>o</w:t>
      </w:r>
      <w:r>
        <w:t xml:space="preserve">t clearly say how the fallbacks are generated and which combination is considered a fallback. </w:t>
      </w:r>
      <w:r w:rsidR="00776039">
        <w:t>Therefore</w:t>
      </w:r>
      <w:r w:rsidR="008A7428">
        <w:t>,</w:t>
      </w:r>
      <w:r w:rsidR="00776039">
        <w:t xml:space="preserve"> it is unclear which fallbacks are to be supported and which not. Also</w:t>
      </w:r>
      <w:r w:rsidR="008A7428">
        <w:t>,</w:t>
      </w:r>
      <w:r w:rsidR="00776039">
        <w:t xml:space="preserve"> </w:t>
      </w:r>
      <w:r>
        <w:t xml:space="preserve">assuming all combinations </w:t>
      </w:r>
      <w:r w:rsidR="000E1AFC">
        <w:t xml:space="preserve">as fallbacks </w:t>
      </w:r>
      <w:r>
        <w:t xml:space="preserve">that result from removing one carrier after the next results </w:t>
      </w:r>
      <w:r w:rsidR="00776039">
        <w:t xml:space="preserve">in a huge number of additional combinations, that </w:t>
      </w:r>
      <w:r>
        <w:t xml:space="preserve">would </w:t>
      </w:r>
      <w:r w:rsidR="00776039">
        <w:t>need to be supported</w:t>
      </w:r>
      <w:r>
        <w:t xml:space="preserve"> in the spec and in the UE. In the current specs many of these fallbacks are missing.</w:t>
      </w:r>
    </w:p>
    <w:p w14:paraId="4A44A0EE" w14:textId="1C1C292D" w:rsidR="0009755D" w:rsidRPr="0009755D" w:rsidRDefault="00EF7BF5" w:rsidP="00E72324">
      <w:pPr>
        <w:rPr>
          <w:lang w:val="en-US"/>
        </w:rPr>
      </w:pPr>
      <w:r>
        <w:t xml:space="preserve">One relatively simple example of such a combination is DC_2A_n261(H-I). </w:t>
      </w:r>
      <w:r w:rsidR="00A13BC0">
        <w:t>However,</w:t>
      </w:r>
      <w:r>
        <w:t xml:space="preserve"> already this simple example generates </w:t>
      </w:r>
      <w:r w:rsidR="00DC06ED">
        <w:t xml:space="preserve">a fallback tree with </w:t>
      </w:r>
      <w:r>
        <w:t>12 fallbacks</w:t>
      </w:r>
      <w:r w:rsidR="00A13BC0">
        <w:t>,</w:t>
      </w:r>
      <w:r w:rsidR="00DC06ED">
        <w:t xml:space="preserve"> </w:t>
      </w:r>
      <w:r w:rsidR="00A13BC0">
        <w:rPr>
          <w:lang w:val="en-US"/>
        </w:rPr>
        <w:t>as</w:t>
      </w:r>
      <w:r w:rsidR="00B03B5E">
        <w:rPr>
          <w:lang w:val="en-US"/>
        </w:rPr>
        <w:t xml:space="preserve"> shown in figure 1:</w:t>
      </w:r>
    </w:p>
    <w:p w14:paraId="7228DA19" w14:textId="1267635C" w:rsidR="00E72324" w:rsidRDefault="004E350F" w:rsidP="00E72324">
      <w:pPr>
        <w:rPr>
          <w:lang w:val="en-US"/>
        </w:rPr>
      </w:pPr>
      <w:r w:rsidRPr="004E350F">
        <w:rPr>
          <w:noProof/>
          <w:lang w:val="en-US" w:eastAsia="zh-CN"/>
        </w:rPr>
        <w:drawing>
          <wp:inline distT="0" distB="0" distL="0" distR="0" wp14:anchorId="235B6B35" wp14:editId="77829A3A">
            <wp:extent cx="6659058" cy="104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p>
    <w:p w14:paraId="7BC388E8" w14:textId="6BD46FDB" w:rsidR="00B03B5E" w:rsidRDefault="00B03B5E" w:rsidP="00B03B5E">
      <w:pPr>
        <w:pStyle w:val="TF"/>
      </w:pPr>
      <w:r w:rsidRPr="004D3578">
        <w:t xml:space="preserve">Figure 1: </w:t>
      </w:r>
      <w:r w:rsidR="004E350F">
        <w:t>Fallback tree for DC_2A_n261(H-I)</w:t>
      </w:r>
      <w:r w:rsidRPr="004D3578">
        <w:t xml:space="preserve"> </w:t>
      </w:r>
    </w:p>
    <w:p w14:paraId="5054B353" w14:textId="0CC6C636" w:rsidR="00F97B58" w:rsidRDefault="00DC06ED" w:rsidP="00F97B58">
      <w:r>
        <w:rPr>
          <w:lang w:val="en-US"/>
        </w:rPr>
        <w:lastRenderedPageBreak/>
        <w:t xml:space="preserve">There are much more complicated CA combinations that will create many more combinations like </w:t>
      </w:r>
      <w:r w:rsidRPr="00DC06ED">
        <w:rPr>
          <w:lang w:val="en-US"/>
        </w:rPr>
        <w:t>CA_n260(2A-2O-Q)</w:t>
      </w:r>
      <w:r>
        <w:rPr>
          <w:lang w:val="en-US"/>
        </w:rPr>
        <w:t xml:space="preserve"> and there are many of these combinations</w:t>
      </w:r>
      <w:r w:rsidR="009F6F20">
        <w:t>.</w:t>
      </w:r>
      <w:r w:rsidR="00EA6F9B">
        <w:t xml:space="preserve"> For </w:t>
      </w:r>
      <w:r w:rsidR="00EA6F9B" w:rsidRPr="00DC06ED">
        <w:rPr>
          <w:lang w:val="en-US"/>
        </w:rPr>
        <w:t>CA_n260(2A-2O-Q)</w:t>
      </w:r>
      <w:r w:rsidR="00EA6F9B">
        <w:rPr>
          <w:lang w:val="en-US"/>
        </w:rPr>
        <w:t xml:space="preserve"> figure 2 shows the fallback tree with 46 unique fallback combinations (all duplicates already removed). This combination is already in 38.101, however, most of these  fallbacks are missing.</w:t>
      </w:r>
      <w:r w:rsidR="00627C37">
        <w:rPr>
          <w:lang w:val="en-US"/>
        </w:rPr>
        <w:t xml:space="preserve"> Figure 3 shows a visualization of what </w:t>
      </w:r>
      <w:r w:rsidR="00627C37" w:rsidRPr="00DC06ED">
        <w:rPr>
          <w:lang w:val="en-US"/>
        </w:rPr>
        <w:t>CA_n260(2A-2O-Q)</w:t>
      </w:r>
      <w:r w:rsidR="00627C37">
        <w:rPr>
          <w:lang w:val="en-US"/>
        </w:rPr>
        <w:t xml:space="preserve"> means.</w:t>
      </w:r>
    </w:p>
    <w:p w14:paraId="528DAD3E" w14:textId="7A3C5FBD" w:rsidR="00EA6F9B" w:rsidRDefault="00EA6F9B" w:rsidP="00F97B58">
      <w:pPr>
        <w:rPr>
          <w:lang w:val="en-US"/>
        </w:rPr>
      </w:pPr>
      <w:r w:rsidRPr="00EA6F9B">
        <w:rPr>
          <w:noProof/>
          <w:lang w:val="en-US" w:eastAsia="zh-CN"/>
        </w:rPr>
        <w:drawing>
          <wp:inline distT="0" distB="0" distL="0" distR="0" wp14:anchorId="7931C12E" wp14:editId="54389A50">
            <wp:extent cx="6714702" cy="273296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4430" cy="2745061"/>
                    </a:xfrm>
                    <a:prstGeom prst="rect">
                      <a:avLst/>
                    </a:prstGeom>
                  </pic:spPr>
                </pic:pic>
              </a:graphicData>
            </a:graphic>
          </wp:inline>
        </w:drawing>
      </w:r>
    </w:p>
    <w:p w14:paraId="3C13EA69" w14:textId="117D69E2" w:rsidR="00EA6F9B" w:rsidRDefault="00EA6F9B" w:rsidP="00EA6F9B">
      <w:pPr>
        <w:pStyle w:val="TF"/>
      </w:pPr>
      <w:r w:rsidRPr="004D3578">
        <w:t xml:space="preserve">Figure </w:t>
      </w:r>
      <w:r w:rsidR="00627C37">
        <w:t>2</w:t>
      </w:r>
      <w:r w:rsidRPr="004D3578">
        <w:t xml:space="preserve">: </w:t>
      </w:r>
      <w:r>
        <w:t xml:space="preserve">Fallback tree for </w:t>
      </w:r>
      <w:r w:rsidRPr="00DC06ED">
        <w:rPr>
          <w:lang w:val="en-US"/>
        </w:rPr>
        <w:t>CA_n260(2A-2O-Q)</w:t>
      </w:r>
      <w:r w:rsidRPr="004D3578">
        <w:t xml:space="preserve"> </w:t>
      </w:r>
    </w:p>
    <w:p w14:paraId="38D845EE" w14:textId="2B90178D" w:rsidR="00EA6F9B" w:rsidRPr="00EA6F9B" w:rsidRDefault="00627C37" w:rsidP="00F97B58">
      <w:r w:rsidRPr="00627C37">
        <w:rPr>
          <w:noProof/>
          <w:lang w:val="en-US" w:eastAsia="zh-CN"/>
        </w:rPr>
        <w:drawing>
          <wp:inline distT="0" distB="0" distL="0" distR="0" wp14:anchorId="51E433E5" wp14:editId="575970BB">
            <wp:extent cx="6122035" cy="30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29600" cy="338611"/>
                    </a:xfrm>
                    <a:prstGeom prst="rect">
                      <a:avLst/>
                    </a:prstGeom>
                  </pic:spPr>
                </pic:pic>
              </a:graphicData>
            </a:graphic>
          </wp:inline>
        </w:drawing>
      </w:r>
    </w:p>
    <w:p w14:paraId="3642F966" w14:textId="717CF88C" w:rsidR="00627C37" w:rsidRDefault="00627C37" w:rsidP="00627C37">
      <w:pPr>
        <w:pStyle w:val="TF"/>
      </w:pPr>
      <w:r w:rsidRPr="004D3578">
        <w:t xml:space="preserve">Figure </w:t>
      </w:r>
      <w:r>
        <w:t>3</w:t>
      </w:r>
      <w:r w:rsidRPr="004D3578">
        <w:t xml:space="preserve">: </w:t>
      </w:r>
      <w:r>
        <w:t xml:space="preserve">Visualization of CA combination </w:t>
      </w:r>
      <w:r w:rsidRPr="00DC06ED">
        <w:rPr>
          <w:lang w:val="en-US"/>
        </w:rPr>
        <w:t>CA_n260(2A-2O-Q)</w:t>
      </w:r>
      <w:r w:rsidRPr="004D3578">
        <w:t xml:space="preserve"> </w:t>
      </w:r>
    </w:p>
    <w:p w14:paraId="6D55C575" w14:textId="1A9DE1FF" w:rsidR="00A13BC0" w:rsidRDefault="00A13BC0" w:rsidP="00A13BC0">
      <w:r>
        <w:t>Usually</w:t>
      </w:r>
      <w:r w:rsidR="00DB5A6B">
        <w:t>,</w:t>
      </w:r>
      <w:r>
        <w:t xml:space="preserve"> </w:t>
      </w:r>
      <w:r w:rsidR="00DB5A6B">
        <w:t>an</w:t>
      </w:r>
      <w:r>
        <w:t xml:space="preserve"> operator requesting </w:t>
      </w:r>
      <w:r w:rsidR="00DB5A6B">
        <w:t>a particular</w:t>
      </w:r>
      <w:r>
        <w:t xml:space="preserve"> </w:t>
      </w:r>
      <w:r w:rsidR="00DB5A6B">
        <w:t xml:space="preserve">band </w:t>
      </w:r>
      <w:r>
        <w:t xml:space="preserve">combination is just interested in the original combination. Of course, there should be a possibility not to use some of the carriers, and this can always be done by deactivating one or more carriers of a combination. Nevertheless, it seems that </w:t>
      </w:r>
      <w:r w:rsidR="00DB5A6B">
        <w:t>supporting</w:t>
      </w:r>
      <w:r>
        <w:t xml:space="preserve"> </w:t>
      </w:r>
      <w:r w:rsidR="00DB5A6B">
        <w:t>all</w:t>
      </w:r>
      <w:r>
        <w:t xml:space="preserve"> the fallback combinations as stand-alone combinations is not needed in real network deployments. </w:t>
      </w:r>
    </w:p>
    <w:p w14:paraId="6E7139BA" w14:textId="687EC96B" w:rsidR="00B03B5E" w:rsidRPr="00FE44D7" w:rsidRDefault="00B03B5E" w:rsidP="00A13BC0">
      <w:pPr>
        <w:pStyle w:val="Observation"/>
        <w:rPr>
          <w:rFonts w:asciiTheme="minorHAnsi" w:eastAsiaTheme="minorEastAsia" w:hAnsiTheme="minorHAnsi" w:cstheme="minorBidi"/>
          <w:b/>
          <w:bCs/>
          <w:noProof/>
          <w:sz w:val="24"/>
          <w:szCs w:val="24"/>
          <w:lang w:val="en-US"/>
        </w:rPr>
      </w:pPr>
      <w:r>
        <w:rPr>
          <w:noProof/>
        </w:rPr>
        <w:t>Observation 1</w:t>
      </w:r>
      <w:r w:rsidR="003448DD">
        <w:rPr>
          <w:noProof/>
        </w:rPr>
        <w:t>a</w:t>
      </w:r>
      <w:r>
        <w:rPr>
          <w:noProof/>
        </w:rPr>
        <w:t>:</w:t>
      </w:r>
      <w:r w:rsidRPr="00FE44D7">
        <w:rPr>
          <w:rFonts w:asciiTheme="minorHAnsi" w:eastAsiaTheme="minorEastAsia" w:hAnsiTheme="minorHAnsi" w:cstheme="minorBidi"/>
          <w:noProof/>
          <w:sz w:val="24"/>
          <w:szCs w:val="24"/>
          <w:lang w:val="en-US"/>
        </w:rPr>
        <w:tab/>
      </w:r>
      <w:r w:rsidR="00EA6F9B">
        <w:rPr>
          <w:noProof/>
        </w:rPr>
        <w:t>Especially FR2 combinations with combined contiguous and non-contiguous intra-band CA generate a huge amount of fallback combinations</w:t>
      </w:r>
      <w:r w:rsidR="00A13BC0">
        <w:rPr>
          <w:noProof/>
        </w:rPr>
        <w:t>.</w:t>
      </w:r>
    </w:p>
    <w:p w14:paraId="3A203B3E" w14:textId="048A0050" w:rsidR="00EA6F9B" w:rsidRPr="00A13BC0" w:rsidRDefault="00E8127C" w:rsidP="00A13BC0">
      <w:pPr>
        <w:pStyle w:val="Observation"/>
        <w:rPr>
          <w:rFonts w:asciiTheme="minorHAnsi" w:eastAsiaTheme="minorEastAsia" w:hAnsiTheme="minorHAnsi" w:cstheme="minorBidi"/>
          <w:b/>
          <w:bCs/>
          <w:noProof/>
          <w:sz w:val="24"/>
          <w:szCs w:val="24"/>
          <w:lang w:val="en-US"/>
        </w:rPr>
      </w:pPr>
      <w:r>
        <w:rPr>
          <w:noProof/>
        </w:rPr>
        <w:t xml:space="preserve">Observation </w:t>
      </w:r>
      <w:r w:rsidR="003448DD">
        <w:rPr>
          <w:noProof/>
        </w:rPr>
        <w:t>1b</w:t>
      </w:r>
      <w:r>
        <w:rPr>
          <w:noProof/>
        </w:rPr>
        <w:t>:</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r w:rsidR="00A13BC0">
        <w:rPr>
          <w:noProof/>
        </w:rPr>
        <w:t>.</w:t>
      </w:r>
    </w:p>
    <w:p w14:paraId="4A0F41EB" w14:textId="5D86EBD4" w:rsidR="00E8127C" w:rsidRPr="00FE44D7" w:rsidRDefault="00E8127C" w:rsidP="00A13BC0">
      <w:pPr>
        <w:pStyle w:val="Observation"/>
        <w:rPr>
          <w:rFonts w:asciiTheme="minorHAnsi" w:eastAsiaTheme="minorEastAsia" w:hAnsiTheme="minorHAnsi" w:cstheme="minorBidi"/>
          <w:b/>
          <w:bCs/>
          <w:noProof/>
          <w:sz w:val="24"/>
          <w:szCs w:val="24"/>
          <w:lang w:val="en-US"/>
        </w:rPr>
      </w:pPr>
      <w:r>
        <w:rPr>
          <w:noProof/>
        </w:rPr>
        <w:t xml:space="preserve">Observation </w:t>
      </w:r>
      <w:r w:rsidR="003448DD">
        <w:rPr>
          <w:noProof/>
        </w:rPr>
        <w:t>1c</w:t>
      </w:r>
      <w:r>
        <w:rPr>
          <w:noProof/>
        </w:rPr>
        <w:t>:</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r w:rsidR="00A13BC0">
        <w:rPr>
          <w:noProof/>
        </w:rPr>
        <w:t>.</w:t>
      </w:r>
    </w:p>
    <w:p w14:paraId="12E26451" w14:textId="531879F1" w:rsidR="00E8127C" w:rsidRPr="00E8127C" w:rsidRDefault="00E8127C" w:rsidP="00EA6F9B">
      <w:pPr>
        <w:rPr>
          <w:lang w:val="en-US"/>
        </w:rPr>
      </w:pPr>
      <w:r>
        <w:rPr>
          <w:lang w:val="en-US"/>
        </w:rPr>
        <w:t>Due to these observations</w:t>
      </w:r>
      <w:r w:rsidR="00DB5A6B">
        <w:rPr>
          <w:lang w:val="en-US"/>
        </w:rPr>
        <w:t>, RAN WG4 discussed and agreed</w:t>
      </w:r>
      <w:r>
        <w:rPr>
          <w:lang w:val="en-US"/>
        </w:rPr>
        <w:t xml:space="preserve"> to</w:t>
      </w:r>
      <w:r w:rsidR="00627C37">
        <w:rPr>
          <w:lang w:val="en-US"/>
        </w:rPr>
        <w:t xml:space="preserve"> modify </w:t>
      </w:r>
      <w:r w:rsidR="00DB5A6B">
        <w:rPr>
          <w:lang w:val="en-US"/>
        </w:rPr>
        <w:t>fallback</w:t>
      </w:r>
      <w:r w:rsidR="00627C37">
        <w:rPr>
          <w:lang w:val="en-US"/>
        </w:rPr>
        <w:t xml:space="preserve"> requirement</w:t>
      </w:r>
      <w:r w:rsidR="00DB5A6B">
        <w:rPr>
          <w:lang w:val="en-US"/>
        </w:rPr>
        <w:t>s</w:t>
      </w:r>
      <w:r w:rsidR="00627C37">
        <w:rPr>
          <w:lang w:val="en-US"/>
        </w:rPr>
        <w:t xml:space="preserve"> in the specification in such a way that fallbacks of combined contiguous and non-contiguous FR2 intra-band combinations are allowed to directly fallback to </w:t>
      </w:r>
      <w:r w:rsidR="00E214B7">
        <w:rPr>
          <w:lang w:val="en-US"/>
        </w:rPr>
        <w:t xml:space="preserve">bandwidth class </w:t>
      </w:r>
      <w:r w:rsidR="003448DD">
        <w:rPr>
          <w:lang w:val="en-US"/>
        </w:rPr>
        <w:t>"</w:t>
      </w:r>
      <w:r w:rsidR="00E214B7">
        <w:rPr>
          <w:lang w:val="en-US"/>
        </w:rPr>
        <w:t>A</w:t>
      </w:r>
      <w:r w:rsidR="003448DD">
        <w:rPr>
          <w:lang w:val="en-US"/>
        </w:rPr>
        <w:t>"</w:t>
      </w:r>
      <w:r w:rsidR="00E214B7">
        <w:rPr>
          <w:lang w:val="en-US"/>
        </w:rPr>
        <w:t>. As said above, this does</w:t>
      </w:r>
      <w:r w:rsidR="00A13BC0">
        <w:rPr>
          <w:lang w:val="en-US"/>
        </w:rPr>
        <w:t xml:space="preserve"> </w:t>
      </w:r>
      <w:r w:rsidR="00E214B7">
        <w:rPr>
          <w:lang w:val="en-US"/>
        </w:rPr>
        <w:t>n</w:t>
      </w:r>
      <w:r w:rsidR="00A13BC0">
        <w:rPr>
          <w:lang w:val="en-US"/>
        </w:rPr>
        <w:t>o</w:t>
      </w:r>
      <w:r w:rsidR="00E214B7">
        <w:rPr>
          <w:lang w:val="en-US"/>
        </w:rPr>
        <w:t xml:space="preserve">t mean that some carriers of the original combination cannot be deactivated, but the fallbacks cannot be used as a stand-alone combination. </w:t>
      </w:r>
      <w:r w:rsidR="00DB5A6B">
        <w:rPr>
          <w:lang w:val="en-US"/>
        </w:rPr>
        <w:t xml:space="preserve">The corresponding CR were agreed in [2] and [3], in which the following clarification was captured. </w:t>
      </w:r>
    </w:p>
    <w:p w14:paraId="62E2E073" w14:textId="0FCB3C0B" w:rsidR="008E7986" w:rsidRDefault="00DB5A6B" w:rsidP="008E7986">
      <w:r>
        <w:t xml:space="preserve"> "</w:t>
      </w:r>
      <w:r w:rsidR="000872A4" w:rsidRPr="00D9676D">
        <w:rPr>
          <w:i/>
          <w:iCs/>
        </w:rPr>
        <w:t>A terminal which supports CA or DC co</w:t>
      </w:r>
      <w:r w:rsidR="00A807DA" w:rsidRPr="00D9676D">
        <w:rPr>
          <w:i/>
          <w:iCs/>
        </w:rPr>
        <w:t>nfigurations,</w:t>
      </w:r>
      <w:r w:rsidR="000872A4" w:rsidRPr="00D9676D">
        <w:rPr>
          <w:i/>
          <w:iCs/>
        </w:rPr>
        <w:t xml:space="preserve"> which include FR2 intra-band </w:t>
      </w:r>
      <w:r w:rsidR="00A807DA" w:rsidRPr="00D9676D">
        <w:rPr>
          <w:i/>
          <w:iCs/>
        </w:rPr>
        <w:t xml:space="preserve">CA combinations with multiple </w:t>
      </w:r>
      <w:r w:rsidR="000872A4" w:rsidRPr="00D9676D">
        <w:rPr>
          <w:i/>
          <w:iCs/>
        </w:rPr>
        <w:t>subblocks</w:t>
      </w:r>
      <w:r w:rsidR="00A807DA" w:rsidRPr="00D9676D">
        <w:rPr>
          <w:i/>
          <w:iCs/>
        </w:rPr>
        <w:t>,</w:t>
      </w:r>
      <w:r w:rsidR="000872A4" w:rsidRPr="00D9676D">
        <w:rPr>
          <w:i/>
          <w:iCs/>
        </w:rPr>
        <w:t xml:space="preserve"> </w:t>
      </w:r>
      <w:r w:rsidR="00A807DA" w:rsidRPr="00D9676D">
        <w:rPr>
          <w:i/>
          <w:iCs/>
        </w:rPr>
        <w:t xml:space="preserve">where at least one of the subblocks consists of a </w:t>
      </w:r>
      <w:r w:rsidR="000872A4" w:rsidRPr="00D9676D">
        <w:rPr>
          <w:i/>
          <w:iCs/>
        </w:rPr>
        <w:t xml:space="preserve">contiguous CA </w:t>
      </w:r>
      <w:r w:rsidR="00A807DA" w:rsidRPr="00447117">
        <w:rPr>
          <w:i/>
          <w:iCs/>
        </w:rPr>
        <w:t>combination is not required to support all</w:t>
      </w:r>
      <w:r w:rsidR="00A807DA" w:rsidRPr="00D9676D">
        <w:rPr>
          <w:i/>
          <w:iCs/>
        </w:rPr>
        <w:t xml:space="preserve"> fallback combinations but can directly fall back to a single FR2 carrier.</w:t>
      </w:r>
      <w:r>
        <w:t>"</w:t>
      </w:r>
      <w:r w:rsidR="00E214B7">
        <w:t xml:space="preserve"> </w:t>
      </w:r>
    </w:p>
    <w:p w14:paraId="0789094A" w14:textId="77777777" w:rsidR="00692656" w:rsidRDefault="00EE48CD" w:rsidP="00EE48CD">
      <w:pPr>
        <w:rPr>
          <w:lang w:val="en-US"/>
        </w:rPr>
      </w:pPr>
      <w:r w:rsidRPr="00EE48CD">
        <w:rPr>
          <w:lang w:val="en-US"/>
        </w:rPr>
        <w:t xml:space="preserve">With </w:t>
      </w:r>
      <w:r>
        <w:rPr>
          <w:lang w:val="en-US"/>
        </w:rPr>
        <w:t>such</w:t>
      </w:r>
      <w:r w:rsidRPr="00EE48CD">
        <w:rPr>
          <w:lang w:val="en-US"/>
        </w:rPr>
        <w:t xml:space="preserve"> change, for FR2 intra-band contiguous and non-contiguous band combinations, gNB should consider the UE only support the reported CA band combination and the one single carrier. In details, gNB can only configure the UE with the reported FR2 intra-band CA combination in RRCReconfiguration message. However, gNB can still perform Scell(s) deactivation to achieve lower order CA</w:t>
      </w:r>
      <w:r>
        <w:rPr>
          <w:lang w:val="en-US"/>
        </w:rPr>
        <w:t xml:space="preserve"> after the reconfiguration.</w:t>
      </w:r>
      <w:r w:rsidR="00FF685B">
        <w:rPr>
          <w:lang w:val="en-US"/>
        </w:rPr>
        <w:t xml:space="preserve"> </w:t>
      </w:r>
      <w:r w:rsidR="003448DD">
        <w:rPr>
          <w:lang w:val="en-US"/>
        </w:rPr>
        <w:t xml:space="preserve">It is </w:t>
      </w:r>
      <w:r w:rsidR="00FF685B">
        <w:rPr>
          <w:lang w:val="en-US"/>
        </w:rPr>
        <w:t xml:space="preserve">also </w:t>
      </w:r>
      <w:r w:rsidR="003448DD">
        <w:rPr>
          <w:lang w:val="en-US"/>
        </w:rPr>
        <w:t>worth noting that the corresponding clarification was agreed to both Rel-15 and Rel-16.</w:t>
      </w:r>
      <w:r w:rsidR="00692656">
        <w:rPr>
          <w:lang w:val="en-US"/>
        </w:rPr>
        <w:t xml:space="preserve"> </w:t>
      </w:r>
    </w:p>
    <w:p w14:paraId="227D9B8A" w14:textId="751FAD2D" w:rsidR="003448DD" w:rsidRPr="00806C56" w:rsidRDefault="003448DD" w:rsidP="00806C56">
      <w:pPr>
        <w:pStyle w:val="Observation"/>
        <w:rPr>
          <w:noProof/>
        </w:rPr>
      </w:pPr>
      <w:r w:rsidRPr="00806C56">
        <w:rPr>
          <w:noProof/>
        </w:rPr>
        <w:t>Observation 2:</w:t>
      </w:r>
      <w:r w:rsidRPr="00806C56">
        <w:rPr>
          <w:noProof/>
        </w:rPr>
        <w:tab/>
        <w:t>RAN WG4 agreement applies to both Rel-15 and Rel-16.</w:t>
      </w:r>
    </w:p>
    <w:p w14:paraId="1455899B" w14:textId="37C133EF" w:rsidR="00A13BC0" w:rsidRDefault="00A13BC0" w:rsidP="00A13BC0">
      <w:pPr>
        <w:pStyle w:val="Heading2"/>
      </w:pPr>
      <w:r>
        <w:lastRenderedPageBreak/>
        <w:t>2.2</w:t>
      </w:r>
      <w:r>
        <w:tab/>
        <w:t>RAN</w:t>
      </w:r>
      <w:r w:rsidR="003448DD">
        <w:t xml:space="preserve"> WG</w:t>
      </w:r>
      <w:r>
        <w:t>2 specification impact</w:t>
      </w:r>
    </w:p>
    <w:p w14:paraId="2DF130F7" w14:textId="4ED6DA6E" w:rsidR="00DB5A6B" w:rsidRDefault="00857745" w:rsidP="00DB5A6B">
      <w:r>
        <w:t xml:space="preserve">In the LS, which RAN WG4 sent to RAN WG2, it is asked to clarify whether there is any RRC signalling impact caused by the latest RAN WG4 agreement. Referring to the excerpt from TS 38.306 below, a UE typically signals </w:t>
      </w:r>
      <w:r w:rsidR="002347D9">
        <w:t xml:space="preserve">only </w:t>
      </w:r>
      <w:r>
        <w:t>a particular</w:t>
      </w:r>
      <w:r w:rsidR="002347D9">
        <w:t xml:space="preserve"> "master" CA combination and all the fallbacks combinations are not signalled explicitly. In that sense, there is indeed no signalling impact to RAN WG2. At the same time, TS 38.306 also clarifies that all the fallback combinations shall be supported, which is not in line with the latest RAN WG4 agreements according to which a UE can fall back directly to the bandwidth class "A". </w:t>
      </w:r>
      <w: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47D9" w:rsidRPr="00666F6D" w14:paraId="5B9BC9E6" w14:textId="77777777" w:rsidTr="0075591D">
        <w:trPr>
          <w:cantSplit/>
          <w:tblHeader/>
        </w:trPr>
        <w:tc>
          <w:tcPr>
            <w:tcW w:w="6917" w:type="dxa"/>
          </w:tcPr>
          <w:p w14:paraId="359BDC61" w14:textId="77777777" w:rsidR="002347D9" w:rsidRPr="00666F6D" w:rsidRDefault="002347D9" w:rsidP="0075591D">
            <w:pPr>
              <w:pStyle w:val="TAL"/>
              <w:rPr>
                <w:b/>
                <w:bCs/>
                <w:i/>
                <w:iCs/>
              </w:rPr>
            </w:pPr>
            <w:r w:rsidRPr="00666F6D">
              <w:rPr>
                <w:b/>
                <w:bCs/>
                <w:i/>
                <w:iCs/>
              </w:rPr>
              <w:t>supportedBandCombinationList</w:t>
            </w:r>
          </w:p>
          <w:p w14:paraId="3762378D" w14:textId="53F63747" w:rsidR="002347D9" w:rsidRPr="00666F6D" w:rsidRDefault="002347D9" w:rsidP="0075591D">
            <w:pPr>
              <w:pStyle w:val="TAL"/>
            </w:pPr>
            <w:r w:rsidRPr="00666F6D">
              <w:rPr>
                <w:lang w:eastAsia="ja-JP"/>
              </w:rPr>
              <w:t>Defines the supported NR and/or MR-DC band combinations by the UE.</w:t>
            </w:r>
            <w:r w:rsidRPr="00666F6D">
              <w:t xml:space="preserve"> </w:t>
            </w:r>
            <w:r w:rsidRPr="00666F6D">
              <w:rPr>
                <w:lang w:eastAsia="ja-JP"/>
              </w:rPr>
              <w:t xml:space="preserve">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w:t>
            </w:r>
            <w:r w:rsidRPr="002B45E4">
              <w:rPr>
                <w:lang w:eastAsia="ja-JP"/>
              </w:rPr>
              <w:t>For intra-band non-contiguous CA band combinations,</w:t>
            </w:r>
            <w:r w:rsidRPr="00666F6D">
              <w:rPr>
                <w:lang w:eastAsia="ja-JP"/>
              </w:rPr>
              <w:t xml:space="preserve">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DF9EC8C" w14:textId="77777777" w:rsidR="002347D9" w:rsidRPr="00666F6D" w:rsidRDefault="002347D9" w:rsidP="0075591D">
            <w:pPr>
              <w:pStyle w:val="TAL"/>
              <w:jc w:val="center"/>
            </w:pPr>
            <w:r w:rsidRPr="00666F6D">
              <w:rPr>
                <w:bCs/>
                <w:iCs/>
              </w:rPr>
              <w:t>UE</w:t>
            </w:r>
          </w:p>
        </w:tc>
        <w:tc>
          <w:tcPr>
            <w:tcW w:w="567" w:type="dxa"/>
          </w:tcPr>
          <w:p w14:paraId="07F485EA" w14:textId="77777777" w:rsidR="002347D9" w:rsidRPr="00666F6D" w:rsidRDefault="002347D9" w:rsidP="0075591D">
            <w:pPr>
              <w:pStyle w:val="TAL"/>
              <w:jc w:val="center"/>
            </w:pPr>
            <w:r w:rsidRPr="00666F6D">
              <w:rPr>
                <w:bCs/>
                <w:iCs/>
              </w:rPr>
              <w:t>Yes</w:t>
            </w:r>
          </w:p>
        </w:tc>
        <w:tc>
          <w:tcPr>
            <w:tcW w:w="709" w:type="dxa"/>
          </w:tcPr>
          <w:p w14:paraId="4AC20752" w14:textId="77777777" w:rsidR="002347D9" w:rsidRPr="00666F6D" w:rsidRDefault="002347D9" w:rsidP="0075591D">
            <w:pPr>
              <w:pStyle w:val="TAL"/>
              <w:jc w:val="center"/>
            </w:pPr>
            <w:r w:rsidRPr="00666F6D">
              <w:rPr>
                <w:bCs/>
                <w:iCs/>
              </w:rPr>
              <w:t>No</w:t>
            </w:r>
          </w:p>
        </w:tc>
        <w:tc>
          <w:tcPr>
            <w:tcW w:w="728" w:type="dxa"/>
          </w:tcPr>
          <w:p w14:paraId="109FC02A" w14:textId="77777777" w:rsidR="002347D9" w:rsidRPr="00666F6D" w:rsidRDefault="002347D9" w:rsidP="0075591D">
            <w:pPr>
              <w:pStyle w:val="TAL"/>
              <w:jc w:val="center"/>
            </w:pPr>
            <w:r w:rsidRPr="00666F6D">
              <w:t>No</w:t>
            </w:r>
          </w:p>
        </w:tc>
      </w:tr>
    </w:tbl>
    <w:p w14:paraId="3B844BA2" w14:textId="77777777" w:rsidR="00EE48CD" w:rsidRDefault="00EE48CD" w:rsidP="00DB5A6B"/>
    <w:p w14:paraId="61580B1B" w14:textId="5F7C5B38" w:rsidR="0017007C" w:rsidRPr="00FE44D7" w:rsidRDefault="0017007C" w:rsidP="0017007C">
      <w:pPr>
        <w:pStyle w:val="Observation"/>
        <w:rPr>
          <w:rFonts w:asciiTheme="minorHAnsi" w:eastAsiaTheme="minorEastAsia" w:hAnsiTheme="minorHAnsi" w:cstheme="minorBidi"/>
          <w:b/>
          <w:bCs/>
          <w:noProof/>
          <w:sz w:val="24"/>
          <w:szCs w:val="24"/>
          <w:lang w:val="en-US"/>
        </w:rPr>
      </w:pPr>
      <w:r>
        <w:rPr>
          <w:noProof/>
        </w:rPr>
        <w:t>Observation 3a:</w:t>
      </w:r>
      <w:r w:rsidRPr="00FE44D7">
        <w:rPr>
          <w:rFonts w:asciiTheme="minorHAnsi" w:eastAsiaTheme="minorEastAsia" w:hAnsiTheme="minorHAnsi" w:cstheme="minorBidi"/>
          <w:noProof/>
          <w:sz w:val="24"/>
          <w:szCs w:val="24"/>
          <w:lang w:val="en-US"/>
        </w:rPr>
        <w:tab/>
      </w:r>
      <w:r>
        <w:rPr>
          <w:noProof/>
        </w:rPr>
        <w:t>Since a UE does not have to signal explicitly fallback combinations, the latest RAN WG4 agreement does not have a direct impact on the capability signalling..</w:t>
      </w:r>
    </w:p>
    <w:p w14:paraId="35847C98" w14:textId="40C46576" w:rsidR="0017007C" w:rsidRDefault="0017007C" w:rsidP="0017007C">
      <w:pPr>
        <w:pStyle w:val="Observation"/>
        <w:rPr>
          <w:noProof/>
        </w:rPr>
      </w:pPr>
      <w:r>
        <w:rPr>
          <w:noProof/>
        </w:rPr>
        <w:t>Observation 3b:</w:t>
      </w:r>
      <w:r w:rsidRPr="00FE44D7">
        <w:rPr>
          <w:rFonts w:asciiTheme="minorHAnsi" w:eastAsiaTheme="minorEastAsia" w:hAnsiTheme="minorHAnsi" w:cstheme="minorBidi"/>
          <w:noProof/>
          <w:sz w:val="24"/>
          <w:szCs w:val="24"/>
          <w:lang w:val="en-US"/>
        </w:rPr>
        <w:tab/>
      </w:r>
      <w:r>
        <w:rPr>
          <w:noProof/>
        </w:rPr>
        <w:t xml:space="preserve">At the same time, </w:t>
      </w:r>
      <w:r w:rsidR="00A93484">
        <w:rPr>
          <w:noProof/>
        </w:rPr>
        <w:t xml:space="preserve">it seems that </w:t>
      </w:r>
      <w:r>
        <w:rPr>
          <w:noProof/>
        </w:rPr>
        <w:t>further clarifications are needed (at least for TS 38.306) to clarify that a UE is not anticipated to support all the fallback combinations..</w:t>
      </w:r>
    </w:p>
    <w:p w14:paraId="07AFE48B" w14:textId="22554039" w:rsidR="00692656" w:rsidRPr="00692656" w:rsidRDefault="00692656" w:rsidP="0017007C">
      <w:pPr>
        <w:pStyle w:val="Observation"/>
        <w:rPr>
          <w:i w:val="0"/>
          <w:noProof/>
        </w:rPr>
      </w:pPr>
      <w:r>
        <w:rPr>
          <w:i w:val="0"/>
          <w:noProof/>
        </w:rPr>
        <w:t>Corresponding CR to TS38.306 is provided in [5].</w:t>
      </w:r>
    </w:p>
    <w:p w14:paraId="01DF57A1" w14:textId="3EA161FE" w:rsidR="00692656" w:rsidRPr="00692656" w:rsidRDefault="00835F9B" w:rsidP="0017007C">
      <w:pPr>
        <w:pStyle w:val="Observation"/>
        <w:rPr>
          <w:b/>
          <w:i w:val="0"/>
        </w:rPr>
      </w:pPr>
      <w:r>
        <w:rPr>
          <w:b/>
          <w:i w:val="0"/>
          <w:noProof/>
        </w:rPr>
        <w:t>Proposal: RAN2 to agree</w:t>
      </w:r>
      <w:r w:rsidR="00692656" w:rsidRPr="00692656">
        <w:rPr>
          <w:b/>
          <w:i w:val="0"/>
          <w:noProof/>
        </w:rPr>
        <w:t xml:space="preserve"> on the CR to TS38.306 in [5]</w:t>
      </w:r>
      <w:r w:rsidR="00692656">
        <w:rPr>
          <w:b/>
          <w:i w:val="0"/>
          <w:noProof/>
        </w:rPr>
        <w:t>.</w:t>
      </w:r>
    </w:p>
    <w:p w14:paraId="34C99636" w14:textId="77777777" w:rsidR="008E7986" w:rsidRDefault="008E7986" w:rsidP="008E7986">
      <w:pPr>
        <w:pStyle w:val="Heading1"/>
      </w:pPr>
      <w:r>
        <w:t>3</w:t>
      </w:r>
      <w:r>
        <w:tab/>
        <w:t>Conclusions</w:t>
      </w:r>
      <w:bookmarkStart w:id="1" w:name="_GoBack"/>
      <w:bookmarkEnd w:id="1"/>
    </w:p>
    <w:bookmarkEnd w:id="0"/>
    <w:p w14:paraId="69B2C100" w14:textId="628D9C78" w:rsidR="003E31FD" w:rsidRDefault="00692656" w:rsidP="00E72324">
      <w:r>
        <w:t xml:space="preserve">In this contribution, we provide the background of the RAN4 discussion </w:t>
      </w:r>
      <w:r w:rsidR="00806C56">
        <w:t xml:space="preserve">and agreement </w:t>
      </w:r>
      <w:r>
        <w:t>on</w:t>
      </w:r>
      <w:r w:rsidR="00806C56">
        <w:t xml:space="preserve"> h</w:t>
      </w:r>
      <w:r w:rsidR="00806C56" w:rsidRPr="00EC55C0">
        <w:t>andling of fallbacks for combined contiguous and non-contiguous CA in FR2</w:t>
      </w:r>
      <w:r w:rsidR="00806C56">
        <w:t>.</w:t>
      </w:r>
    </w:p>
    <w:p w14:paraId="6DB88D1E"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1a:</w:t>
      </w:r>
      <w:r w:rsidRPr="00FE44D7">
        <w:rPr>
          <w:rFonts w:asciiTheme="minorHAnsi" w:eastAsiaTheme="minorEastAsia" w:hAnsiTheme="minorHAnsi" w:cstheme="minorBidi"/>
          <w:noProof/>
          <w:sz w:val="24"/>
          <w:szCs w:val="24"/>
          <w:lang w:val="en-US"/>
        </w:rPr>
        <w:tab/>
      </w:r>
      <w:r>
        <w:rPr>
          <w:noProof/>
        </w:rPr>
        <w:t>Especially FR2 combinations with combined contiguous and non-contiguous intra-band CA generate a huge amount of fallback combinations.</w:t>
      </w:r>
    </w:p>
    <w:p w14:paraId="5C0ABCD2" w14:textId="77777777" w:rsidR="00806C56" w:rsidRPr="00A13BC0" w:rsidRDefault="00806C56" w:rsidP="00806C56">
      <w:pPr>
        <w:pStyle w:val="Observation"/>
        <w:rPr>
          <w:rFonts w:asciiTheme="minorHAnsi" w:eastAsiaTheme="minorEastAsia" w:hAnsiTheme="minorHAnsi" w:cstheme="minorBidi"/>
          <w:b/>
          <w:bCs/>
          <w:noProof/>
          <w:sz w:val="24"/>
          <w:szCs w:val="24"/>
          <w:lang w:val="en-US"/>
        </w:rPr>
      </w:pPr>
      <w:r>
        <w:rPr>
          <w:noProof/>
        </w:rPr>
        <w:t>Observation 1b:</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22FAA71F"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1c:</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p>
    <w:p w14:paraId="3D94B294" w14:textId="77777777" w:rsidR="00806C56" w:rsidRPr="00F84967" w:rsidRDefault="00806C56" w:rsidP="00806C56">
      <w:pPr>
        <w:pStyle w:val="Observation"/>
        <w:rPr>
          <w:noProof/>
        </w:rPr>
      </w:pPr>
      <w:r w:rsidRPr="00F84967">
        <w:rPr>
          <w:noProof/>
        </w:rPr>
        <w:t>Observation 2:</w:t>
      </w:r>
      <w:r w:rsidRPr="00F84967">
        <w:rPr>
          <w:noProof/>
        </w:rPr>
        <w:tab/>
        <w:t>RAN WG4 agreement applies to both Rel-15 and Rel-16.</w:t>
      </w:r>
    </w:p>
    <w:p w14:paraId="5BA65C00" w14:textId="77777777" w:rsidR="00806C56" w:rsidRPr="00FE44D7" w:rsidRDefault="00806C56" w:rsidP="00806C56">
      <w:pPr>
        <w:pStyle w:val="Observation"/>
        <w:rPr>
          <w:rFonts w:asciiTheme="minorHAnsi" w:eastAsiaTheme="minorEastAsia" w:hAnsiTheme="minorHAnsi" w:cstheme="minorBidi"/>
          <w:b/>
          <w:bCs/>
          <w:noProof/>
          <w:sz w:val="24"/>
          <w:szCs w:val="24"/>
          <w:lang w:val="en-US"/>
        </w:rPr>
      </w:pPr>
      <w:r>
        <w:rPr>
          <w:noProof/>
        </w:rPr>
        <w:t>Observation 3a:</w:t>
      </w:r>
      <w:r w:rsidRPr="00FE44D7">
        <w:rPr>
          <w:rFonts w:asciiTheme="minorHAnsi" w:eastAsiaTheme="minorEastAsia" w:hAnsiTheme="minorHAnsi" w:cstheme="minorBidi"/>
          <w:noProof/>
          <w:sz w:val="24"/>
          <w:szCs w:val="24"/>
          <w:lang w:val="en-US"/>
        </w:rPr>
        <w:tab/>
      </w:r>
      <w:r>
        <w:rPr>
          <w:noProof/>
        </w:rPr>
        <w:t>Since a UE does not have to signal explicitly fallback combinations, the latest RAN WG4 agreement does not have a direct impact on the capability signalling..</w:t>
      </w:r>
    </w:p>
    <w:p w14:paraId="182463E3" w14:textId="77777777" w:rsidR="00806C56" w:rsidRDefault="00806C56" w:rsidP="00806C56">
      <w:pPr>
        <w:pStyle w:val="Observation"/>
        <w:rPr>
          <w:noProof/>
        </w:rPr>
      </w:pPr>
      <w:r>
        <w:rPr>
          <w:noProof/>
        </w:rPr>
        <w:t>Observation 3b:</w:t>
      </w:r>
      <w:r w:rsidRPr="00FE44D7">
        <w:rPr>
          <w:rFonts w:asciiTheme="minorHAnsi" w:eastAsiaTheme="minorEastAsia" w:hAnsiTheme="minorHAnsi" w:cstheme="minorBidi"/>
          <w:noProof/>
          <w:sz w:val="24"/>
          <w:szCs w:val="24"/>
          <w:lang w:val="en-US"/>
        </w:rPr>
        <w:tab/>
      </w:r>
      <w:r>
        <w:rPr>
          <w:noProof/>
        </w:rPr>
        <w:t>At the same time, it seems that further clarifications are needed (at least for TS 38.306) to clarify that a UE is not anticipated to support all the fallback combinations..</w:t>
      </w:r>
    </w:p>
    <w:p w14:paraId="1C93FBD7" w14:textId="389BF7DE" w:rsidR="00806C56" w:rsidRPr="00692656" w:rsidRDefault="00835F9B" w:rsidP="00806C56">
      <w:pPr>
        <w:pStyle w:val="Observation"/>
        <w:rPr>
          <w:b/>
          <w:i w:val="0"/>
        </w:rPr>
      </w:pPr>
      <w:r>
        <w:rPr>
          <w:b/>
          <w:i w:val="0"/>
          <w:noProof/>
        </w:rPr>
        <w:t>Proposal: RAN2 to agree</w:t>
      </w:r>
      <w:r w:rsidR="00806C56" w:rsidRPr="00692656">
        <w:rPr>
          <w:b/>
          <w:i w:val="0"/>
          <w:noProof/>
        </w:rPr>
        <w:t xml:space="preserve"> on the CR to TS38.306 in [5]</w:t>
      </w:r>
      <w:r w:rsidR="00806C56">
        <w:rPr>
          <w:b/>
          <w:i w:val="0"/>
          <w:noProof/>
        </w:rPr>
        <w:t>.</w:t>
      </w:r>
    </w:p>
    <w:p w14:paraId="478A40B1" w14:textId="77777777" w:rsidR="00806C56" w:rsidRPr="00806C56" w:rsidRDefault="00806C56" w:rsidP="00E72324"/>
    <w:p w14:paraId="404B682A" w14:textId="61DB6701" w:rsidR="003E31FD" w:rsidRPr="003A0483" w:rsidRDefault="003E31FD" w:rsidP="003E31FD">
      <w:pPr>
        <w:pStyle w:val="Heading1"/>
      </w:pPr>
      <w:r>
        <w:lastRenderedPageBreak/>
        <w:t>4</w:t>
      </w:r>
      <w:r>
        <w:tab/>
        <w:t>References</w:t>
      </w:r>
    </w:p>
    <w:p w14:paraId="7C52075D" w14:textId="77777777" w:rsidR="003E31FD" w:rsidRDefault="003E31FD" w:rsidP="003E31FD">
      <w:pPr>
        <w:pStyle w:val="EX"/>
        <w:numPr>
          <w:ilvl w:val="0"/>
          <w:numId w:val="5"/>
        </w:numPr>
      </w:pPr>
      <w:r w:rsidRPr="003E31FD">
        <w:t>R4-1908027</w:t>
      </w:r>
      <w:r>
        <w:t>, "</w:t>
      </w:r>
      <w:r w:rsidRPr="003E31FD">
        <w:t>Handling of fallbacks for combined contiguous and non-contiguous CA in FR2</w:t>
      </w:r>
      <w:r>
        <w:t>", Apple Inc.</w:t>
      </w:r>
    </w:p>
    <w:p w14:paraId="07576B91" w14:textId="59C66A41" w:rsidR="003E31FD" w:rsidRDefault="003E31FD" w:rsidP="003E31FD">
      <w:pPr>
        <w:pStyle w:val="EX"/>
        <w:numPr>
          <w:ilvl w:val="0"/>
          <w:numId w:val="5"/>
        </w:numPr>
      </w:pPr>
      <w:r w:rsidRPr="003E31FD">
        <w:t>R4-1908028</w:t>
      </w:r>
      <w:r>
        <w:t>, "</w:t>
      </w:r>
      <w:r w:rsidRPr="003E31FD">
        <w:t>CR for Handling of fallbacks for combined contiguous and non-contiguous CA in FR2</w:t>
      </w:r>
      <w:r>
        <w:t>", Apple Inc., CR TS 38.101-3</w:t>
      </w:r>
    </w:p>
    <w:p w14:paraId="70B6BD42" w14:textId="6DA85773" w:rsidR="003E31FD" w:rsidRDefault="003E31FD" w:rsidP="003E31FD">
      <w:pPr>
        <w:pStyle w:val="EX"/>
        <w:numPr>
          <w:ilvl w:val="0"/>
          <w:numId w:val="5"/>
        </w:numPr>
      </w:pPr>
      <w:r w:rsidRPr="003E31FD">
        <w:t>R4-1910238</w:t>
      </w:r>
      <w:r>
        <w:t>, "</w:t>
      </w:r>
      <w:r w:rsidRPr="003E31FD">
        <w:t>CR for Handling of fallbacks for combined contiguous and non-contiguous CA in FR2</w:t>
      </w:r>
      <w:r>
        <w:t>", Apple Inc., CR TS 38.101-2</w:t>
      </w:r>
    </w:p>
    <w:p w14:paraId="34ED9AB9" w14:textId="77777777" w:rsidR="00692656" w:rsidRDefault="003E31FD" w:rsidP="003E31FD">
      <w:pPr>
        <w:pStyle w:val="EX"/>
        <w:numPr>
          <w:ilvl w:val="0"/>
          <w:numId w:val="5"/>
        </w:numPr>
      </w:pPr>
      <w:r w:rsidRPr="003E31FD">
        <w:t>R4-1910239</w:t>
      </w:r>
      <w:r>
        <w:t>, "</w:t>
      </w:r>
      <w:r w:rsidRPr="003E31FD">
        <w:t>LS on</w:t>
      </w:r>
      <w:r>
        <w:t xml:space="preserve"> h</w:t>
      </w:r>
      <w:r w:rsidRPr="003E31FD">
        <w:t>andling of fallbacks for combined contiguous and non-contiguous CA in FR2</w:t>
      </w:r>
      <w:r>
        <w:t>", Apple Inc.</w:t>
      </w:r>
    </w:p>
    <w:p w14:paraId="4A9D53A3" w14:textId="24BEDFD2" w:rsidR="00692656" w:rsidRPr="00692656" w:rsidRDefault="00692656" w:rsidP="00692656">
      <w:pPr>
        <w:pStyle w:val="EX"/>
        <w:numPr>
          <w:ilvl w:val="0"/>
          <w:numId w:val="5"/>
        </w:numPr>
      </w:pPr>
      <w:r>
        <w:t>R4-1913384, “</w:t>
      </w:r>
      <w:r w:rsidRPr="00692656">
        <w:t>CR to TS38.306 on FR2 intra band contiguous and non-contiguous CA fallback</w:t>
      </w:r>
      <w:r>
        <w:t>”</w:t>
      </w:r>
      <w:r w:rsidR="00F914BD">
        <w:t xml:space="preserve">  Apple</w:t>
      </w:r>
    </w:p>
    <w:p w14:paraId="111A37D2" w14:textId="0FC659DF" w:rsidR="003E31FD" w:rsidRPr="004D3578" w:rsidRDefault="003E31FD" w:rsidP="00692656">
      <w:pPr>
        <w:pStyle w:val="EX"/>
        <w:numPr>
          <w:ilvl w:val="0"/>
          <w:numId w:val="0"/>
        </w:numPr>
        <w:ind w:left="369"/>
      </w:pPr>
    </w:p>
    <w:p w14:paraId="3FC66009" w14:textId="77777777" w:rsidR="003E31FD" w:rsidRPr="005E69AE" w:rsidRDefault="003E31FD" w:rsidP="003E31FD"/>
    <w:p w14:paraId="4085E693" w14:textId="77777777" w:rsidR="003E31FD" w:rsidRDefault="003E31FD" w:rsidP="00E72324"/>
    <w:sectPr w:rsidR="003E31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7FF67" w14:textId="77777777" w:rsidR="00B64F8E" w:rsidRDefault="00B64F8E">
      <w:r>
        <w:separator/>
      </w:r>
    </w:p>
  </w:endnote>
  <w:endnote w:type="continuationSeparator" w:id="0">
    <w:p w14:paraId="279E91AB" w14:textId="77777777" w:rsidR="00B64F8E" w:rsidRDefault="00B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CC44B" w14:textId="77777777" w:rsidR="00B64F8E" w:rsidRDefault="00B64F8E">
      <w:r>
        <w:separator/>
      </w:r>
    </w:p>
  </w:footnote>
  <w:footnote w:type="continuationSeparator" w:id="0">
    <w:p w14:paraId="3AD3B4C7" w14:textId="77777777" w:rsidR="00B64F8E" w:rsidRDefault="00B64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2A4"/>
    <w:rsid w:val="0009755D"/>
    <w:rsid w:val="000A365D"/>
    <w:rsid w:val="000C47C3"/>
    <w:rsid w:val="000D582E"/>
    <w:rsid w:val="000D58AB"/>
    <w:rsid w:val="000E1AFC"/>
    <w:rsid w:val="00104BC6"/>
    <w:rsid w:val="00133525"/>
    <w:rsid w:val="0017007C"/>
    <w:rsid w:val="001A4C42"/>
    <w:rsid w:val="001C21C3"/>
    <w:rsid w:val="001D02C2"/>
    <w:rsid w:val="001F0C1D"/>
    <w:rsid w:val="001F1132"/>
    <w:rsid w:val="001F168B"/>
    <w:rsid w:val="002347A2"/>
    <w:rsid w:val="002347D9"/>
    <w:rsid w:val="00245165"/>
    <w:rsid w:val="00247926"/>
    <w:rsid w:val="002675F0"/>
    <w:rsid w:val="00276EE4"/>
    <w:rsid w:val="002B6339"/>
    <w:rsid w:val="002E00EE"/>
    <w:rsid w:val="00313F1B"/>
    <w:rsid w:val="003172DC"/>
    <w:rsid w:val="003448DD"/>
    <w:rsid w:val="0035462D"/>
    <w:rsid w:val="003765B8"/>
    <w:rsid w:val="003A0483"/>
    <w:rsid w:val="003A2259"/>
    <w:rsid w:val="003C3971"/>
    <w:rsid w:val="003C564B"/>
    <w:rsid w:val="003D7AA8"/>
    <w:rsid w:val="003E31FD"/>
    <w:rsid w:val="003E7753"/>
    <w:rsid w:val="00423334"/>
    <w:rsid w:val="004345EC"/>
    <w:rsid w:val="00447117"/>
    <w:rsid w:val="004826A9"/>
    <w:rsid w:val="004C1601"/>
    <w:rsid w:val="004D3578"/>
    <w:rsid w:val="004E213A"/>
    <w:rsid w:val="004E350F"/>
    <w:rsid w:val="004E681F"/>
    <w:rsid w:val="004F0988"/>
    <w:rsid w:val="004F3340"/>
    <w:rsid w:val="004F3E3D"/>
    <w:rsid w:val="0053388B"/>
    <w:rsid w:val="00535773"/>
    <w:rsid w:val="00543E6C"/>
    <w:rsid w:val="00565087"/>
    <w:rsid w:val="00572E14"/>
    <w:rsid w:val="00583ADE"/>
    <w:rsid w:val="005973BE"/>
    <w:rsid w:val="005A5986"/>
    <w:rsid w:val="005D2E01"/>
    <w:rsid w:val="005D7526"/>
    <w:rsid w:val="005E69AE"/>
    <w:rsid w:val="00602AEA"/>
    <w:rsid w:val="00607E3C"/>
    <w:rsid w:val="00614FDF"/>
    <w:rsid w:val="006246A7"/>
    <w:rsid w:val="0062595A"/>
    <w:rsid w:val="00627C37"/>
    <w:rsid w:val="0063543D"/>
    <w:rsid w:val="00647114"/>
    <w:rsid w:val="00654E0E"/>
    <w:rsid w:val="00692656"/>
    <w:rsid w:val="006A323F"/>
    <w:rsid w:val="006B30D0"/>
    <w:rsid w:val="006B740C"/>
    <w:rsid w:val="006C3D95"/>
    <w:rsid w:val="006E5C86"/>
    <w:rsid w:val="00713C44"/>
    <w:rsid w:val="00734A5B"/>
    <w:rsid w:val="0074026F"/>
    <w:rsid w:val="007429F6"/>
    <w:rsid w:val="00744E76"/>
    <w:rsid w:val="00752198"/>
    <w:rsid w:val="00753881"/>
    <w:rsid w:val="007713D4"/>
    <w:rsid w:val="00774DA4"/>
    <w:rsid w:val="00776039"/>
    <w:rsid w:val="00781F0F"/>
    <w:rsid w:val="0078318F"/>
    <w:rsid w:val="007B600E"/>
    <w:rsid w:val="007C14FD"/>
    <w:rsid w:val="007F0F4A"/>
    <w:rsid w:val="008028A4"/>
    <w:rsid w:val="00806C56"/>
    <w:rsid w:val="00820B25"/>
    <w:rsid w:val="00830747"/>
    <w:rsid w:val="00835F9B"/>
    <w:rsid w:val="00857745"/>
    <w:rsid w:val="008730C8"/>
    <w:rsid w:val="008768CA"/>
    <w:rsid w:val="008A7428"/>
    <w:rsid w:val="008C384C"/>
    <w:rsid w:val="008E7986"/>
    <w:rsid w:val="0090271F"/>
    <w:rsid w:val="00902E23"/>
    <w:rsid w:val="009114D7"/>
    <w:rsid w:val="0091348E"/>
    <w:rsid w:val="00917CCB"/>
    <w:rsid w:val="009332B0"/>
    <w:rsid w:val="00942EC2"/>
    <w:rsid w:val="00997281"/>
    <w:rsid w:val="009F37B7"/>
    <w:rsid w:val="009F5E43"/>
    <w:rsid w:val="009F6F20"/>
    <w:rsid w:val="00A10F02"/>
    <w:rsid w:val="00A13BC0"/>
    <w:rsid w:val="00A164B4"/>
    <w:rsid w:val="00A2397C"/>
    <w:rsid w:val="00A26956"/>
    <w:rsid w:val="00A41046"/>
    <w:rsid w:val="00A53724"/>
    <w:rsid w:val="00A73129"/>
    <w:rsid w:val="00A75A83"/>
    <w:rsid w:val="00A807DA"/>
    <w:rsid w:val="00A82346"/>
    <w:rsid w:val="00A86B86"/>
    <w:rsid w:val="00A92BA1"/>
    <w:rsid w:val="00A93484"/>
    <w:rsid w:val="00AC6BC6"/>
    <w:rsid w:val="00AD330E"/>
    <w:rsid w:val="00AE0E06"/>
    <w:rsid w:val="00AE3797"/>
    <w:rsid w:val="00AE44FD"/>
    <w:rsid w:val="00B03B5E"/>
    <w:rsid w:val="00B15449"/>
    <w:rsid w:val="00B64F8E"/>
    <w:rsid w:val="00B93086"/>
    <w:rsid w:val="00BA19ED"/>
    <w:rsid w:val="00BA300B"/>
    <w:rsid w:val="00BA4B8D"/>
    <w:rsid w:val="00BC0F7D"/>
    <w:rsid w:val="00BE3255"/>
    <w:rsid w:val="00BF128E"/>
    <w:rsid w:val="00C120EB"/>
    <w:rsid w:val="00C1496A"/>
    <w:rsid w:val="00C20C9A"/>
    <w:rsid w:val="00C33079"/>
    <w:rsid w:val="00C45231"/>
    <w:rsid w:val="00C72833"/>
    <w:rsid w:val="00C80F1D"/>
    <w:rsid w:val="00C812DD"/>
    <w:rsid w:val="00C93F40"/>
    <w:rsid w:val="00CA3D0C"/>
    <w:rsid w:val="00CF20E3"/>
    <w:rsid w:val="00CF3390"/>
    <w:rsid w:val="00D309CC"/>
    <w:rsid w:val="00D46431"/>
    <w:rsid w:val="00D56A52"/>
    <w:rsid w:val="00D57972"/>
    <w:rsid w:val="00D675A9"/>
    <w:rsid w:val="00D738D6"/>
    <w:rsid w:val="00D755EB"/>
    <w:rsid w:val="00D87E00"/>
    <w:rsid w:val="00D9134D"/>
    <w:rsid w:val="00D9676D"/>
    <w:rsid w:val="00DA7A03"/>
    <w:rsid w:val="00DB1818"/>
    <w:rsid w:val="00DB5A6B"/>
    <w:rsid w:val="00DC06ED"/>
    <w:rsid w:val="00DC309B"/>
    <w:rsid w:val="00DC4DA2"/>
    <w:rsid w:val="00DD4C17"/>
    <w:rsid w:val="00DF2B1F"/>
    <w:rsid w:val="00DF6189"/>
    <w:rsid w:val="00DF62CD"/>
    <w:rsid w:val="00E14F1D"/>
    <w:rsid w:val="00E16509"/>
    <w:rsid w:val="00E214B7"/>
    <w:rsid w:val="00E44582"/>
    <w:rsid w:val="00E50039"/>
    <w:rsid w:val="00E52814"/>
    <w:rsid w:val="00E65E13"/>
    <w:rsid w:val="00E72324"/>
    <w:rsid w:val="00E72ABE"/>
    <w:rsid w:val="00E77645"/>
    <w:rsid w:val="00E8127C"/>
    <w:rsid w:val="00EA6F9B"/>
    <w:rsid w:val="00EC4A25"/>
    <w:rsid w:val="00EC55C0"/>
    <w:rsid w:val="00EE48CD"/>
    <w:rsid w:val="00EE5AA7"/>
    <w:rsid w:val="00EF7BF5"/>
    <w:rsid w:val="00F025A2"/>
    <w:rsid w:val="00F04712"/>
    <w:rsid w:val="00F21311"/>
    <w:rsid w:val="00F22EC7"/>
    <w:rsid w:val="00F325C8"/>
    <w:rsid w:val="00F62AEB"/>
    <w:rsid w:val="00F653B8"/>
    <w:rsid w:val="00F70647"/>
    <w:rsid w:val="00F914BD"/>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1C97A-58A2-A747-9306-4A86AB43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4</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cp:revision>
  <cp:lastPrinted>2019-02-25T14:05:00Z</cp:lastPrinted>
  <dcterms:created xsi:type="dcterms:W3CDTF">2019-10-02T13:54:00Z</dcterms:created>
  <dcterms:modified xsi:type="dcterms:W3CDTF">2019-10-04T06:34:00Z</dcterms:modified>
  <cp:category/>
</cp:coreProperties>
</file>