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1A8B2518" w:rsidR="00895250" w:rsidRPr="00B922AF"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bookmarkStart w:id="2" w:name="_GoBack"/>
      <w:bookmarkEnd w:id="2"/>
      <w:r w:rsidRPr="00B922AF">
        <w:rPr>
          <w:rFonts w:ascii="Arial" w:eastAsia="MS Mincho" w:hAnsi="Arial"/>
          <w:b/>
          <w:sz w:val="24"/>
          <w:szCs w:val="24"/>
          <w:lang w:val="en-GB" w:eastAsia="x-none"/>
        </w:rPr>
        <w:t>3GPP TSG</w:t>
      </w:r>
      <w:r w:rsidR="00187A71">
        <w:rPr>
          <w:rFonts w:ascii="Arial" w:eastAsia="MS Mincho" w:hAnsi="Arial"/>
          <w:b/>
          <w:sz w:val="24"/>
          <w:szCs w:val="24"/>
          <w:lang w:val="en-GB" w:eastAsia="x-none"/>
        </w:rPr>
        <w:t>-RA</w:t>
      </w:r>
      <w:r w:rsidR="005A0FB7">
        <w:rPr>
          <w:rFonts w:ascii="Arial" w:eastAsia="MS Mincho" w:hAnsi="Arial"/>
          <w:b/>
          <w:sz w:val="24"/>
          <w:szCs w:val="24"/>
          <w:lang w:val="en-GB" w:eastAsia="x-none"/>
        </w:rPr>
        <w:t>N WG2 Meeting #107bis</w:t>
      </w:r>
      <w:r w:rsidR="005A0FB7">
        <w:rPr>
          <w:rFonts w:ascii="Arial" w:eastAsia="MS Mincho" w:hAnsi="Arial"/>
          <w:b/>
          <w:sz w:val="24"/>
          <w:szCs w:val="24"/>
          <w:lang w:val="en-GB" w:eastAsia="x-none"/>
        </w:rPr>
        <w:tab/>
        <w:t>R2-1912809</w:t>
      </w:r>
    </w:p>
    <w:p w14:paraId="6877EE3A" w14:textId="32A48382" w:rsidR="00895250" w:rsidRPr="00B922AF" w:rsidRDefault="00187A71"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Chongqing, China</w:t>
      </w:r>
      <w:r w:rsidR="006F7682" w:rsidRPr="00B922AF">
        <w:rPr>
          <w:rFonts w:ascii="Arial" w:eastAsia="MS Mincho" w:hAnsi="Arial"/>
          <w:b/>
          <w:sz w:val="24"/>
          <w:szCs w:val="24"/>
          <w:lang w:val="en-GB" w:eastAsia="x-none"/>
        </w:rPr>
        <w:t xml:space="preserve">, </w:t>
      </w:r>
      <w:r>
        <w:rPr>
          <w:rFonts w:ascii="Arial" w:eastAsia="MS Mincho" w:hAnsi="Arial"/>
          <w:b/>
          <w:sz w:val="24"/>
          <w:szCs w:val="24"/>
          <w:lang w:val="en-GB" w:eastAsia="x-none"/>
        </w:rPr>
        <w:t>14-18 October</w:t>
      </w:r>
      <w:r w:rsidR="00B35D43" w:rsidRPr="00B922AF">
        <w:rPr>
          <w:rFonts w:ascii="Arial" w:eastAsia="MS Mincho" w:hAnsi="Arial"/>
          <w:b/>
          <w:sz w:val="24"/>
          <w:szCs w:val="24"/>
          <w:lang w:val="en-GB" w:eastAsia="x-none"/>
        </w:rPr>
        <w:t xml:space="preserve"> 2019</w:t>
      </w:r>
    </w:p>
    <w:p w14:paraId="41F9B491" w14:textId="49EFE19E" w:rsidR="0097167E" w:rsidRPr="00B922AF"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922AF" w:rsidRDefault="00A07E02" w:rsidP="00A07E02">
      <w:pPr>
        <w:pStyle w:val="3GPPHeader"/>
        <w:rPr>
          <w:rFonts w:ascii="Arial" w:hAnsi="Arial" w:cs="Arial"/>
          <w:color w:val="FF0000"/>
          <w:szCs w:val="24"/>
          <w:lang w:eastAsia="zh-TW"/>
        </w:rPr>
      </w:pPr>
    </w:p>
    <w:p w14:paraId="027912C8" w14:textId="446EB016" w:rsidR="00A07E02" w:rsidRPr="00B922AF" w:rsidRDefault="00A07E02" w:rsidP="00A07E02">
      <w:pPr>
        <w:pStyle w:val="3GPPHeader"/>
        <w:rPr>
          <w:rFonts w:ascii="Arial" w:hAnsi="Arial" w:cs="Arial"/>
          <w:szCs w:val="24"/>
        </w:rPr>
      </w:pPr>
      <w:r w:rsidRPr="00B922AF">
        <w:rPr>
          <w:rFonts w:ascii="Arial" w:hAnsi="Arial" w:cs="Arial"/>
          <w:szCs w:val="24"/>
        </w:rPr>
        <w:t>Agenda Item:</w:t>
      </w:r>
      <w:r w:rsidRPr="00B922AF">
        <w:rPr>
          <w:rFonts w:ascii="Arial" w:hAnsi="Arial" w:cs="Arial"/>
          <w:szCs w:val="24"/>
        </w:rPr>
        <w:tab/>
      </w:r>
      <w:r w:rsidR="005A0FB7">
        <w:rPr>
          <w:rFonts w:ascii="Arial" w:hAnsi="Arial" w:cs="Arial"/>
          <w:szCs w:val="24"/>
        </w:rPr>
        <w:t>6.5.2</w:t>
      </w:r>
    </w:p>
    <w:p w14:paraId="79D236BA" w14:textId="6C55D656" w:rsidR="00A07E02" w:rsidRPr="00B922AF" w:rsidRDefault="00A07E02" w:rsidP="00A07E02">
      <w:pPr>
        <w:pStyle w:val="3GPPHeader"/>
        <w:rPr>
          <w:rFonts w:ascii="Arial" w:hAnsi="Arial" w:cs="Arial"/>
          <w:szCs w:val="24"/>
        </w:rPr>
      </w:pPr>
      <w:r w:rsidRPr="00B922AF">
        <w:rPr>
          <w:rFonts w:ascii="Arial" w:hAnsi="Arial" w:cs="Arial"/>
          <w:szCs w:val="24"/>
        </w:rPr>
        <w:t xml:space="preserve">Source: </w:t>
      </w:r>
      <w:r w:rsidRPr="00B922AF">
        <w:rPr>
          <w:rFonts w:ascii="Arial" w:hAnsi="Arial" w:cs="Arial"/>
          <w:szCs w:val="24"/>
        </w:rPr>
        <w:tab/>
        <w:t>MediaTek Inc.</w:t>
      </w:r>
    </w:p>
    <w:p w14:paraId="108A86FF" w14:textId="5E7E7EED" w:rsidR="00A07E02" w:rsidRPr="00B922AF" w:rsidRDefault="00FF0668" w:rsidP="00A07E02">
      <w:pPr>
        <w:pStyle w:val="3GPPHeaderArial"/>
        <w:tabs>
          <w:tab w:val="left" w:pos="1701"/>
        </w:tabs>
        <w:rPr>
          <w:b/>
          <w:sz w:val="24"/>
          <w:lang w:val="en-GB" w:eastAsia="zh-TW"/>
        </w:rPr>
      </w:pPr>
      <w:r w:rsidRPr="00B922AF">
        <w:rPr>
          <w:b/>
          <w:sz w:val="24"/>
          <w:lang w:val="en-GB"/>
        </w:rPr>
        <w:t xml:space="preserve">Title:  </w:t>
      </w:r>
      <w:r w:rsidRPr="00B922AF">
        <w:rPr>
          <w:b/>
          <w:sz w:val="24"/>
          <w:lang w:val="en-GB"/>
        </w:rPr>
        <w:tab/>
      </w:r>
      <w:r w:rsidR="00187A71">
        <w:rPr>
          <w:b/>
          <w:sz w:val="24"/>
          <w:lang w:val="en-GB"/>
        </w:rPr>
        <w:t>Decision on support of delta signalling</w:t>
      </w:r>
    </w:p>
    <w:p w14:paraId="2D698DC6" w14:textId="77777777" w:rsidR="00A07E02" w:rsidRPr="00B922AF" w:rsidRDefault="00A07E02" w:rsidP="00A07E02">
      <w:pPr>
        <w:pStyle w:val="3GPPHeaderArial"/>
        <w:tabs>
          <w:tab w:val="left" w:pos="1701"/>
        </w:tabs>
        <w:rPr>
          <w:b/>
          <w:sz w:val="24"/>
          <w:lang w:val="en-GB" w:eastAsia="zh-TW"/>
        </w:rPr>
      </w:pPr>
    </w:p>
    <w:p w14:paraId="4570B40E" w14:textId="77777777" w:rsidR="00A07E02" w:rsidRPr="00B922AF" w:rsidRDefault="00A07E02" w:rsidP="00A07E02">
      <w:pPr>
        <w:pStyle w:val="3GPPHeader"/>
        <w:rPr>
          <w:rFonts w:ascii="Arial" w:hAnsi="Arial" w:cs="Arial"/>
          <w:szCs w:val="24"/>
        </w:rPr>
      </w:pPr>
      <w:r w:rsidRPr="00B922AF">
        <w:rPr>
          <w:rFonts w:ascii="Arial" w:hAnsi="Arial" w:cs="Arial"/>
          <w:szCs w:val="24"/>
        </w:rPr>
        <w:t>Document for:</w:t>
      </w:r>
      <w:r w:rsidRPr="00B922AF">
        <w:rPr>
          <w:rFonts w:ascii="Arial" w:hAnsi="Arial" w:cs="Arial"/>
          <w:szCs w:val="24"/>
        </w:rPr>
        <w:tab/>
        <w:t>Discussion and decision</w:t>
      </w:r>
    </w:p>
    <w:p w14:paraId="0FB84FBC" w14:textId="77777777" w:rsidR="00A07E02" w:rsidRPr="00B922AF" w:rsidRDefault="00A07E02" w:rsidP="00A07E02">
      <w:pPr>
        <w:pStyle w:val="Heading1"/>
        <w:overflowPunct w:val="0"/>
        <w:autoSpaceDE w:val="0"/>
        <w:autoSpaceDN w:val="0"/>
        <w:adjustRightInd w:val="0"/>
        <w:rPr>
          <w:rFonts w:eastAsia="PMingLiU" w:cs="Arial"/>
        </w:rPr>
      </w:pPr>
      <w:r w:rsidRPr="00B922AF">
        <w:rPr>
          <w:rFonts w:eastAsia="PMingLiU" w:cs="Arial"/>
        </w:rPr>
        <w:t>Introduction</w:t>
      </w:r>
      <w:bookmarkStart w:id="3" w:name="OLE_LINK39"/>
      <w:bookmarkStart w:id="4" w:name="OLE_LINK38"/>
      <w:bookmarkStart w:id="5" w:name="OLE_LINK37"/>
    </w:p>
    <w:p w14:paraId="54A8544A" w14:textId="180255C0" w:rsidR="00202DDC" w:rsidRPr="00B922AF" w:rsidRDefault="00187A71" w:rsidP="00187A71">
      <w:pPr>
        <w:rPr>
          <w:lang w:val="en-GB"/>
        </w:rPr>
      </w:pPr>
      <w:r>
        <w:rPr>
          <w:lang w:val="en-GB"/>
        </w:rPr>
        <w:t>In RAN2#107, [1] proposed to support delta signalling in association with the UE capability ID</w:t>
      </w:r>
      <w:r w:rsidR="00C049AF" w:rsidRPr="00B922AF">
        <w:rPr>
          <w:lang w:val="en-GB"/>
        </w:rPr>
        <w:t>.</w:t>
      </w:r>
      <w:r>
        <w:rPr>
          <w:lang w:val="en-GB"/>
        </w:rPr>
        <w:t xml:space="preserve">  After discussion, the paper was noted, but no final decision was taken on whether to support delta signalling as part of the RACS WI.  However, the WID in [2] calls out a decision on delta signalling as one of the WI objectives, so it seems necessary to take an official decision to close out the corresponding objective.</w:t>
      </w:r>
    </w:p>
    <w:p w14:paraId="2E0A3C55" w14:textId="48FA9AED" w:rsidR="00DF345D" w:rsidRPr="00B922AF" w:rsidRDefault="00202DDC" w:rsidP="00376507">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922AF">
        <w:rPr>
          <w:rFonts w:eastAsia="PMingLiU" w:cs="Arial"/>
        </w:rPr>
        <w:t>Discussio</w:t>
      </w:r>
      <w:r w:rsidR="00376507" w:rsidRPr="00B922AF">
        <w:rPr>
          <w:rFonts w:eastAsia="PMingLiU" w:cs="Arial"/>
        </w:rPr>
        <w:t>n</w:t>
      </w:r>
    </w:p>
    <w:p w14:paraId="00CF8998" w14:textId="7680675B" w:rsidR="00F17D67" w:rsidRDefault="00187A71" w:rsidP="00DF345D">
      <w:pPr>
        <w:spacing w:after="240"/>
        <w:rPr>
          <w:lang w:val="en-GB"/>
        </w:rPr>
      </w:pPr>
      <w:r>
        <w:rPr>
          <w:lang w:val="en-GB"/>
        </w:rPr>
        <w:t>As noted in [3], there are multiple use cases for delta signalling, and as indicated in [4], SA2 considered it a desirable feature to have.  (Thus it seems appropriate for RAN2 to discuss the feasibility rather than the desirability.)  On the other hand, the general sentiment of the discussion of [1] seemed to be that delta signalling introduces complexity and the use cases can be addressed in other ways (e.g. with multiple manufacturer-assigned IDs).</w:t>
      </w:r>
    </w:p>
    <w:p w14:paraId="370A0545" w14:textId="2277718A" w:rsidR="00187A71" w:rsidRDefault="00187A71" w:rsidP="00DF345D">
      <w:pPr>
        <w:spacing w:after="240"/>
        <w:rPr>
          <w:lang w:val="en-GB"/>
        </w:rPr>
      </w:pPr>
      <w:r>
        <w:rPr>
          <w:lang w:val="en-GB"/>
        </w:rPr>
        <w:t>A minimal form of delta signalling would be to indicate enabling/disabling of certain RATs.  It was mentioned in the discussion of [1] that a change of RAT support “also tends to involve NAS signalling”, but this seems to refer to the case where an already active UE needs to change its capability by enabling/disabling one of the supported RATs, not to the equally valid case of a UE initially attaching with a RAT disabled.</w:t>
      </w:r>
    </w:p>
    <w:p w14:paraId="5B4B7593" w14:textId="16F224A1" w:rsidR="00187A71" w:rsidRDefault="00187A71" w:rsidP="00DF345D">
      <w:pPr>
        <w:spacing w:after="240"/>
        <w:rPr>
          <w:lang w:val="en-GB"/>
        </w:rPr>
      </w:pPr>
      <w:r>
        <w:rPr>
          <w:lang w:val="en-GB"/>
        </w:rPr>
        <w:t xml:space="preserve">More advanced forms of delta signalling can be imagined, e.g., addition/removal of band combinations.  Our view as articulated in [3] continues to be that this is not a major issue to support and it is a bit unclear where the purported complexity resides.  (We have expected for many years, without any real </w:t>
      </w:r>
      <w:r w:rsidR="00F6354F">
        <w:rPr>
          <w:lang w:val="en-GB"/>
        </w:rPr>
        <w:t>question</w:t>
      </w:r>
      <w:r>
        <w:rPr>
          <w:lang w:val="en-GB"/>
        </w:rPr>
        <w:t xml:space="preserve">, that UEs can apply delta signalling to the internal state of their radio configuration; expecting </w:t>
      </w:r>
      <w:r w:rsidR="00F6354F">
        <w:rPr>
          <w:lang w:val="en-GB"/>
        </w:rPr>
        <w:t xml:space="preserve">broadly </w:t>
      </w:r>
      <w:r>
        <w:rPr>
          <w:lang w:val="en-GB"/>
        </w:rPr>
        <w:t>similar functionality from network nodes with higher processing power seems not unreasonable.)</w:t>
      </w:r>
    </w:p>
    <w:p w14:paraId="643E0440" w14:textId="36DFFDD0" w:rsidR="00187A71" w:rsidRDefault="00187A71" w:rsidP="00DF345D">
      <w:pPr>
        <w:spacing w:after="240"/>
        <w:rPr>
          <w:lang w:val="en-GB"/>
        </w:rPr>
      </w:pPr>
      <w:r>
        <w:rPr>
          <w:lang w:val="en-GB"/>
        </w:rPr>
        <w:t>Given the decision of RAN2#107 not to have the capability ID in RRC signalling, the use of delta signalling would be applicable to NAS signalling and its implementation would technically fall in CT1 remit.  However, the domain-specific knowledge about UE capability structures resides largely in RAN2, and [2] requested that RAN2 be the group to evaluate the feasibility.  Thus it still seems appropri</w:t>
      </w:r>
      <w:r w:rsidR="005777B5">
        <w:rPr>
          <w:lang w:val="en-GB"/>
        </w:rPr>
        <w:t>ate for RAN2 to take a decision, and SA2 need to be notified of the result.</w:t>
      </w:r>
    </w:p>
    <w:p w14:paraId="549C156C" w14:textId="77777777" w:rsidR="00187A71" w:rsidRDefault="00187A71" w:rsidP="00DF345D">
      <w:pPr>
        <w:spacing w:after="240"/>
        <w:rPr>
          <w:lang w:val="en-GB"/>
        </w:rPr>
      </w:pPr>
      <w:r>
        <w:rPr>
          <w:b/>
          <w:lang w:val="en-GB"/>
        </w:rPr>
        <w:t>Proposal 1:</w:t>
      </w:r>
      <w:r>
        <w:rPr>
          <w:lang w:val="en-GB"/>
        </w:rPr>
        <w:t xml:space="preserve"> RAN2 should take a final decision on whether to support delta signalling for the UE capability ID.</w:t>
      </w:r>
    </w:p>
    <w:p w14:paraId="17759DA6" w14:textId="72906C09" w:rsidR="005777B5" w:rsidRPr="005777B5" w:rsidRDefault="005777B5" w:rsidP="00DF345D">
      <w:pPr>
        <w:spacing w:after="240"/>
        <w:rPr>
          <w:lang w:val="en-GB"/>
        </w:rPr>
      </w:pPr>
      <w:r>
        <w:rPr>
          <w:b/>
          <w:lang w:val="en-GB"/>
        </w:rPr>
        <w:t>Proposal 2:</w:t>
      </w:r>
      <w:r>
        <w:rPr>
          <w:lang w:val="en-GB"/>
        </w:rPr>
        <w:t xml:space="preserve"> Notify SA2 of the RAN2 decision on delta signalling.</w:t>
      </w:r>
    </w:p>
    <w:p w14:paraId="016302AC" w14:textId="5BC10B52" w:rsidR="00A17DB7" w:rsidRPr="00B922AF" w:rsidRDefault="001A1FCC" w:rsidP="00A17DB7">
      <w:pPr>
        <w:pStyle w:val="Heading1"/>
        <w:overflowPunct w:val="0"/>
        <w:autoSpaceDE w:val="0"/>
        <w:autoSpaceDN w:val="0"/>
        <w:adjustRightInd w:val="0"/>
        <w:rPr>
          <w:rFonts w:eastAsia="PMingLiU" w:cs="Arial"/>
        </w:rPr>
      </w:pPr>
      <w:r w:rsidRPr="00B922AF">
        <w:rPr>
          <w:rFonts w:eastAsia="PMingLiU" w:cs="Arial"/>
        </w:rPr>
        <w:lastRenderedPageBreak/>
        <w:t>Conc</w:t>
      </w:r>
      <w:r w:rsidR="00A17DB7" w:rsidRPr="00B922AF">
        <w:rPr>
          <w:rFonts w:eastAsia="PMingLiU" w:cs="Arial"/>
        </w:rPr>
        <w:t>l</w:t>
      </w:r>
      <w:r w:rsidRPr="00B922AF">
        <w:rPr>
          <w:rFonts w:eastAsia="PMingLiU" w:cs="Arial"/>
        </w:rPr>
        <w:t>usion</w:t>
      </w:r>
      <w:bookmarkEnd w:id="6"/>
      <w:bookmarkEnd w:id="7"/>
      <w:bookmarkEnd w:id="8"/>
      <w:bookmarkEnd w:id="9"/>
    </w:p>
    <w:bookmarkEnd w:id="0"/>
    <w:bookmarkEnd w:id="1"/>
    <w:p w14:paraId="73B531CE" w14:textId="19708C7A" w:rsidR="00F243A7" w:rsidRDefault="00F243A7" w:rsidP="00F243A7">
      <w:pPr>
        <w:spacing w:after="240"/>
        <w:rPr>
          <w:lang w:val="en-GB"/>
        </w:rPr>
      </w:pPr>
      <w:r>
        <w:rPr>
          <w:lang w:val="en-GB"/>
        </w:rPr>
        <w:t xml:space="preserve">This document promulgated the </w:t>
      </w:r>
      <w:r w:rsidR="00187A71">
        <w:rPr>
          <w:lang w:val="en-GB"/>
        </w:rPr>
        <w:t>following proposal</w:t>
      </w:r>
      <w:r>
        <w:rPr>
          <w:lang w:val="en-GB"/>
        </w:rPr>
        <w:t>:</w:t>
      </w:r>
    </w:p>
    <w:p w14:paraId="0690AF90" w14:textId="77777777" w:rsidR="00187A71" w:rsidRPr="00187A71" w:rsidRDefault="00187A71" w:rsidP="00187A71">
      <w:pPr>
        <w:spacing w:after="240"/>
        <w:rPr>
          <w:lang w:val="en-GB"/>
        </w:rPr>
      </w:pPr>
      <w:r>
        <w:rPr>
          <w:b/>
          <w:lang w:val="en-GB"/>
        </w:rPr>
        <w:t>Proposal 1:</w:t>
      </w:r>
      <w:r>
        <w:rPr>
          <w:lang w:val="en-GB"/>
        </w:rPr>
        <w:t xml:space="preserve"> RAN2 should take a final decision on whether to support delta signalling for the UE capability ID.</w:t>
      </w:r>
    </w:p>
    <w:p w14:paraId="37487091" w14:textId="77777777" w:rsidR="005777B5" w:rsidRPr="005777B5" w:rsidRDefault="005777B5" w:rsidP="005777B5">
      <w:pPr>
        <w:spacing w:after="240"/>
        <w:rPr>
          <w:lang w:val="en-GB"/>
        </w:rPr>
      </w:pPr>
      <w:r>
        <w:rPr>
          <w:b/>
          <w:lang w:val="en-GB"/>
        </w:rPr>
        <w:t>Proposal 2:</w:t>
      </w:r>
      <w:r>
        <w:rPr>
          <w:lang w:val="en-GB"/>
        </w:rPr>
        <w:t xml:space="preserve"> Notify SA2 of the RAN2 decision on delta signalling.</w:t>
      </w:r>
    </w:p>
    <w:p w14:paraId="7F37F751" w14:textId="5735CD44" w:rsidR="00732182" w:rsidRPr="00B922AF" w:rsidRDefault="00732182" w:rsidP="00732182">
      <w:pPr>
        <w:pStyle w:val="Heading1"/>
        <w:overflowPunct w:val="0"/>
        <w:autoSpaceDE w:val="0"/>
        <w:autoSpaceDN w:val="0"/>
        <w:adjustRightInd w:val="0"/>
        <w:rPr>
          <w:rFonts w:eastAsia="PMingLiU" w:cs="Arial"/>
        </w:rPr>
      </w:pPr>
      <w:r w:rsidRPr="00B922AF">
        <w:rPr>
          <w:rFonts w:eastAsia="PMingLiU" w:cs="Arial"/>
        </w:rPr>
        <w:t>References</w:t>
      </w:r>
    </w:p>
    <w:p w14:paraId="2D48A6DA" w14:textId="432D5B3E" w:rsidR="00732182" w:rsidRPr="00B922AF" w:rsidRDefault="001C15D5" w:rsidP="003861A1">
      <w:pPr>
        <w:ind w:left="450" w:hanging="450"/>
        <w:rPr>
          <w:lang w:val="en-GB" w:eastAsia="en-US"/>
        </w:rPr>
      </w:pPr>
      <w:r w:rsidRPr="00B922AF">
        <w:rPr>
          <w:lang w:val="en-GB" w:eastAsia="en-US"/>
        </w:rPr>
        <w:t>[1]</w:t>
      </w:r>
      <w:r w:rsidRPr="00B922AF">
        <w:rPr>
          <w:lang w:val="en-GB" w:eastAsia="en-US"/>
        </w:rPr>
        <w:tab/>
        <w:t>R2-19</w:t>
      </w:r>
      <w:r w:rsidR="00B922AF" w:rsidRPr="00B922AF">
        <w:rPr>
          <w:lang w:val="en-GB" w:eastAsia="en-US"/>
        </w:rPr>
        <w:t>0</w:t>
      </w:r>
      <w:r w:rsidR="00187A71">
        <w:rPr>
          <w:lang w:val="en-GB" w:eastAsia="en-US"/>
        </w:rPr>
        <w:t>9541</w:t>
      </w:r>
      <w:r w:rsidR="00B922AF" w:rsidRPr="00B922AF">
        <w:rPr>
          <w:lang w:val="en-GB" w:eastAsia="en-US"/>
        </w:rPr>
        <w:t>, “</w:t>
      </w:r>
      <w:r w:rsidR="00187A71">
        <w:rPr>
          <w:lang w:val="en-GB" w:eastAsia="en-US"/>
        </w:rPr>
        <w:t>Consideration on the delta signalling of UE capability ID</w:t>
      </w:r>
      <w:r w:rsidR="00B922AF" w:rsidRPr="00B922AF">
        <w:rPr>
          <w:lang w:val="en-GB" w:eastAsia="en-US"/>
        </w:rPr>
        <w:t xml:space="preserve">”, </w:t>
      </w:r>
      <w:r w:rsidR="00187A71">
        <w:rPr>
          <w:lang w:val="en-GB" w:eastAsia="en-US"/>
        </w:rPr>
        <w:t>vivo</w:t>
      </w:r>
      <w:r w:rsidR="00B922AF" w:rsidRPr="00B922AF">
        <w:rPr>
          <w:lang w:val="en-GB" w:eastAsia="en-US"/>
        </w:rPr>
        <w:t>, RAN2#10</w:t>
      </w:r>
      <w:r w:rsidR="00187A71">
        <w:rPr>
          <w:lang w:val="en-GB" w:eastAsia="en-US"/>
        </w:rPr>
        <w:t>7</w:t>
      </w:r>
    </w:p>
    <w:p w14:paraId="0EFFC6D5" w14:textId="3B59CE35" w:rsidR="00211DDB" w:rsidRDefault="00B922AF" w:rsidP="00187A71">
      <w:pPr>
        <w:ind w:left="450" w:hanging="450"/>
        <w:rPr>
          <w:lang w:val="en-GB" w:eastAsia="en-US"/>
        </w:rPr>
      </w:pPr>
      <w:r w:rsidRPr="00B922AF">
        <w:rPr>
          <w:lang w:val="en-GB" w:eastAsia="en-US"/>
        </w:rPr>
        <w:t>[</w:t>
      </w:r>
      <w:r w:rsidR="00187A71">
        <w:rPr>
          <w:lang w:val="en-GB" w:eastAsia="en-US"/>
        </w:rPr>
        <w:t>2</w:t>
      </w:r>
      <w:r w:rsidRPr="00B922AF">
        <w:rPr>
          <w:lang w:val="en-GB" w:eastAsia="en-US"/>
        </w:rPr>
        <w:t>]</w:t>
      </w:r>
      <w:r w:rsidRPr="00B922AF">
        <w:rPr>
          <w:lang w:val="en-GB" w:eastAsia="en-US"/>
        </w:rPr>
        <w:tab/>
        <w:t>RP-190657, “New WI Proposal on optimisations on UE radio capability signalling – NR/E-UTRA Aspects”, MediaTek Inc., RAN#83</w:t>
      </w:r>
    </w:p>
    <w:p w14:paraId="42FDA04D" w14:textId="1C701BC5" w:rsidR="00187A71" w:rsidRPr="00B922AF" w:rsidRDefault="00187A71" w:rsidP="00187A71">
      <w:pPr>
        <w:ind w:left="450" w:hanging="450"/>
        <w:rPr>
          <w:lang w:val="en-GB" w:eastAsia="en-US"/>
        </w:rPr>
      </w:pPr>
      <w:r w:rsidRPr="00B922AF">
        <w:rPr>
          <w:lang w:val="en-GB" w:eastAsia="en-US"/>
        </w:rPr>
        <w:t>[</w:t>
      </w:r>
      <w:r>
        <w:rPr>
          <w:lang w:val="en-GB" w:eastAsia="en-US"/>
        </w:rPr>
        <w:t>3</w:t>
      </w:r>
      <w:r w:rsidRPr="00B922AF">
        <w:rPr>
          <w:lang w:val="en-GB" w:eastAsia="en-US"/>
        </w:rPr>
        <w:t>]</w:t>
      </w:r>
      <w:r w:rsidRPr="00B922AF">
        <w:rPr>
          <w:lang w:val="en-GB" w:eastAsia="en-US"/>
        </w:rPr>
        <w:tab/>
        <w:t>R2-19</w:t>
      </w:r>
      <w:r>
        <w:rPr>
          <w:lang w:val="en-GB" w:eastAsia="en-US"/>
        </w:rPr>
        <w:t>09048</w:t>
      </w:r>
      <w:r w:rsidRPr="00B922AF">
        <w:rPr>
          <w:lang w:val="en-GB" w:eastAsia="en-US"/>
        </w:rPr>
        <w:t>, “</w:t>
      </w:r>
      <w:r>
        <w:rPr>
          <w:lang w:val="en-GB" w:eastAsia="en-US"/>
        </w:rPr>
        <w:t>Support of delta signalling for UE capability identity</w:t>
      </w:r>
      <w:r w:rsidRPr="00B922AF">
        <w:rPr>
          <w:lang w:val="en-GB" w:eastAsia="en-US"/>
        </w:rPr>
        <w:t xml:space="preserve">”, </w:t>
      </w:r>
      <w:r>
        <w:rPr>
          <w:lang w:val="en-GB" w:eastAsia="en-US"/>
        </w:rPr>
        <w:t>MediaTek Inc</w:t>
      </w:r>
      <w:proofErr w:type="gramStart"/>
      <w:r>
        <w:rPr>
          <w:lang w:val="en-GB" w:eastAsia="en-US"/>
        </w:rPr>
        <w:t>./</w:t>
      </w:r>
      <w:proofErr w:type="gramEnd"/>
      <w:r>
        <w:rPr>
          <w:lang w:val="en-GB" w:eastAsia="en-US"/>
        </w:rPr>
        <w:t>OPPO</w:t>
      </w:r>
      <w:r w:rsidRPr="00B922AF">
        <w:rPr>
          <w:lang w:val="en-GB" w:eastAsia="en-US"/>
        </w:rPr>
        <w:t>, RAN2#10</w:t>
      </w:r>
      <w:r>
        <w:rPr>
          <w:lang w:val="en-GB" w:eastAsia="en-US"/>
        </w:rPr>
        <w:t>7</w:t>
      </w:r>
    </w:p>
    <w:p w14:paraId="16FB9306" w14:textId="5D3D6F06" w:rsidR="00187A71" w:rsidRPr="00B922AF" w:rsidRDefault="00187A71" w:rsidP="00187A71">
      <w:pPr>
        <w:ind w:left="450" w:hanging="450"/>
        <w:rPr>
          <w:lang w:val="en-GB" w:eastAsia="en-US"/>
        </w:rPr>
      </w:pPr>
      <w:r>
        <w:rPr>
          <w:lang w:val="en-GB" w:eastAsia="en-US"/>
        </w:rPr>
        <w:t>[4</w:t>
      </w:r>
      <w:r w:rsidRPr="00B922AF">
        <w:rPr>
          <w:lang w:val="en-GB" w:eastAsia="en-US"/>
        </w:rPr>
        <w:t>]</w:t>
      </w:r>
      <w:r w:rsidRPr="00B922AF">
        <w:rPr>
          <w:lang w:val="en-GB" w:eastAsia="en-US"/>
        </w:rPr>
        <w:tab/>
      </w:r>
      <w:r>
        <w:rPr>
          <w:lang w:val="en-GB" w:eastAsia="en-US"/>
        </w:rPr>
        <w:t>TR 23.743</w:t>
      </w:r>
    </w:p>
    <w:p w14:paraId="7F489BFF" w14:textId="77777777" w:rsidR="00187A71" w:rsidRPr="00B922AF" w:rsidRDefault="00187A71" w:rsidP="00187A71">
      <w:pPr>
        <w:ind w:left="450" w:hanging="450"/>
        <w:rPr>
          <w:lang w:val="en-GB" w:eastAsia="en-US"/>
        </w:rPr>
      </w:pPr>
    </w:p>
    <w:sectPr w:rsidR="00187A71" w:rsidRPr="00B922AF"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B17F01" w14:textId="77777777" w:rsidR="00AF0EF7" w:rsidRDefault="00AF0EF7">
      <w:pPr>
        <w:pStyle w:val="TAL"/>
      </w:pPr>
      <w:r>
        <w:separator/>
      </w:r>
    </w:p>
  </w:endnote>
  <w:endnote w:type="continuationSeparator" w:id="0">
    <w:p w14:paraId="5CA7A8B3" w14:textId="77777777" w:rsidR="00AF0EF7" w:rsidRDefault="00AF0EF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0566B4">
      <w:t>2</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8EC669" w14:textId="77777777" w:rsidR="00AF0EF7" w:rsidRDefault="00AF0EF7">
      <w:pPr>
        <w:pStyle w:val="TAL"/>
      </w:pPr>
      <w:r>
        <w:separator/>
      </w:r>
    </w:p>
  </w:footnote>
  <w:footnote w:type="continuationSeparator" w:id="0">
    <w:p w14:paraId="2A60F986" w14:textId="77777777" w:rsidR="00AF0EF7" w:rsidRDefault="00AF0EF7">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BE67980"/>
    <w:multiLevelType w:val="hybridMultilevel"/>
    <w:tmpl w:val="B7002D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15:restartNumberingAfterBreak="0">
    <w:nsid w:val="4E9D2CA0"/>
    <w:multiLevelType w:val="hybridMultilevel"/>
    <w:tmpl w:val="F0EC1A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C3475F"/>
    <w:multiLevelType w:val="hybridMultilevel"/>
    <w:tmpl w:val="E4E82A72"/>
    <w:lvl w:ilvl="0" w:tplc="73FE3E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5"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0"/>
  </w:num>
  <w:num w:numId="3">
    <w:abstractNumId w:val="14"/>
  </w:num>
  <w:num w:numId="4">
    <w:abstractNumId w:val="9"/>
  </w:num>
  <w:num w:numId="5">
    <w:abstractNumId w:val="6"/>
  </w:num>
  <w:num w:numId="6">
    <w:abstractNumId w:val="4"/>
  </w:num>
  <w:num w:numId="7">
    <w:abstractNumId w:val="19"/>
  </w:num>
  <w:num w:numId="8">
    <w:abstractNumId w:val="18"/>
  </w:num>
  <w:num w:numId="9">
    <w:abstractNumId w:val="0"/>
  </w:num>
  <w:num w:numId="10">
    <w:abstractNumId w:val="3"/>
  </w:num>
  <w:num w:numId="11">
    <w:abstractNumId w:val="12"/>
  </w:num>
  <w:num w:numId="12">
    <w:abstractNumId w:val="17"/>
  </w:num>
  <w:num w:numId="13">
    <w:abstractNumId w:val="16"/>
  </w:num>
  <w:num w:numId="14">
    <w:abstractNumId w:val="2"/>
  </w:num>
  <w:num w:numId="15">
    <w:abstractNumId w:val="11"/>
  </w:num>
  <w:num w:numId="16">
    <w:abstractNumId w:val="7"/>
  </w:num>
  <w:num w:numId="17">
    <w:abstractNumId w:val="15"/>
  </w:num>
  <w:num w:numId="18">
    <w:abstractNumId w:val="1"/>
  </w:num>
  <w:num w:numId="19">
    <w:abstractNumId w:val="13"/>
  </w:num>
  <w:num w:numId="20">
    <w:abstractNumId w:val="10"/>
  </w:num>
  <w:num w:numId="2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6B4"/>
    <w:rsid w:val="00056842"/>
    <w:rsid w:val="00056A1A"/>
    <w:rsid w:val="0005714B"/>
    <w:rsid w:val="00057364"/>
    <w:rsid w:val="00057BB7"/>
    <w:rsid w:val="00060288"/>
    <w:rsid w:val="000602A0"/>
    <w:rsid w:val="000603C5"/>
    <w:rsid w:val="000604FC"/>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0C32"/>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A71"/>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7F"/>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67F1D"/>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1A1"/>
    <w:rsid w:val="003862C9"/>
    <w:rsid w:val="0038721D"/>
    <w:rsid w:val="003874C3"/>
    <w:rsid w:val="003904DC"/>
    <w:rsid w:val="00390598"/>
    <w:rsid w:val="003907EA"/>
    <w:rsid w:val="00390B63"/>
    <w:rsid w:val="00390BD2"/>
    <w:rsid w:val="003912FD"/>
    <w:rsid w:val="003914B2"/>
    <w:rsid w:val="00391B9E"/>
    <w:rsid w:val="00391E80"/>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489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2F6"/>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002"/>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7B5"/>
    <w:rsid w:val="00577D0C"/>
    <w:rsid w:val="00580084"/>
    <w:rsid w:val="00580525"/>
    <w:rsid w:val="005807CE"/>
    <w:rsid w:val="005809B1"/>
    <w:rsid w:val="00580F08"/>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0FB7"/>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83"/>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371"/>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1AC2"/>
    <w:rsid w:val="00633653"/>
    <w:rsid w:val="00633745"/>
    <w:rsid w:val="00634DF3"/>
    <w:rsid w:val="0063541D"/>
    <w:rsid w:val="006357FC"/>
    <w:rsid w:val="00635F88"/>
    <w:rsid w:val="00636056"/>
    <w:rsid w:val="006365AE"/>
    <w:rsid w:val="006368E2"/>
    <w:rsid w:val="00636CB6"/>
    <w:rsid w:val="00637454"/>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7"/>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8C8"/>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77765"/>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C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1A3"/>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584"/>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3B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0E11"/>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1D5C"/>
    <w:rsid w:val="009E25C3"/>
    <w:rsid w:val="009E288D"/>
    <w:rsid w:val="009E28E2"/>
    <w:rsid w:val="009E2A56"/>
    <w:rsid w:val="009E2F65"/>
    <w:rsid w:val="009E3FB6"/>
    <w:rsid w:val="009E4374"/>
    <w:rsid w:val="009E4A3F"/>
    <w:rsid w:val="009E4F4F"/>
    <w:rsid w:val="009E50D6"/>
    <w:rsid w:val="009E5972"/>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B11"/>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21A"/>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39"/>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0EF7"/>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485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2AF"/>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9B5"/>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249"/>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01D"/>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A7F"/>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44F"/>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A5D"/>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2F0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3D65"/>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E787C"/>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06C"/>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6AF"/>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0F"/>
    <w:rsid w:val="00EB41BC"/>
    <w:rsid w:val="00EB4B20"/>
    <w:rsid w:val="00EB5B0D"/>
    <w:rsid w:val="00EB5B44"/>
    <w:rsid w:val="00EB5C3A"/>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A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3D4"/>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54F"/>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584ED0-7544-48F7-963C-EF654C1EF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491</Words>
  <Characters>2804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2019-10-04T03:33:00Z</dcterms:created>
  <dcterms:modified xsi:type="dcterms:W3CDTF">2019-10-04T03:33:00Z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