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E9C02" w14:textId="57FA120A" w:rsidR="00B87744" w:rsidRPr="009606B2" w:rsidRDefault="00B87744" w:rsidP="00B87744">
      <w:pPr>
        <w:pStyle w:val="3GPPHeader"/>
        <w:spacing w:after="60"/>
        <w:rPr>
          <w:sz w:val="32"/>
          <w:szCs w:val="32"/>
        </w:rPr>
      </w:pPr>
      <w:r w:rsidRPr="009606B2">
        <w:rPr>
          <w:lang w:val="en-US"/>
        </w:rPr>
        <w:t>3GPP TSG-RAN WG2 #10</w:t>
      </w:r>
      <w:r w:rsidR="009606B2" w:rsidRPr="009606B2">
        <w:rPr>
          <w:lang w:val="en-US"/>
        </w:rPr>
        <w:t>7</w:t>
      </w:r>
      <w:r w:rsidRPr="009606B2">
        <w:tab/>
      </w:r>
      <w:r w:rsidR="00F843A5" w:rsidRPr="00F843A5">
        <w:rPr>
          <w:sz w:val="32"/>
          <w:szCs w:val="32"/>
        </w:rPr>
        <w:t>R2-191084</w:t>
      </w:r>
      <w:r w:rsidR="00F843A5">
        <w:rPr>
          <w:sz w:val="32"/>
          <w:szCs w:val="32"/>
        </w:rPr>
        <w:t>7</w:t>
      </w:r>
    </w:p>
    <w:p w14:paraId="6233CBAC" w14:textId="1C175BC1" w:rsidR="00B87744" w:rsidRDefault="00B87744" w:rsidP="00B87744">
      <w:pPr>
        <w:pStyle w:val="3GPPHeader"/>
        <w:rPr>
          <w:noProof/>
        </w:rPr>
      </w:pPr>
      <w:r>
        <w:rPr>
          <w:noProof/>
        </w:rPr>
        <w:t>Prague, CZ, 26</w:t>
      </w:r>
      <w:r w:rsidRPr="00A2670F">
        <w:rPr>
          <w:noProof/>
          <w:vertAlign w:val="superscript"/>
        </w:rPr>
        <w:t>th</w:t>
      </w:r>
      <w:bookmarkStart w:id="0" w:name="_GoBack"/>
      <w:bookmarkEnd w:id="0"/>
      <w:r>
        <w:rPr>
          <w:noProof/>
        </w:rPr>
        <w:t>– 30</w:t>
      </w:r>
      <w:r>
        <w:rPr>
          <w:noProof/>
          <w:vertAlign w:val="superscript"/>
        </w:rPr>
        <w:t>st</w:t>
      </w:r>
      <w:r>
        <w:rPr>
          <w:noProof/>
        </w:rPr>
        <w:t xml:space="preserve"> August 2019</w:t>
      </w:r>
    </w:p>
    <w:p w14:paraId="7819623E" w14:textId="77777777" w:rsidR="00B87744" w:rsidRPr="00CE0424" w:rsidRDefault="00B87744" w:rsidP="00B87744">
      <w:pPr>
        <w:pStyle w:val="3GPPHeader"/>
      </w:pPr>
    </w:p>
    <w:p w14:paraId="00DADFC9" w14:textId="0F95FF01" w:rsidR="00B87744" w:rsidRPr="00F843A5" w:rsidRDefault="00B87744" w:rsidP="00B87744">
      <w:pPr>
        <w:pStyle w:val="3GPPHeader"/>
        <w:rPr>
          <w:sz w:val="22"/>
          <w:szCs w:val="22"/>
          <w:lang w:val="en-US"/>
        </w:rPr>
      </w:pPr>
      <w:r w:rsidRPr="00F843A5">
        <w:rPr>
          <w:sz w:val="22"/>
          <w:szCs w:val="22"/>
          <w:lang w:val="en-US"/>
        </w:rPr>
        <w:t>Agenda Item:</w:t>
      </w:r>
      <w:r w:rsidRPr="00F843A5">
        <w:rPr>
          <w:sz w:val="22"/>
          <w:szCs w:val="22"/>
          <w:lang w:val="en-US"/>
        </w:rPr>
        <w:tab/>
      </w:r>
      <w:r w:rsidR="009606B2" w:rsidRPr="00F843A5">
        <w:rPr>
          <w:sz w:val="22"/>
          <w:szCs w:val="22"/>
          <w:lang w:val="en-US"/>
        </w:rPr>
        <w:t>11.12.4</w:t>
      </w:r>
    </w:p>
    <w:p w14:paraId="67C7CDDA" w14:textId="77777777" w:rsidR="00B87744" w:rsidRPr="00D9404F" w:rsidRDefault="00B87744" w:rsidP="00B87744">
      <w:pPr>
        <w:pStyle w:val="3GPPHeader"/>
        <w:rPr>
          <w:sz w:val="22"/>
          <w:szCs w:val="22"/>
        </w:rPr>
      </w:pPr>
      <w:r w:rsidRPr="00D9404F">
        <w:rPr>
          <w:sz w:val="22"/>
          <w:szCs w:val="22"/>
        </w:rPr>
        <w:t>Source:</w:t>
      </w:r>
      <w:r w:rsidRPr="00D9404F">
        <w:rPr>
          <w:sz w:val="22"/>
          <w:szCs w:val="22"/>
        </w:rPr>
        <w:tab/>
        <w:t>Ericsson</w:t>
      </w:r>
    </w:p>
    <w:p w14:paraId="773107FF" w14:textId="3C656235" w:rsidR="00B87744" w:rsidRPr="00D9404F" w:rsidRDefault="00B87744" w:rsidP="00B87744">
      <w:pPr>
        <w:pStyle w:val="3GPPHeader"/>
        <w:rPr>
          <w:sz w:val="22"/>
          <w:szCs w:val="22"/>
        </w:rPr>
      </w:pPr>
      <w:r w:rsidRPr="00D9404F">
        <w:rPr>
          <w:sz w:val="22"/>
          <w:szCs w:val="22"/>
        </w:rPr>
        <w:t>Title:</w:t>
      </w:r>
      <w:r w:rsidRPr="00D9404F">
        <w:rPr>
          <w:sz w:val="22"/>
          <w:szCs w:val="22"/>
        </w:rPr>
        <w:tab/>
      </w:r>
      <w:r>
        <w:rPr>
          <w:sz w:val="22"/>
          <w:szCs w:val="22"/>
        </w:rPr>
        <w:t>Overview of Mobility Failure Cases</w:t>
      </w:r>
      <w:r w:rsidR="00F37E17">
        <w:rPr>
          <w:sz w:val="22"/>
          <w:szCs w:val="22"/>
        </w:rPr>
        <w:t xml:space="preserve"> and Potential Issues</w:t>
      </w:r>
    </w:p>
    <w:p w14:paraId="2F0CCB35" w14:textId="77777777" w:rsidR="00B87744" w:rsidRDefault="00B87744" w:rsidP="00B87744">
      <w:pPr>
        <w:pStyle w:val="3GPPHeader"/>
        <w:rPr>
          <w:sz w:val="22"/>
          <w:szCs w:val="22"/>
        </w:rPr>
      </w:pPr>
      <w:r w:rsidRPr="00D9404F">
        <w:rPr>
          <w:sz w:val="22"/>
          <w:szCs w:val="22"/>
        </w:rPr>
        <w:t>Document for:</w:t>
      </w:r>
      <w:r w:rsidRPr="00D9404F">
        <w:rPr>
          <w:sz w:val="22"/>
          <w:szCs w:val="22"/>
        </w:rPr>
        <w:tab/>
        <w:t>Discussion, Decision</w:t>
      </w:r>
    </w:p>
    <w:p w14:paraId="18DC769D" w14:textId="77777777" w:rsidR="00B87744" w:rsidRDefault="00B87744" w:rsidP="00B87744">
      <w:pPr>
        <w:pStyle w:val="Heading1"/>
      </w:pPr>
      <w:r w:rsidRPr="00CE0424">
        <w:t>Introduction</w:t>
      </w:r>
    </w:p>
    <w:p w14:paraId="5CBF2E04" w14:textId="32574160" w:rsidR="00B87744" w:rsidRDefault="00B87744" w:rsidP="00B87744">
      <w:pPr>
        <w:spacing w:after="0"/>
      </w:pPr>
      <w:bookmarkStart w:id="1" w:name="_Ref178064866"/>
      <w:r>
        <w:t xml:space="preserve">As part of the RAN centric data collection and utilization SI, several Self Organizing Network (SON) functions were discussed and some of the SON functions were also agreed </w:t>
      </w:r>
      <w:r w:rsidR="00133A7B">
        <w:t xml:space="preserve">and prioritized </w:t>
      </w:r>
      <w:r>
        <w:t xml:space="preserve">for WI phase. One of the SON functions agreed to be considered in WI phase is </w:t>
      </w:r>
      <w:r w:rsidR="00CB7599">
        <w:t>M</w:t>
      </w:r>
      <w:r>
        <w:t xml:space="preserve">obility </w:t>
      </w:r>
      <w:r w:rsidR="004D13A4">
        <w:t>R</w:t>
      </w:r>
      <w:r>
        <w:t xml:space="preserve">obustness </w:t>
      </w:r>
      <w:r w:rsidR="004D13A4">
        <w:t>O</w:t>
      </w:r>
      <w:r>
        <w:t xml:space="preserve">ptimization (MRO). </w:t>
      </w:r>
      <w:r w:rsidR="009606B2">
        <w:t>D</w:t>
      </w:r>
      <w:r>
        <w:t>ifferent mobility failure types have been classified</w:t>
      </w:r>
      <w:r w:rsidR="003F5ABE">
        <w:t xml:space="preserve"> based on the NR peculiarities while taking LTE as baseline</w:t>
      </w:r>
      <w:r>
        <w:t xml:space="preserve"> as</w:t>
      </w:r>
      <w:r w:rsidR="003F5ABE">
        <w:t>:</w:t>
      </w:r>
      <w:r>
        <w:t xml:space="preserve"> (i) intra system mobility failures and (ii) inter system mobility failures [1]. In this paper, we elaborate around intra-system failure types and discuss potential issues that may raise considering </w:t>
      </w:r>
      <w:r w:rsidR="00461496">
        <w:t>this classification</w:t>
      </w:r>
      <w:r w:rsidR="001E440F">
        <w:t xml:space="preserve"> which means further discussion may be required on classifying new failure cases.</w:t>
      </w:r>
    </w:p>
    <w:bookmarkEnd w:id="1"/>
    <w:p w14:paraId="2D552626" w14:textId="612AFB3A" w:rsidR="00B87744" w:rsidRPr="00CE0424" w:rsidRDefault="00461496" w:rsidP="00B87744">
      <w:pPr>
        <w:pStyle w:val="Heading1"/>
      </w:pPr>
      <w:r>
        <w:t>Background</w:t>
      </w:r>
    </w:p>
    <w:p w14:paraId="4E959970" w14:textId="77777777" w:rsidR="0087662F" w:rsidRPr="00815F14" w:rsidRDefault="0087662F" w:rsidP="0087662F">
      <w:pPr>
        <w:spacing w:afterLines="50"/>
      </w:pPr>
      <w:r w:rsidRPr="00BF04EC">
        <w:t xml:space="preserve">In LTE, Mobility Robustness Optimisation (MRO) aims at detecting and enabling correction of following </w:t>
      </w:r>
      <w:r w:rsidRPr="00815F14">
        <w:t>problems, which</w:t>
      </w:r>
      <w:r w:rsidRPr="00815F14">
        <w:rPr>
          <w:lang w:val="en-US"/>
        </w:rPr>
        <w:t xml:space="preserve"> will deteriorate user experience and waste network resources</w:t>
      </w:r>
      <w:r w:rsidRPr="00815F14">
        <w:t>:</w:t>
      </w:r>
    </w:p>
    <w:p w14:paraId="5C2C44A3" w14:textId="77777777" w:rsidR="0087662F" w:rsidRPr="00BF04EC" w:rsidRDefault="0087662F" w:rsidP="0087662F">
      <w:pPr>
        <w:pStyle w:val="B1"/>
        <w:spacing w:after="0"/>
      </w:pPr>
      <w:r w:rsidRPr="00815F14">
        <w:t>-</w:t>
      </w:r>
      <w:r w:rsidRPr="00815F14">
        <w:tab/>
        <w:t>Connection failure due to intra-LTE or inter-RAT mobility;</w:t>
      </w:r>
    </w:p>
    <w:p w14:paraId="29521116" w14:textId="77777777" w:rsidR="0087662F" w:rsidRPr="00BF04EC" w:rsidRDefault="0087662F" w:rsidP="0087662F">
      <w:pPr>
        <w:pStyle w:val="B1"/>
        <w:spacing w:after="0"/>
      </w:pPr>
      <w:r w:rsidRPr="00BF04EC">
        <w:t>-</w:t>
      </w:r>
      <w:r w:rsidRPr="00BF04EC">
        <w:tab/>
        <w:t>Unnecessary HO to another RAT (too early IRAT HO with no radio link failure);</w:t>
      </w:r>
    </w:p>
    <w:p w14:paraId="4C6633BC" w14:textId="77777777" w:rsidR="0087662F" w:rsidRPr="00BF04EC" w:rsidRDefault="0087662F" w:rsidP="0087662F">
      <w:pPr>
        <w:pStyle w:val="B1"/>
        <w:spacing w:after="0"/>
      </w:pPr>
      <w:r w:rsidRPr="00BF04EC">
        <w:t>-</w:t>
      </w:r>
      <w:r w:rsidRPr="00BF04EC">
        <w:tab/>
        <w:t>Inter-RAT ping-pong.</w:t>
      </w:r>
    </w:p>
    <w:p w14:paraId="07DB9CBA" w14:textId="0BAD4040" w:rsidR="0087662F" w:rsidRPr="00BF04EC" w:rsidRDefault="00DA6AC7" w:rsidP="0087662F">
      <w:pPr>
        <w:pStyle w:val="BodyText"/>
        <w:spacing w:beforeLines="50" w:before="120"/>
      </w:pPr>
      <w:r>
        <w:rPr>
          <w:lang w:val="en-US"/>
        </w:rPr>
        <w:t xml:space="preserve">In this paper we </w:t>
      </w:r>
      <w:r w:rsidR="006B6540">
        <w:rPr>
          <w:lang w:val="en-US"/>
        </w:rPr>
        <w:t xml:space="preserve">focus on failures identified and classified for intra-LTE </w:t>
      </w:r>
      <w:r w:rsidR="00F434A4">
        <w:rPr>
          <w:lang w:val="en-US"/>
        </w:rPr>
        <w:t>scenario.</w:t>
      </w:r>
      <w:r w:rsidR="006B6540">
        <w:rPr>
          <w:lang w:val="en-US"/>
        </w:rPr>
        <w:t xml:space="preserve"> </w:t>
      </w:r>
      <w:r w:rsidR="0087662F" w:rsidRPr="00BF04EC">
        <w:rPr>
          <w:lang w:val="en-US"/>
        </w:rPr>
        <w:t xml:space="preserve">For </w:t>
      </w:r>
      <w:r w:rsidR="0087662F" w:rsidRPr="00BF04EC">
        <w:t>connection failure due to intra-LTE,</w:t>
      </w:r>
      <w:r w:rsidR="0087662F" w:rsidRPr="00BF04EC">
        <w:rPr>
          <w:lang w:val="en-US"/>
        </w:rPr>
        <w:t xml:space="preserve"> three kinds of failures were identified: </w:t>
      </w:r>
      <w:r w:rsidR="0087662F" w:rsidRPr="00BF04EC">
        <w:t xml:space="preserve">too late HO, too early HO and HO to a wrong cell. The detection of the events is enabled by the RLF Indication and HO Report procedures. By analysing the report from UE and network side information, HO related parameters could be adjusted to resolve the detected problems. </w:t>
      </w:r>
    </w:p>
    <w:p w14:paraId="46A8DE07" w14:textId="77777777" w:rsidR="00EF1E4A" w:rsidRDefault="0087662F" w:rsidP="008A18C7">
      <w:pPr>
        <w:pStyle w:val="BodyText"/>
        <w:rPr>
          <w:lang w:val="en-US"/>
        </w:rPr>
      </w:pPr>
      <w:r w:rsidRPr="00BF04EC">
        <w:rPr>
          <w:lang w:val="en-US"/>
        </w:rPr>
        <w:t xml:space="preserve">For NR, mobility optimization solution </w:t>
      </w:r>
      <w:r w:rsidR="00427185">
        <w:rPr>
          <w:lang w:val="en-US"/>
        </w:rPr>
        <w:t xml:space="preserve">is </w:t>
      </w:r>
      <w:r w:rsidR="007F5C26">
        <w:rPr>
          <w:lang w:val="en-US"/>
        </w:rPr>
        <w:t>studied</w:t>
      </w:r>
      <w:r w:rsidRPr="00BF04EC">
        <w:rPr>
          <w:lang w:val="en-US"/>
        </w:rPr>
        <w:t xml:space="preserve"> to </w:t>
      </w:r>
      <w:r w:rsidR="007F5C26">
        <w:rPr>
          <w:lang w:val="en-US"/>
        </w:rPr>
        <w:t xml:space="preserve">possibly </w:t>
      </w:r>
      <w:r w:rsidRPr="00BF04EC">
        <w:rPr>
          <w:lang w:val="en-US"/>
        </w:rPr>
        <w:t>detect and resolve the above</w:t>
      </w:r>
      <w:r w:rsidR="00321112">
        <w:rPr>
          <w:lang w:val="en-US"/>
        </w:rPr>
        <w:t>-</w:t>
      </w:r>
      <w:r w:rsidR="00156696">
        <w:rPr>
          <w:lang w:val="en-US"/>
        </w:rPr>
        <w:t>mentioned problems</w:t>
      </w:r>
      <w:r w:rsidR="00F26E6F">
        <w:rPr>
          <w:lang w:val="en-US"/>
        </w:rPr>
        <w:t>,</w:t>
      </w:r>
      <w:r w:rsidR="00372575">
        <w:rPr>
          <w:lang w:val="en-US"/>
        </w:rPr>
        <w:t xml:space="preserve"> </w:t>
      </w:r>
      <w:r w:rsidR="007F5C26">
        <w:rPr>
          <w:lang w:val="en-US"/>
        </w:rPr>
        <w:t>by</w:t>
      </w:r>
      <w:r w:rsidR="00F26E6F">
        <w:rPr>
          <w:lang w:val="en-US"/>
        </w:rPr>
        <w:t xml:space="preserve"> </w:t>
      </w:r>
      <w:r w:rsidRPr="00BF04EC">
        <w:rPr>
          <w:lang w:val="en-US"/>
        </w:rPr>
        <w:t>tak</w:t>
      </w:r>
      <w:r w:rsidR="00F26E6F">
        <w:rPr>
          <w:lang w:val="en-US"/>
        </w:rPr>
        <w:t>ing LTE</w:t>
      </w:r>
      <w:r w:rsidRPr="00BF04EC">
        <w:rPr>
          <w:lang w:val="en-US"/>
        </w:rPr>
        <w:t xml:space="preserve"> </w:t>
      </w:r>
      <w:r w:rsidR="007F5C26">
        <w:rPr>
          <w:lang w:val="en-US"/>
        </w:rPr>
        <w:t xml:space="preserve">solution </w:t>
      </w:r>
      <w:r w:rsidRPr="00BF04EC">
        <w:rPr>
          <w:lang w:val="en-US"/>
        </w:rPr>
        <w:t>as the baseline</w:t>
      </w:r>
      <w:r w:rsidR="007F5C26">
        <w:rPr>
          <w:lang w:val="en-US"/>
        </w:rPr>
        <w:t xml:space="preserve"> solution</w:t>
      </w:r>
      <w:r w:rsidR="00372575">
        <w:rPr>
          <w:lang w:val="en-US"/>
        </w:rPr>
        <w:t xml:space="preserve">. </w:t>
      </w:r>
      <w:r w:rsidR="00CC5AFD">
        <w:rPr>
          <w:lang w:val="en-US"/>
        </w:rPr>
        <w:t>Generally</w:t>
      </w:r>
      <w:r w:rsidR="00321112">
        <w:rPr>
          <w:lang w:val="en-US"/>
        </w:rPr>
        <w:t>,</w:t>
      </w:r>
      <w:r w:rsidR="00C9791A">
        <w:rPr>
          <w:lang w:val="en-US"/>
        </w:rPr>
        <w:t xml:space="preserve"> NR mobility failures</w:t>
      </w:r>
      <w:r w:rsidR="00CC5AFD">
        <w:rPr>
          <w:lang w:val="en-US"/>
        </w:rPr>
        <w:t xml:space="preserve"> can be classified as </w:t>
      </w:r>
    </w:p>
    <w:p w14:paraId="46472E9A" w14:textId="2FE17526" w:rsidR="00EF1E4A" w:rsidRDefault="00CC5AFD" w:rsidP="00EF1E4A">
      <w:pPr>
        <w:pStyle w:val="BodyText"/>
        <w:numPr>
          <w:ilvl w:val="0"/>
          <w:numId w:val="14"/>
        </w:numPr>
        <w:rPr>
          <w:lang w:val="en-US"/>
        </w:rPr>
      </w:pPr>
      <w:r>
        <w:rPr>
          <w:lang w:val="en-US"/>
        </w:rPr>
        <w:t>intra-system mobility failures</w:t>
      </w:r>
      <w:r w:rsidR="00EF1E4A">
        <w:rPr>
          <w:lang w:val="en-US"/>
        </w:rPr>
        <w:t>,</w:t>
      </w:r>
      <w:r>
        <w:rPr>
          <w:lang w:val="en-US"/>
        </w:rPr>
        <w:t xml:space="preserve"> </w:t>
      </w:r>
    </w:p>
    <w:p w14:paraId="5B728E58" w14:textId="77777777" w:rsidR="00EF1E4A" w:rsidRDefault="00CC5AFD" w:rsidP="00EF1E4A">
      <w:pPr>
        <w:pStyle w:val="BodyText"/>
        <w:numPr>
          <w:ilvl w:val="0"/>
          <w:numId w:val="14"/>
        </w:numPr>
        <w:rPr>
          <w:lang w:val="en-US"/>
        </w:rPr>
      </w:pPr>
      <w:r>
        <w:rPr>
          <w:lang w:val="en-US"/>
        </w:rPr>
        <w:t>inter-system mobility failure</w:t>
      </w:r>
      <w:r w:rsidR="00C9791A">
        <w:rPr>
          <w:lang w:val="en-US"/>
        </w:rPr>
        <w:t>s</w:t>
      </w:r>
      <w:r w:rsidR="00321112">
        <w:rPr>
          <w:lang w:val="en-US"/>
        </w:rPr>
        <w:t xml:space="preserve">. </w:t>
      </w:r>
    </w:p>
    <w:p w14:paraId="3830F732" w14:textId="70E25E45" w:rsidR="00B87744" w:rsidRPr="008A18C7" w:rsidRDefault="00EF1E4A" w:rsidP="008A18C7">
      <w:pPr>
        <w:pStyle w:val="BodyText"/>
      </w:pPr>
      <w:r>
        <w:rPr>
          <w:lang w:val="en-US"/>
        </w:rPr>
        <w:t>Here w</w:t>
      </w:r>
      <w:r w:rsidR="00321112">
        <w:rPr>
          <w:lang w:val="en-US"/>
        </w:rPr>
        <w:t>e focus on</w:t>
      </w:r>
      <w:r w:rsidR="00372575">
        <w:rPr>
          <w:lang w:val="en-US"/>
        </w:rPr>
        <w:t xml:space="preserve"> </w:t>
      </w:r>
      <w:r w:rsidR="001660B1">
        <w:rPr>
          <w:lang w:val="en-US"/>
        </w:rPr>
        <w:t>intra</w:t>
      </w:r>
      <w:r w:rsidR="000E1161">
        <w:rPr>
          <w:lang w:val="en-US"/>
        </w:rPr>
        <w:t>-system</w:t>
      </w:r>
      <w:r w:rsidR="001660B1">
        <w:rPr>
          <w:lang w:val="en-US"/>
        </w:rPr>
        <w:t xml:space="preserve"> scenario</w:t>
      </w:r>
      <w:r w:rsidR="00F943C7">
        <w:rPr>
          <w:lang w:val="en-US"/>
        </w:rPr>
        <w:t xml:space="preserve"> and discuss new types of failures that may need to be further investigated in RAN2 </w:t>
      </w:r>
      <w:r w:rsidR="00245519">
        <w:rPr>
          <w:lang w:val="en-US"/>
        </w:rPr>
        <w:t xml:space="preserve">as new </w:t>
      </w:r>
      <w:r w:rsidR="00207B19">
        <w:rPr>
          <w:lang w:val="en-US"/>
        </w:rPr>
        <w:t xml:space="preserve">classification for these </w:t>
      </w:r>
      <w:r w:rsidR="00245519">
        <w:rPr>
          <w:lang w:val="en-US"/>
        </w:rPr>
        <w:t xml:space="preserve">types of failures </w:t>
      </w:r>
      <w:r w:rsidR="00207B19">
        <w:rPr>
          <w:lang w:val="en-US"/>
        </w:rPr>
        <w:t>may be</w:t>
      </w:r>
      <w:r w:rsidR="00245519">
        <w:rPr>
          <w:lang w:val="en-US"/>
        </w:rPr>
        <w:t xml:space="preserve"> required</w:t>
      </w:r>
      <w:r w:rsidR="00F943C7">
        <w:rPr>
          <w:lang w:val="en-US"/>
        </w:rPr>
        <w:t>.</w:t>
      </w:r>
      <w:r w:rsidR="0087662F" w:rsidRPr="00BF04EC">
        <w:t xml:space="preserve"> </w:t>
      </w:r>
    </w:p>
    <w:p w14:paraId="4987FFD2" w14:textId="58CFD3B7" w:rsidR="00B87744" w:rsidRDefault="00461496" w:rsidP="00B87744">
      <w:pPr>
        <w:pStyle w:val="Heading2"/>
        <w:rPr>
          <w:lang w:val="en-US"/>
        </w:rPr>
      </w:pPr>
      <w:r>
        <w:rPr>
          <w:lang w:val="en-US"/>
        </w:rPr>
        <w:t>Intra</w:t>
      </w:r>
      <w:r w:rsidR="00396BF6">
        <w:rPr>
          <w:lang w:val="en-US"/>
        </w:rPr>
        <w:t xml:space="preserve">-system mobility failures classification </w:t>
      </w:r>
    </w:p>
    <w:p w14:paraId="37F9F0EB" w14:textId="6315B49B" w:rsidR="00D93BE7" w:rsidRDefault="00FE5A8C" w:rsidP="00D93BE7">
      <w:pPr>
        <w:rPr>
          <w:lang w:val="en-US"/>
        </w:rPr>
      </w:pPr>
      <w:proofErr w:type="gramStart"/>
      <w:r>
        <w:rPr>
          <w:lang w:val="en-US"/>
        </w:rPr>
        <w:t>Similar to</w:t>
      </w:r>
      <w:proofErr w:type="gramEnd"/>
      <w:r>
        <w:rPr>
          <w:lang w:val="en-US"/>
        </w:rPr>
        <w:t xml:space="preserve"> the LTE network</w:t>
      </w:r>
      <w:r w:rsidR="00050DD4">
        <w:rPr>
          <w:lang w:val="en-US"/>
        </w:rPr>
        <w:t>, in NR</w:t>
      </w:r>
      <w:r>
        <w:rPr>
          <w:lang w:val="en-US"/>
        </w:rPr>
        <w:t xml:space="preserve"> UE may fail to perform the HO </w:t>
      </w:r>
      <w:r w:rsidR="00EA582C">
        <w:rPr>
          <w:lang w:val="en-US"/>
        </w:rPr>
        <w:t>due to the wrong cell level configurations (e.g., cell individual offset [CIO] or time to trigger [TTT] values).</w:t>
      </w:r>
      <w:r>
        <w:rPr>
          <w:lang w:val="en-US"/>
        </w:rPr>
        <w:t xml:space="preserve"> </w:t>
      </w:r>
      <w:r w:rsidR="00870BA3">
        <w:rPr>
          <w:lang w:val="en-US"/>
        </w:rPr>
        <w:t xml:space="preserve">Wrong configurations of such parameters may cause Too Early, Too Late HOs, or handover to a wrong cell. </w:t>
      </w:r>
      <w:r w:rsidR="006D2207">
        <w:rPr>
          <w:lang w:val="en-US"/>
        </w:rPr>
        <w:t>D</w:t>
      </w:r>
      <w:r w:rsidR="002E0C29">
        <w:rPr>
          <w:lang w:val="en-US"/>
        </w:rPr>
        <w:t>etection of such failure using the information provided by radio link failure report (RLF report)</w:t>
      </w:r>
      <w:r w:rsidR="00C31037">
        <w:rPr>
          <w:lang w:val="en-US"/>
        </w:rPr>
        <w:t>, forwarded via</w:t>
      </w:r>
      <w:r w:rsidR="002E0C29">
        <w:rPr>
          <w:lang w:val="en-US"/>
        </w:rPr>
        <w:t xml:space="preserve"> X2/</w:t>
      </w:r>
      <w:proofErr w:type="spellStart"/>
      <w:r w:rsidR="002E0C29">
        <w:rPr>
          <w:lang w:val="en-US"/>
        </w:rPr>
        <w:t>Xn</w:t>
      </w:r>
      <w:proofErr w:type="spellEnd"/>
      <w:r w:rsidR="002E0C29">
        <w:rPr>
          <w:lang w:val="en-US"/>
        </w:rPr>
        <w:t xml:space="preserve"> </w:t>
      </w:r>
      <w:r w:rsidR="00C31037">
        <w:rPr>
          <w:lang w:val="en-US"/>
        </w:rPr>
        <w:t>between R</w:t>
      </w:r>
      <w:r w:rsidR="00DC724C">
        <w:rPr>
          <w:lang w:val="en-US"/>
        </w:rPr>
        <w:t>AN</w:t>
      </w:r>
      <w:r w:rsidR="00C31037">
        <w:rPr>
          <w:lang w:val="en-US"/>
        </w:rPr>
        <w:t xml:space="preserve"> nodes owning </w:t>
      </w:r>
      <w:r w:rsidR="00DC724C">
        <w:rPr>
          <w:lang w:val="en-US"/>
        </w:rPr>
        <w:t xml:space="preserve">re-established cell, </w:t>
      </w:r>
      <w:r w:rsidR="00C31037">
        <w:rPr>
          <w:lang w:val="en-US"/>
        </w:rPr>
        <w:t>source</w:t>
      </w:r>
      <w:r w:rsidR="00DC724C">
        <w:rPr>
          <w:lang w:val="en-US"/>
        </w:rPr>
        <w:t xml:space="preserve"> and target cells</w:t>
      </w:r>
      <w:r w:rsidR="006D2207">
        <w:rPr>
          <w:lang w:val="en-US"/>
        </w:rPr>
        <w:t>,</w:t>
      </w:r>
      <w:r w:rsidR="00DC724C">
        <w:rPr>
          <w:lang w:val="en-US"/>
        </w:rPr>
        <w:t xml:space="preserve"> assist</w:t>
      </w:r>
      <w:r w:rsidR="002104E1">
        <w:rPr>
          <w:lang w:val="en-US"/>
        </w:rPr>
        <w:t>s</w:t>
      </w:r>
      <w:r w:rsidR="00DC724C">
        <w:rPr>
          <w:lang w:val="en-US"/>
        </w:rPr>
        <w:t xml:space="preserve"> the network to build statistics </w:t>
      </w:r>
      <w:r w:rsidR="00B22F65">
        <w:rPr>
          <w:lang w:val="en-US"/>
        </w:rPr>
        <w:t>for each failure type and optimize the cell level mobility configuration parameters to enhance the mobility procedure.</w:t>
      </w:r>
      <w:r w:rsidR="00C31037">
        <w:rPr>
          <w:lang w:val="en-US"/>
        </w:rPr>
        <w:t xml:space="preserve"> </w:t>
      </w:r>
      <w:r w:rsidR="00547D66">
        <w:rPr>
          <w:lang w:val="en-US"/>
        </w:rPr>
        <w:t>Therefore</w:t>
      </w:r>
      <w:r w:rsidR="00BD59C8">
        <w:rPr>
          <w:lang w:val="en-US"/>
        </w:rPr>
        <w:t>,</w:t>
      </w:r>
      <w:r w:rsidR="00870BA3">
        <w:rPr>
          <w:lang w:val="en-US"/>
        </w:rPr>
        <w:t xml:space="preserve"> </w:t>
      </w:r>
      <w:r w:rsidR="00436CEC">
        <w:rPr>
          <w:lang w:val="en-US"/>
        </w:rPr>
        <w:t xml:space="preserve">the </w:t>
      </w:r>
      <w:r w:rsidR="00BD59C8">
        <w:rPr>
          <w:lang w:val="en-US"/>
        </w:rPr>
        <w:t xml:space="preserve">intra-LTE </w:t>
      </w:r>
      <w:r w:rsidR="00436CEC">
        <w:rPr>
          <w:lang w:val="en-US"/>
        </w:rPr>
        <w:t xml:space="preserve">failure types </w:t>
      </w:r>
      <w:r w:rsidR="00B8401A">
        <w:rPr>
          <w:lang w:val="en-US"/>
        </w:rPr>
        <w:t>classified in LTE (</w:t>
      </w:r>
      <w:r w:rsidR="006B5665">
        <w:rPr>
          <w:lang w:val="en-US"/>
        </w:rPr>
        <w:t>according to the TS 36.300</w:t>
      </w:r>
      <w:r w:rsidR="00B8401A">
        <w:rPr>
          <w:lang w:val="en-US"/>
        </w:rPr>
        <w:t>) are applicable in NR</w:t>
      </w:r>
      <w:r w:rsidR="006B5665">
        <w:rPr>
          <w:lang w:val="en-US"/>
        </w:rPr>
        <w:t xml:space="preserve"> mobility scenarios</w:t>
      </w:r>
      <w:r w:rsidR="00BD59C8">
        <w:rPr>
          <w:lang w:val="en-US"/>
        </w:rPr>
        <w:t xml:space="preserve"> and same solution can be </w:t>
      </w:r>
      <w:r w:rsidR="000B3C0B">
        <w:rPr>
          <w:lang w:val="en-US"/>
        </w:rPr>
        <w:t>applicable</w:t>
      </w:r>
      <w:r w:rsidR="00BD59C8">
        <w:rPr>
          <w:lang w:val="en-US"/>
        </w:rPr>
        <w:t xml:space="preserve"> to </w:t>
      </w:r>
      <w:r w:rsidR="00330A35">
        <w:rPr>
          <w:lang w:val="en-US"/>
        </w:rPr>
        <w:t>detect and resolve such problems</w:t>
      </w:r>
      <w:r w:rsidR="000B3C0B">
        <w:rPr>
          <w:lang w:val="en-US"/>
        </w:rPr>
        <w:t xml:space="preserve"> which is truly captured in </w:t>
      </w:r>
      <w:r w:rsidR="00985626">
        <w:rPr>
          <w:lang w:val="en-US"/>
        </w:rPr>
        <w:t>the TR 37.816</w:t>
      </w:r>
      <w:r w:rsidR="006B5665">
        <w:rPr>
          <w:lang w:val="en-US"/>
        </w:rPr>
        <w:t>.</w:t>
      </w:r>
      <w:r w:rsidR="00EE3C1B">
        <w:rPr>
          <w:lang w:val="en-US"/>
        </w:rPr>
        <w:t xml:space="preserve"> Here is an excerpt from </w:t>
      </w:r>
      <w:r w:rsidR="00985626">
        <w:rPr>
          <w:lang w:val="en-US"/>
        </w:rPr>
        <w:t xml:space="preserve">TR </w:t>
      </w:r>
      <w:r w:rsidR="00EE3C1B">
        <w:rPr>
          <w:lang w:val="en-US"/>
        </w:rPr>
        <w:t>37.816</w:t>
      </w:r>
      <w:r w:rsidR="002800BF">
        <w:rPr>
          <w:lang w:val="en-US"/>
        </w:rPr>
        <w:t xml:space="preserve"> highlighting three failure types that UE may experience in NR as in LTE</w:t>
      </w:r>
      <w:r w:rsidR="00E31A3B">
        <w:rPr>
          <w:lang w:val="en-US"/>
        </w:rPr>
        <w:t>.</w:t>
      </w:r>
    </w:p>
    <w:p w14:paraId="652AE4FA" w14:textId="77777777" w:rsidR="00A159D1" w:rsidRDefault="00A159D1" w:rsidP="00D93BE7">
      <w:pPr>
        <w:rPr>
          <w:lang w:val="en-US"/>
        </w:rPr>
      </w:pPr>
    </w:p>
    <w:p w14:paraId="76640DF1" w14:textId="668D6A01" w:rsidR="00EE3C1B" w:rsidRDefault="00EE3C1B" w:rsidP="00D93BE7">
      <w:pPr>
        <w:rPr>
          <w:lang w:val="en-US"/>
        </w:rPr>
      </w:pPr>
      <w:r>
        <w:rPr>
          <w:noProof/>
          <w:lang w:val="en-US"/>
        </w:rPr>
        <w:lastRenderedPageBreak/>
        <mc:AlternateContent>
          <mc:Choice Requires="wps">
            <w:drawing>
              <wp:anchor distT="0" distB="0" distL="114300" distR="114300" simplePos="0" relativeHeight="251658240" behindDoc="0" locked="0" layoutInCell="1" allowOverlap="1" wp14:anchorId="5A2898AE" wp14:editId="3654D89C">
                <wp:simplePos x="0" y="0"/>
                <wp:positionH relativeFrom="column">
                  <wp:posOffset>113843</wp:posOffset>
                </wp:positionH>
                <wp:positionV relativeFrom="paragraph">
                  <wp:posOffset>57861</wp:posOffset>
                </wp:positionV>
                <wp:extent cx="5786323" cy="2172615"/>
                <wp:effectExtent l="0" t="0" r="24130" b="18415"/>
                <wp:wrapNone/>
                <wp:docPr id="2" name="Rectangle 2"/>
                <wp:cNvGraphicFramePr/>
                <a:graphic xmlns:a="http://schemas.openxmlformats.org/drawingml/2006/main">
                  <a:graphicData uri="http://schemas.microsoft.com/office/word/2010/wordprocessingShape">
                    <wps:wsp>
                      <wps:cNvSpPr/>
                      <wps:spPr>
                        <a:xfrm>
                          <a:off x="0" y="0"/>
                          <a:ext cx="5786323" cy="217261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B04BCB" w14:textId="77777777" w:rsidR="00EE3C1B" w:rsidRPr="00EE3C1B" w:rsidRDefault="00EE3C1B" w:rsidP="00EE3C1B">
                            <w:pPr>
                              <w:pStyle w:val="BodyText"/>
                              <w:numPr>
                                <w:ilvl w:val="0"/>
                                <w:numId w:val="11"/>
                              </w:numPr>
                              <w:overflowPunct/>
                              <w:autoSpaceDE/>
                              <w:autoSpaceDN/>
                              <w:adjustRightInd/>
                              <w:spacing w:after="180"/>
                              <w:jc w:val="left"/>
                              <w:textAlignment w:val="auto"/>
                              <w:rPr>
                                <w:b/>
                                <w:color w:val="000000" w:themeColor="text1"/>
                              </w:rPr>
                            </w:pPr>
                            <w:r w:rsidRPr="00EE3C1B">
                              <w:rPr>
                                <w:rFonts w:hint="eastAsia"/>
                                <w:b/>
                                <w:color w:val="000000" w:themeColor="text1"/>
                              </w:rPr>
                              <w:t>Connection failure due to intra-system mobility</w:t>
                            </w:r>
                          </w:p>
                          <w:p w14:paraId="4A585561" w14:textId="77777777" w:rsidR="00EE3C1B" w:rsidRPr="00EE3C1B" w:rsidRDefault="00EE3C1B" w:rsidP="00EE3C1B">
                            <w:pPr>
                              <w:pStyle w:val="BodyText"/>
                              <w:rPr>
                                <w:b/>
                                <w:color w:val="000000" w:themeColor="text1"/>
                              </w:rPr>
                            </w:pPr>
                            <w:r w:rsidRPr="00EE3C1B">
                              <w:rPr>
                                <w:rFonts w:hint="eastAsia"/>
                                <w:b/>
                                <w:color w:val="000000" w:themeColor="text1"/>
                              </w:rPr>
                              <w:t xml:space="preserve">      </w:t>
                            </w:r>
                            <w:r w:rsidRPr="00EE3C1B">
                              <w:rPr>
                                <w:b/>
                                <w:color w:val="000000" w:themeColor="text1"/>
                              </w:rPr>
                              <w:t>F</w:t>
                            </w:r>
                            <w:r w:rsidRPr="00EE3C1B">
                              <w:rPr>
                                <w:rFonts w:hint="eastAsia"/>
                                <w:b/>
                                <w:color w:val="000000" w:themeColor="text1"/>
                              </w:rPr>
                              <w:t>ailure event definition:</w:t>
                            </w:r>
                          </w:p>
                          <w:p w14:paraId="39D051A4" w14:textId="77777777" w:rsidR="00EE3C1B" w:rsidRPr="00EE3C1B" w:rsidRDefault="00EE3C1B" w:rsidP="00EE3C1B">
                            <w:pPr>
                              <w:pStyle w:val="B1"/>
                              <w:numPr>
                                <w:ilvl w:val="0"/>
                                <w:numId w:val="12"/>
                              </w:numPr>
                              <w:ind w:left="568" w:hanging="284"/>
                              <w:rPr>
                                <w:color w:val="000000" w:themeColor="text1"/>
                              </w:rPr>
                            </w:pPr>
                            <w:r w:rsidRPr="00EE3C1B">
                              <w:rPr>
                                <w:color w:val="000000" w:themeColor="text1"/>
                              </w:rPr>
                              <w:t>[</w:t>
                            </w:r>
                            <w:r w:rsidRPr="00EE3C1B">
                              <w:rPr>
                                <w:rFonts w:hint="eastAsia"/>
                                <w:color w:val="000000" w:themeColor="text1"/>
                                <w:lang w:eastAsia="zh-CN"/>
                              </w:rPr>
                              <w:t>I</w:t>
                            </w:r>
                            <w:r w:rsidRPr="00EE3C1B">
                              <w:rPr>
                                <w:rFonts w:hint="eastAsia"/>
                                <w:color w:val="000000" w:themeColor="text1"/>
                              </w:rPr>
                              <w:t>ntra-</w:t>
                            </w:r>
                            <w:r w:rsidRPr="00EE3C1B">
                              <w:rPr>
                                <w:rFonts w:hint="eastAsia"/>
                                <w:color w:val="000000" w:themeColor="text1"/>
                                <w:lang w:eastAsia="zh-CN"/>
                              </w:rPr>
                              <w:t>system</w:t>
                            </w:r>
                            <w:r w:rsidRPr="00EE3C1B">
                              <w:rPr>
                                <w:color w:val="000000" w:themeColor="text1"/>
                              </w:rPr>
                              <w:t xml:space="preserve"> Too Late Handover] An RLF occurs after the UE has stayed for a long period of time in the cell; the UE attempts to re-establish the radio link connection in a different cell.</w:t>
                            </w:r>
                          </w:p>
                          <w:p w14:paraId="07D8CD89" w14:textId="77777777" w:rsidR="00EE3C1B" w:rsidRPr="00EE3C1B" w:rsidRDefault="00EE3C1B" w:rsidP="00EE3C1B">
                            <w:pPr>
                              <w:pStyle w:val="B1"/>
                              <w:numPr>
                                <w:ilvl w:val="0"/>
                                <w:numId w:val="12"/>
                              </w:numPr>
                              <w:ind w:left="568" w:hanging="284"/>
                              <w:rPr>
                                <w:color w:val="000000" w:themeColor="text1"/>
                              </w:rPr>
                            </w:pPr>
                            <w:r w:rsidRPr="00EE3C1B">
                              <w:rPr>
                                <w:color w:val="000000" w:themeColor="text1"/>
                              </w:rPr>
                              <w:t>[</w:t>
                            </w:r>
                            <w:r w:rsidRPr="00EE3C1B">
                              <w:rPr>
                                <w:rFonts w:hint="eastAsia"/>
                                <w:color w:val="000000" w:themeColor="text1"/>
                              </w:rPr>
                              <w:t>Intra-system</w:t>
                            </w:r>
                            <w:r w:rsidRPr="00EE3C1B">
                              <w:rPr>
                                <w:color w:val="000000" w:themeColor="text1"/>
                              </w:rPr>
                              <w:t xml:space="preserve"> Too Early Handover] An RLF occurs shortly after a successful handover from a source cell to a target cell or a handover failure occurs during the handover procedure; the UE attempts to re-establish the radio link connection in the source cell.</w:t>
                            </w:r>
                          </w:p>
                          <w:p w14:paraId="2351A2CA" w14:textId="77777777" w:rsidR="00EE3C1B" w:rsidRPr="00EE3C1B" w:rsidRDefault="00EE3C1B" w:rsidP="00EE3C1B">
                            <w:pPr>
                              <w:pStyle w:val="B1"/>
                              <w:numPr>
                                <w:ilvl w:val="0"/>
                                <w:numId w:val="12"/>
                              </w:numPr>
                              <w:ind w:left="568" w:hanging="284"/>
                              <w:rPr>
                                <w:color w:val="000000" w:themeColor="text1"/>
                              </w:rPr>
                            </w:pPr>
                            <w:r w:rsidRPr="00EE3C1B">
                              <w:rPr>
                                <w:rFonts w:hint="eastAsia"/>
                                <w:color w:val="000000" w:themeColor="text1"/>
                              </w:rPr>
                              <w:t>Intra-system</w:t>
                            </w:r>
                            <w:r w:rsidRPr="00EE3C1B">
                              <w:rPr>
                                <w:color w:val="000000" w:themeColor="text1"/>
                              </w:rPr>
                              <w:t xml:space="preserve">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1A0466B1" w14:textId="77777777" w:rsidR="00EE3C1B" w:rsidRPr="00EE3C1B" w:rsidRDefault="00EE3C1B" w:rsidP="00EE3C1B">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2898AE" id="Rectangle 2" o:spid="_x0000_s1026" style="position:absolute;left:0;text-align:left;margin-left:8.95pt;margin-top:4.55pt;width:455.6pt;height:171.0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" fillcolor="white [3212]" strokecolor="black [3213]" strokeweight="1pt">
                <v:textbox>
                  <w:txbxContent>
                    <w:p w14:paraId="14B04BCB" w14:textId="77777777" w:rsidR="00EE3C1B" w:rsidRPr="00EE3C1B" w:rsidRDefault="00EE3C1B" w:rsidP="00EE3C1B">
                      <w:pPr>
                        <w:pStyle w:val="BodyText"/>
                        <w:numPr>
                          <w:ilvl w:val="0"/>
                          <w:numId w:val="11"/>
                        </w:numPr>
                        <w:overflowPunct/>
                        <w:autoSpaceDE/>
                        <w:autoSpaceDN/>
                        <w:adjustRightInd/>
                        <w:spacing w:after="180"/>
                        <w:jc w:val="left"/>
                        <w:textAlignment w:val="auto"/>
                        <w:rPr>
                          <w:b/>
                          <w:color w:val="000000" w:themeColor="text1"/>
                        </w:rPr>
                      </w:pPr>
                      <w:r w:rsidRPr="00EE3C1B">
                        <w:rPr>
                          <w:rFonts w:hint="eastAsia"/>
                          <w:b/>
                          <w:color w:val="000000" w:themeColor="text1"/>
                        </w:rPr>
                        <w:t>Connection failure due to intra-system mobility</w:t>
                      </w:r>
                    </w:p>
                    <w:p w14:paraId="4A585561" w14:textId="77777777" w:rsidR="00EE3C1B" w:rsidRPr="00EE3C1B" w:rsidRDefault="00EE3C1B" w:rsidP="00EE3C1B">
                      <w:pPr>
                        <w:pStyle w:val="BodyText"/>
                        <w:rPr>
                          <w:b/>
                          <w:color w:val="000000" w:themeColor="text1"/>
                        </w:rPr>
                      </w:pPr>
                      <w:r w:rsidRPr="00EE3C1B">
                        <w:rPr>
                          <w:rFonts w:hint="eastAsia"/>
                          <w:b/>
                          <w:color w:val="000000" w:themeColor="text1"/>
                        </w:rPr>
                        <w:t xml:space="preserve">      </w:t>
                      </w:r>
                      <w:r w:rsidRPr="00EE3C1B">
                        <w:rPr>
                          <w:b/>
                          <w:color w:val="000000" w:themeColor="text1"/>
                        </w:rPr>
                        <w:t>F</w:t>
                      </w:r>
                      <w:r w:rsidRPr="00EE3C1B">
                        <w:rPr>
                          <w:rFonts w:hint="eastAsia"/>
                          <w:b/>
                          <w:color w:val="000000" w:themeColor="text1"/>
                        </w:rPr>
                        <w:t>ailure event definition:</w:t>
                      </w:r>
                    </w:p>
                    <w:p w14:paraId="39D051A4" w14:textId="77777777" w:rsidR="00EE3C1B" w:rsidRPr="00EE3C1B" w:rsidRDefault="00EE3C1B" w:rsidP="00EE3C1B">
                      <w:pPr>
                        <w:pStyle w:val="B1"/>
                        <w:numPr>
                          <w:ilvl w:val="0"/>
                          <w:numId w:val="12"/>
                        </w:numPr>
                        <w:ind w:left="568" w:hanging="284"/>
                        <w:rPr>
                          <w:color w:val="000000" w:themeColor="text1"/>
                        </w:rPr>
                      </w:pPr>
                      <w:r w:rsidRPr="00EE3C1B">
                        <w:rPr>
                          <w:color w:val="000000" w:themeColor="text1"/>
                        </w:rPr>
                        <w:t>[</w:t>
                      </w:r>
                      <w:r w:rsidRPr="00EE3C1B">
                        <w:rPr>
                          <w:rFonts w:hint="eastAsia"/>
                          <w:color w:val="000000" w:themeColor="text1"/>
                          <w:lang w:eastAsia="zh-CN"/>
                        </w:rPr>
                        <w:t>I</w:t>
                      </w:r>
                      <w:r w:rsidRPr="00EE3C1B">
                        <w:rPr>
                          <w:rFonts w:hint="eastAsia"/>
                          <w:color w:val="000000" w:themeColor="text1"/>
                        </w:rPr>
                        <w:t>ntra-</w:t>
                      </w:r>
                      <w:r w:rsidRPr="00EE3C1B">
                        <w:rPr>
                          <w:rFonts w:hint="eastAsia"/>
                          <w:color w:val="000000" w:themeColor="text1"/>
                          <w:lang w:eastAsia="zh-CN"/>
                        </w:rPr>
                        <w:t>system</w:t>
                      </w:r>
                      <w:r w:rsidRPr="00EE3C1B">
                        <w:rPr>
                          <w:color w:val="000000" w:themeColor="text1"/>
                        </w:rPr>
                        <w:t xml:space="preserve"> Too Late Handover] An RLF occurs after the UE has stayed for a long period of time in the cell; the UE attempts to re-establish the radio link connection in a different cell.</w:t>
                      </w:r>
                    </w:p>
                    <w:p w14:paraId="07D8CD89" w14:textId="77777777" w:rsidR="00EE3C1B" w:rsidRPr="00EE3C1B" w:rsidRDefault="00EE3C1B" w:rsidP="00EE3C1B">
                      <w:pPr>
                        <w:pStyle w:val="B1"/>
                        <w:numPr>
                          <w:ilvl w:val="0"/>
                          <w:numId w:val="12"/>
                        </w:numPr>
                        <w:ind w:left="568" w:hanging="284"/>
                        <w:rPr>
                          <w:color w:val="000000" w:themeColor="text1"/>
                        </w:rPr>
                      </w:pPr>
                      <w:r w:rsidRPr="00EE3C1B">
                        <w:rPr>
                          <w:color w:val="000000" w:themeColor="text1"/>
                        </w:rPr>
                        <w:t>[</w:t>
                      </w:r>
                      <w:r w:rsidRPr="00EE3C1B">
                        <w:rPr>
                          <w:rFonts w:hint="eastAsia"/>
                          <w:color w:val="000000" w:themeColor="text1"/>
                        </w:rPr>
                        <w:t>Intra-system</w:t>
                      </w:r>
                      <w:r w:rsidRPr="00EE3C1B">
                        <w:rPr>
                          <w:color w:val="000000" w:themeColor="text1"/>
                        </w:rPr>
                        <w:t xml:space="preserve"> Too Early Handover] An RLF occurs shortly after a successful handover from a source cell to a target cell or a handover failure occurs during the handover procedure; the UE attempts to re-establish the radio link connection in the source cell.</w:t>
                      </w:r>
                    </w:p>
                    <w:p w14:paraId="2351A2CA" w14:textId="77777777" w:rsidR="00EE3C1B" w:rsidRPr="00EE3C1B" w:rsidRDefault="00EE3C1B" w:rsidP="00EE3C1B">
                      <w:pPr>
                        <w:pStyle w:val="B1"/>
                        <w:numPr>
                          <w:ilvl w:val="0"/>
                          <w:numId w:val="12"/>
                        </w:numPr>
                        <w:ind w:left="568" w:hanging="284"/>
                        <w:rPr>
                          <w:color w:val="000000" w:themeColor="text1"/>
                        </w:rPr>
                      </w:pPr>
                      <w:r w:rsidRPr="00EE3C1B">
                        <w:rPr>
                          <w:rFonts w:hint="eastAsia"/>
                          <w:color w:val="000000" w:themeColor="text1"/>
                        </w:rPr>
                        <w:t>Intra-system</w:t>
                      </w:r>
                      <w:r w:rsidRPr="00EE3C1B">
                        <w:rPr>
                          <w:color w:val="000000" w:themeColor="text1"/>
                        </w:rPr>
                        <w:t xml:space="preserve">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1A0466B1" w14:textId="77777777" w:rsidR="00EE3C1B" w:rsidRPr="00EE3C1B" w:rsidRDefault="00EE3C1B" w:rsidP="00EE3C1B">
                      <w:pPr>
                        <w:jc w:val="center"/>
                        <w:rPr>
                          <w:color w:val="000000" w:themeColor="text1"/>
                        </w:rPr>
                      </w:pPr>
                    </w:p>
                  </w:txbxContent>
                </v:textbox>
              </v:rect>
            </w:pict>
          </mc:Fallback>
        </mc:AlternateContent>
      </w:r>
    </w:p>
    <w:p w14:paraId="48855DBE" w14:textId="0DDEE4B2" w:rsidR="00EE3C1B" w:rsidRDefault="00EE3C1B" w:rsidP="00D93BE7">
      <w:pPr>
        <w:rPr>
          <w:lang w:val="en-US"/>
        </w:rPr>
      </w:pPr>
    </w:p>
    <w:p w14:paraId="3AF834D1" w14:textId="5F0EF996" w:rsidR="00EE3C1B" w:rsidRDefault="00EE3C1B" w:rsidP="00D93BE7">
      <w:pPr>
        <w:rPr>
          <w:lang w:val="en-US"/>
        </w:rPr>
      </w:pPr>
    </w:p>
    <w:p w14:paraId="5C89CA27" w14:textId="6B5C2D14" w:rsidR="00EE3C1B" w:rsidRDefault="00EE3C1B" w:rsidP="00D93BE7">
      <w:pPr>
        <w:rPr>
          <w:lang w:val="en-US"/>
        </w:rPr>
      </w:pPr>
    </w:p>
    <w:p w14:paraId="4A3A4F40" w14:textId="39FF352C" w:rsidR="00A159D1" w:rsidRDefault="00A159D1" w:rsidP="00D93BE7">
      <w:pPr>
        <w:rPr>
          <w:lang w:val="en-US"/>
        </w:rPr>
      </w:pPr>
    </w:p>
    <w:p w14:paraId="0EA7BA8B" w14:textId="53AC2D01" w:rsidR="00A159D1" w:rsidRDefault="00A159D1" w:rsidP="00D93BE7">
      <w:pPr>
        <w:rPr>
          <w:lang w:val="en-US"/>
        </w:rPr>
      </w:pPr>
    </w:p>
    <w:p w14:paraId="0F475649" w14:textId="3EC5D69B" w:rsidR="00A159D1" w:rsidRDefault="00A159D1" w:rsidP="00D93BE7">
      <w:pPr>
        <w:rPr>
          <w:lang w:val="en-US"/>
        </w:rPr>
      </w:pPr>
    </w:p>
    <w:p w14:paraId="6C773EC2" w14:textId="6AF8FA09" w:rsidR="00A159D1" w:rsidRDefault="00A159D1" w:rsidP="00D93BE7">
      <w:pPr>
        <w:rPr>
          <w:lang w:val="en-US"/>
        </w:rPr>
      </w:pPr>
    </w:p>
    <w:p w14:paraId="6C9D0A47" w14:textId="5FA02BEB" w:rsidR="00AC65DB" w:rsidRDefault="00AC65DB" w:rsidP="00D93BE7">
      <w:pPr>
        <w:rPr>
          <w:lang w:val="en-US"/>
        </w:rPr>
      </w:pPr>
    </w:p>
    <w:p w14:paraId="1EC1C664" w14:textId="77777777" w:rsidR="00AC65DB" w:rsidRDefault="00AC65DB" w:rsidP="00D93BE7">
      <w:pPr>
        <w:rPr>
          <w:lang w:val="en-US"/>
        </w:rPr>
      </w:pPr>
    </w:p>
    <w:p w14:paraId="2A1FB860" w14:textId="77777777" w:rsidR="00A159D1" w:rsidRDefault="00A159D1" w:rsidP="00D93BE7">
      <w:pPr>
        <w:rPr>
          <w:lang w:val="en-US"/>
        </w:rPr>
      </w:pPr>
    </w:p>
    <w:p w14:paraId="5418EE69" w14:textId="2BBB1C95" w:rsidR="00EE3C1B" w:rsidRDefault="003F3EB1" w:rsidP="00D93BE7">
      <w:pPr>
        <w:rPr>
          <w:b/>
          <w:lang w:val="en-US"/>
        </w:rPr>
      </w:pPr>
      <w:r>
        <w:rPr>
          <w:lang w:val="en-US"/>
        </w:rPr>
        <w:t>F</w:t>
      </w:r>
      <w:r w:rsidRPr="00AC65DB">
        <w:rPr>
          <w:b/>
          <w:lang w:val="en-US"/>
        </w:rPr>
        <w:t xml:space="preserve">igure 1. </w:t>
      </w:r>
      <w:r w:rsidR="00C13D2F" w:rsidRPr="00AC65DB">
        <w:rPr>
          <w:b/>
          <w:lang w:val="en-US"/>
        </w:rPr>
        <w:t>Adapting legacy types of failures from LTE network for intra-system NR</w:t>
      </w:r>
      <w:r w:rsidR="00AC65DB" w:rsidRPr="00AC65DB">
        <w:rPr>
          <w:b/>
          <w:lang w:val="en-US"/>
        </w:rPr>
        <w:t xml:space="preserve"> failures</w:t>
      </w:r>
      <w:r w:rsidR="00C13D2F" w:rsidRPr="00AC65DB">
        <w:rPr>
          <w:b/>
          <w:lang w:val="en-US"/>
        </w:rPr>
        <w:t xml:space="preserve">. </w:t>
      </w:r>
    </w:p>
    <w:p w14:paraId="444437E0" w14:textId="77777777" w:rsidR="002C22B1" w:rsidRDefault="002C22B1" w:rsidP="00D93BE7">
      <w:pPr>
        <w:rPr>
          <w:lang w:val="en-US"/>
        </w:rPr>
      </w:pPr>
    </w:p>
    <w:p w14:paraId="792D798B" w14:textId="47179FA4" w:rsidR="00B87744" w:rsidRDefault="00E57BB6" w:rsidP="00B87744">
      <w:pPr>
        <w:pStyle w:val="Observation"/>
        <w:numPr>
          <w:ilvl w:val="0"/>
          <w:numId w:val="6"/>
        </w:numPr>
        <w:overflowPunct/>
        <w:autoSpaceDE/>
        <w:autoSpaceDN/>
        <w:adjustRightInd/>
        <w:spacing w:after="160" w:line="257" w:lineRule="auto"/>
        <w:ind w:left="1491" w:hanging="1491"/>
        <w:textAlignment w:val="auto"/>
        <w:rPr>
          <w:lang w:val="en-US"/>
        </w:rPr>
      </w:pPr>
      <w:bookmarkStart w:id="2" w:name="_Toc888072"/>
      <w:bookmarkStart w:id="3" w:name="_Toc7639165"/>
      <w:bookmarkStart w:id="4" w:name="_Toc7732929"/>
      <w:bookmarkStart w:id="5" w:name="_Toc12286715"/>
      <w:bookmarkStart w:id="6" w:name="_Toc12363971"/>
      <w:bookmarkStart w:id="7" w:name="_Toc12374870"/>
      <w:bookmarkStart w:id="8" w:name="_Toc12374946"/>
      <w:bookmarkStart w:id="9" w:name="_Toc12375527"/>
      <w:bookmarkStart w:id="10" w:name="_Toc13042385"/>
      <w:bookmarkStart w:id="11" w:name="_Toc13043374"/>
      <w:bookmarkStart w:id="12" w:name="_Toc13056120"/>
      <w:bookmarkStart w:id="13" w:name="_Toc13056447"/>
      <w:bookmarkStart w:id="14" w:name="_Toc13057250"/>
      <w:bookmarkStart w:id="15" w:name="_Toc13064550"/>
      <w:bookmarkStart w:id="16" w:name="_Toc16684507"/>
      <w:bookmarkStart w:id="17" w:name="_Toc16699442"/>
      <w:r>
        <w:rPr>
          <w:lang w:val="en-US"/>
        </w:rPr>
        <w:t xml:space="preserve">As capture in 37.816, </w:t>
      </w:r>
      <w:r w:rsidR="00790C0F">
        <w:rPr>
          <w:lang w:val="en-US"/>
        </w:rPr>
        <w:t>same</w:t>
      </w:r>
      <w:r w:rsidR="00A159D1">
        <w:rPr>
          <w:lang w:val="en-US"/>
        </w:rPr>
        <w:t xml:space="preserve"> intra-</w:t>
      </w:r>
      <w:r>
        <w:rPr>
          <w:lang w:val="en-US"/>
        </w:rPr>
        <w:t xml:space="preserve">LTE </w:t>
      </w:r>
      <w:r w:rsidR="00A159D1">
        <w:rPr>
          <w:lang w:val="en-US"/>
        </w:rPr>
        <w:t xml:space="preserve">failure types </w:t>
      </w:r>
      <w:r>
        <w:rPr>
          <w:lang w:val="en-US"/>
        </w:rPr>
        <w:t>are applicable to NR</w:t>
      </w:r>
      <w:r w:rsidR="007432E7">
        <w:rPr>
          <w:lang w:val="en-US"/>
        </w:rPr>
        <w:t xml:space="preserve"> mobility failures</w:t>
      </w:r>
      <w:r w:rsidR="002E45EF" w:rsidRPr="00564DB5">
        <w:rPr>
          <w:lang w:val="en-US"/>
        </w:rPr>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054203B" w14:textId="77684560" w:rsidR="007432E7" w:rsidRPr="00966C11" w:rsidRDefault="007432E7" w:rsidP="007432E7">
      <w:pPr>
        <w:rPr>
          <w:lang w:val="en-US"/>
        </w:rPr>
      </w:pPr>
      <w:r w:rsidRPr="00815F14">
        <w:rPr>
          <w:lang w:val="en-US"/>
        </w:rPr>
        <w:t>In this regard, we have provided a TP</w:t>
      </w:r>
      <w:r w:rsidR="004B04BD" w:rsidRPr="00815F14">
        <w:rPr>
          <w:lang w:val="en-US"/>
        </w:rPr>
        <w:t xml:space="preserve"> [2] c</w:t>
      </w:r>
      <w:r w:rsidR="00FF51DE" w:rsidRPr="00815F14">
        <w:rPr>
          <w:lang w:val="en-US"/>
        </w:rPr>
        <w:t>oncerning</w:t>
      </w:r>
      <w:r w:rsidR="004B04BD" w:rsidRPr="00815F14">
        <w:rPr>
          <w:lang w:val="en-US"/>
        </w:rPr>
        <w:t xml:space="preserve"> the required </w:t>
      </w:r>
      <w:r w:rsidR="00FF51DE" w:rsidRPr="00815F14">
        <w:rPr>
          <w:lang w:val="en-US"/>
        </w:rPr>
        <w:t xml:space="preserve">text </w:t>
      </w:r>
      <w:r w:rsidR="00723663" w:rsidRPr="00815F14">
        <w:rPr>
          <w:lang w:val="en-US"/>
        </w:rPr>
        <w:t xml:space="preserve">for intra-system mobility failures classification and detection that can be applied to </w:t>
      </w:r>
      <w:r w:rsidR="004522E2" w:rsidRPr="00815F14">
        <w:rPr>
          <w:lang w:val="en-US"/>
        </w:rPr>
        <w:t xml:space="preserve">TS </w:t>
      </w:r>
      <w:r w:rsidR="00CE0B13" w:rsidRPr="00815F14">
        <w:rPr>
          <w:lang w:val="en-US"/>
        </w:rPr>
        <w:t>38.300. In</w:t>
      </w:r>
      <w:r w:rsidR="00CE0B13">
        <w:rPr>
          <w:lang w:val="en-US"/>
        </w:rPr>
        <w:t xml:space="preserve"> addition,</w:t>
      </w:r>
      <w:r w:rsidR="004522E2">
        <w:rPr>
          <w:lang w:val="en-US"/>
        </w:rPr>
        <w:t xml:space="preserve"> inter-RAT</w:t>
      </w:r>
      <w:r w:rsidR="00E9278C">
        <w:rPr>
          <w:lang w:val="en-US"/>
        </w:rPr>
        <w:t xml:space="preserve"> mobility failures definition in</w:t>
      </w:r>
      <w:r w:rsidR="004522E2">
        <w:rPr>
          <w:lang w:val="en-US"/>
        </w:rPr>
        <w:t xml:space="preserve"> TS </w:t>
      </w:r>
      <w:r w:rsidR="00CE0B13">
        <w:rPr>
          <w:lang w:val="en-US"/>
        </w:rPr>
        <w:t>36.300</w:t>
      </w:r>
      <w:r w:rsidR="00E9278C">
        <w:rPr>
          <w:lang w:val="en-US"/>
        </w:rPr>
        <w:t xml:space="preserve"> is subject to changes and </w:t>
      </w:r>
      <w:r w:rsidR="00012CE9">
        <w:rPr>
          <w:lang w:val="en-US"/>
        </w:rPr>
        <w:t>a TP</w:t>
      </w:r>
      <w:r w:rsidR="0053076B">
        <w:rPr>
          <w:lang w:val="en-US"/>
        </w:rPr>
        <w:t xml:space="preserve"> [3]</w:t>
      </w:r>
      <w:r w:rsidR="00012CE9">
        <w:rPr>
          <w:lang w:val="en-US"/>
        </w:rPr>
        <w:t xml:space="preserve"> is produced concerning the required changes</w:t>
      </w:r>
      <w:r w:rsidR="0053076B">
        <w:rPr>
          <w:lang w:val="en-US"/>
        </w:rPr>
        <w:t>.</w:t>
      </w:r>
      <w:r w:rsidR="00CE0B13">
        <w:rPr>
          <w:lang w:val="en-US"/>
        </w:rPr>
        <w:t xml:space="preserve"> </w:t>
      </w:r>
      <w:r w:rsidR="00FF51DE">
        <w:rPr>
          <w:lang w:val="en-US"/>
        </w:rPr>
        <w:t xml:space="preserve">  </w:t>
      </w:r>
    </w:p>
    <w:p w14:paraId="4C736387" w14:textId="550CD6C2" w:rsidR="004521FD" w:rsidRPr="00094B96" w:rsidRDefault="004521FD" w:rsidP="004521FD">
      <w:pPr>
        <w:pStyle w:val="Proposal"/>
        <w:numPr>
          <w:ilvl w:val="0"/>
          <w:numId w:val="5"/>
        </w:numPr>
        <w:tabs>
          <w:tab w:val="clear" w:pos="1304"/>
        </w:tabs>
        <w:overflowPunct/>
        <w:autoSpaceDE/>
        <w:autoSpaceDN/>
        <w:adjustRightInd/>
        <w:spacing w:after="160" w:line="256" w:lineRule="auto"/>
        <w:ind w:left="1701" w:hanging="1701"/>
        <w:textAlignment w:val="auto"/>
      </w:pPr>
      <w:bookmarkStart w:id="18" w:name="_Toc12363976"/>
      <w:bookmarkStart w:id="19" w:name="_Toc12966065"/>
      <w:bookmarkStart w:id="20" w:name="_Toc12980105"/>
      <w:bookmarkStart w:id="21" w:name="_Toc13042387"/>
      <w:bookmarkStart w:id="22" w:name="_Toc13042463"/>
      <w:bookmarkStart w:id="23" w:name="_Toc13044454"/>
      <w:bookmarkStart w:id="24" w:name="_Toc13056440"/>
      <w:bookmarkStart w:id="25" w:name="_Toc13057253"/>
      <w:bookmarkStart w:id="26" w:name="_Toc13064547"/>
      <w:bookmarkStart w:id="27" w:name="_Toc16684501"/>
      <w:bookmarkStart w:id="28" w:name="_Toc16687283"/>
      <w:bookmarkStart w:id="29" w:name="_Toc16700908"/>
      <w:bookmarkStart w:id="30" w:name="_Toc16701219"/>
      <w:r w:rsidRPr="00DB2089">
        <w:rPr>
          <w:rFonts w:cs="Arial"/>
          <w:lang w:eastAsia="en-US"/>
        </w:rPr>
        <w:t>RAN</w:t>
      </w:r>
      <w:r>
        <w:rPr>
          <w:rFonts w:cs="Arial"/>
          <w:lang w:eastAsia="en-US"/>
        </w:rPr>
        <w:t>2</w:t>
      </w:r>
      <w:r w:rsidRPr="00DB2089">
        <w:rPr>
          <w:rFonts w:cs="Arial"/>
          <w:lang w:eastAsia="en-US"/>
        </w:rPr>
        <w:t xml:space="preserve"> </w:t>
      </w:r>
      <w:r w:rsidR="00914F70">
        <w:rPr>
          <w:rFonts w:cs="Arial"/>
          <w:lang w:eastAsia="en-US"/>
        </w:rPr>
        <w:t xml:space="preserve">is </w:t>
      </w:r>
      <w:r w:rsidR="006B088C">
        <w:rPr>
          <w:rFonts w:cs="Arial"/>
          <w:lang w:eastAsia="en-US"/>
        </w:rPr>
        <w:t xml:space="preserve">kindly </w:t>
      </w:r>
      <w:r w:rsidR="00914F70">
        <w:rPr>
          <w:rFonts w:cs="Arial"/>
          <w:lang w:eastAsia="en-US"/>
        </w:rPr>
        <w:t xml:space="preserve">requested to approve the </w:t>
      </w:r>
      <w:r>
        <w:rPr>
          <w:rFonts w:cs="Arial"/>
          <w:lang w:eastAsia="en-US"/>
        </w:rPr>
        <w:t>TP [</w:t>
      </w:r>
      <w:r w:rsidR="004B04BD">
        <w:rPr>
          <w:rFonts w:cs="Arial"/>
          <w:lang w:eastAsia="en-US"/>
        </w:rPr>
        <w:t>2</w:t>
      </w:r>
      <w:r>
        <w:rPr>
          <w:rFonts w:cs="Arial"/>
          <w:lang w:eastAsia="en-US"/>
        </w:rPr>
        <w:t>]</w:t>
      </w:r>
      <w:r w:rsidR="00293590">
        <w:rPr>
          <w:rFonts w:cs="Arial"/>
          <w:lang w:eastAsia="en-US"/>
        </w:rPr>
        <w:t xml:space="preserve"> to 38.300</w:t>
      </w:r>
      <w:r>
        <w:rPr>
          <w:rFonts w:cs="Arial"/>
          <w:lang w:val="en-US" w:eastAsia="en-US"/>
        </w:rPr>
        <w:t>.</w:t>
      </w:r>
      <w:bookmarkEnd w:id="18"/>
      <w:bookmarkEnd w:id="19"/>
      <w:bookmarkEnd w:id="20"/>
      <w:bookmarkEnd w:id="21"/>
      <w:bookmarkEnd w:id="22"/>
      <w:bookmarkEnd w:id="23"/>
      <w:bookmarkEnd w:id="24"/>
      <w:bookmarkEnd w:id="25"/>
      <w:bookmarkEnd w:id="26"/>
      <w:bookmarkEnd w:id="27"/>
      <w:bookmarkEnd w:id="28"/>
      <w:bookmarkEnd w:id="29"/>
      <w:bookmarkEnd w:id="30"/>
    </w:p>
    <w:p w14:paraId="352A5A3A" w14:textId="7958C78C" w:rsidR="00094B96" w:rsidRPr="004521FD" w:rsidRDefault="00B624A2" w:rsidP="004521FD">
      <w:pPr>
        <w:pStyle w:val="Proposal"/>
        <w:numPr>
          <w:ilvl w:val="0"/>
          <w:numId w:val="5"/>
        </w:numPr>
        <w:tabs>
          <w:tab w:val="clear" w:pos="1304"/>
        </w:tabs>
        <w:overflowPunct/>
        <w:autoSpaceDE/>
        <w:autoSpaceDN/>
        <w:adjustRightInd/>
        <w:spacing w:after="160" w:line="256" w:lineRule="auto"/>
        <w:ind w:left="1701" w:hanging="1701"/>
        <w:textAlignment w:val="auto"/>
      </w:pPr>
      <w:bookmarkStart w:id="31" w:name="_Toc13044455"/>
      <w:bookmarkStart w:id="32" w:name="_Toc13056441"/>
      <w:bookmarkStart w:id="33" w:name="_Toc13057254"/>
      <w:bookmarkStart w:id="34" w:name="_Toc13064548"/>
      <w:bookmarkStart w:id="35" w:name="_Toc16684502"/>
      <w:bookmarkStart w:id="36" w:name="_Toc16687284"/>
      <w:bookmarkStart w:id="37" w:name="_Toc16700909"/>
      <w:bookmarkStart w:id="38" w:name="_Toc16701220"/>
      <w:r>
        <w:t>R</w:t>
      </w:r>
      <w:r w:rsidR="003D2F43">
        <w:t>AN</w:t>
      </w:r>
      <w:r>
        <w:t xml:space="preserve">2 agree on </w:t>
      </w:r>
      <w:r w:rsidR="003D2F43">
        <w:t xml:space="preserve">updating the </w:t>
      </w:r>
      <w:r w:rsidR="003527D8">
        <w:t xml:space="preserve">Inter-RAT section of </w:t>
      </w:r>
      <w:r w:rsidR="003D2F43">
        <w:t>36.300</w:t>
      </w:r>
      <w:r>
        <w:t xml:space="preserve"> </w:t>
      </w:r>
      <w:r w:rsidR="003527D8">
        <w:t>based on the agreed TR and provided TP [3].</w:t>
      </w:r>
      <w:bookmarkEnd w:id="31"/>
      <w:bookmarkEnd w:id="32"/>
      <w:bookmarkEnd w:id="33"/>
      <w:bookmarkEnd w:id="34"/>
      <w:bookmarkEnd w:id="35"/>
      <w:bookmarkEnd w:id="36"/>
      <w:bookmarkEnd w:id="37"/>
      <w:bookmarkEnd w:id="38"/>
      <w:r>
        <w:t xml:space="preserve"> </w:t>
      </w:r>
    </w:p>
    <w:p w14:paraId="609CB2EC" w14:textId="631241E4" w:rsidR="00B87744" w:rsidRDefault="00396BF6" w:rsidP="00B87744">
      <w:pPr>
        <w:pStyle w:val="Heading2"/>
        <w:rPr>
          <w:lang w:val="en-US"/>
        </w:rPr>
      </w:pPr>
      <w:r>
        <w:rPr>
          <w:lang w:val="en-US"/>
        </w:rPr>
        <w:t xml:space="preserve">Potential issues with current </w:t>
      </w:r>
      <w:r w:rsidR="00100D0A">
        <w:rPr>
          <w:lang w:val="en-US"/>
        </w:rPr>
        <w:t>failure</w:t>
      </w:r>
      <w:r w:rsidR="005458A8">
        <w:rPr>
          <w:lang w:val="en-US"/>
        </w:rPr>
        <w:t>s</w:t>
      </w:r>
      <w:r w:rsidR="00100D0A">
        <w:rPr>
          <w:lang w:val="en-US"/>
        </w:rPr>
        <w:t xml:space="preserve"> </w:t>
      </w:r>
      <w:r>
        <w:rPr>
          <w:lang w:val="en-US"/>
        </w:rPr>
        <w:t>classification</w:t>
      </w:r>
    </w:p>
    <w:p w14:paraId="73827DC3" w14:textId="18AE79D9" w:rsidR="009B24AF" w:rsidRDefault="002E6480" w:rsidP="00F0282E">
      <w:pPr>
        <w:rPr>
          <w:lang w:val="en-US"/>
        </w:rPr>
      </w:pPr>
      <w:r>
        <w:rPr>
          <w:lang w:val="en-US"/>
        </w:rPr>
        <w:t>Different from LTE network</w:t>
      </w:r>
      <w:r w:rsidR="00436DD5">
        <w:rPr>
          <w:lang w:val="en-US"/>
        </w:rPr>
        <w:t>,</w:t>
      </w:r>
      <w:r>
        <w:rPr>
          <w:lang w:val="en-US"/>
        </w:rPr>
        <w:t xml:space="preserve"> in NR </w:t>
      </w:r>
      <w:r w:rsidR="00734BC1">
        <w:rPr>
          <w:lang w:val="en-US"/>
        </w:rPr>
        <w:t xml:space="preserve">mobility procedure beams (SSB or CSI-RS) play </w:t>
      </w:r>
      <w:r w:rsidR="00436DD5">
        <w:rPr>
          <w:lang w:val="en-US"/>
        </w:rPr>
        <w:t>key</w:t>
      </w:r>
      <w:r w:rsidR="00CE6692">
        <w:rPr>
          <w:lang w:val="en-US"/>
        </w:rPr>
        <w:t xml:space="preserve"> </w:t>
      </w:r>
      <w:r w:rsidR="00734BC1">
        <w:rPr>
          <w:lang w:val="en-US"/>
        </w:rPr>
        <w:t>role</w:t>
      </w:r>
      <w:r w:rsidR="003628C0">
        <w:rPr>
          <w:lang w:val="en-US"/>
        </w:rPr>
        <w:t xml:space="preserve"> </w:t>
      </w:r>
      <w:r w:rsidR="00185E1D">
        <w:rPr>
          <w:lang w:val="en-US"/>
        </w:rPr>
        <w:t>providing a wide range of performance for</w:t>
      </w:r>
      <w:r w:rsidR="00961923">
        <w:rPr>
          <w:lang w:val="en-US"/>
        </w:rPr>
        <w:t xml:space="preserve"> mobility </w:t>
      </w:r>
      <w:r w:rsidR="00185E1D">
        <w:rPr>
          <w:lang w:val="en-US"/>
        </w:rPr>
        <w:t>procedure</w:t>
      </w:r>
      <w:r w:rsidR="00086BA0">
        <w:rPr>
          <w:lang w:val="en-US"/>
        </w:rPr>
        <w:t>. For example</w:t>
      </w:r>
      <w:r w:rsidR="00FB0DF5">
        <w:rPr>
          <w:lang w:val="en-US"/>
        </w:rPr>
        <w:t>,</w:t>
      </w:r>
      <w:r w:rsidR="00086BA0">
        <w:rPr>
          <w:lang w:val="en-US"/>
        </w:rPr>
        <w:t xml:space="preserve"> beams in the serving cells can be configured for RLM purpose that is different from </w:t>
      </w:r>
      <w:r w:rsidR="00185E1D">
        <w:rPr>
          <w:lang w:val="en-US"/>
        </w:rPr>
        <w:t>LTE</w:t>
      </w:r>
      <w:r w:rsidR="00086BA0">
        <w:rPr>
          <w:lang w:val="en-US"/>
        </w:rPr>
        <w:t xml:space="preserve">. </w:t>
      </w:r>
      <w:r w:rsidR="00F20892">
        <w:rPr>
          <w:lang w:val="en-US"/>
        </w:rPr>
        <w:t>Therefore,</w:t>
      </w:r>
      <w:r w:rsidR="002027D3">
        <w:rPr>
          <w:lang w:val="en-US"/>
        </w:rPr>
        <w:t xml:space="preserve"> any failure caused by </w:t>
      </w:r>
      <w:r w:rsidR="006E4748">
        <w:rPr>
          <w:lang w:val="en-US"/>
        </w:rPr>
        <w:t xml:space="preserve">sub-optimal </w:t>
      </w:r>
      <w:r w:rsidR="008837A4">
        <w:rPr>
          <w:lang w:val="en-US"/>
        </w:rPr>
        <w:t>configuration</w:t>
      </w:r>
      <w:r w:rsidR="006E4748">
        <w:rPr>
          <w:lang w:val="en-US"/>
        </w:rPr>
        <w:t xml:space="preserve"> at beam level is not distinguishable with the legacy types of failures </w:t>
      </w:r>
      <w:r w:rsidR="00AE63E7">
        <w:rPr>
          <w:lang w:val="en-US"/>
        </w:rPr>
        <w:t>adapted from LTE network</w:t>
      </w:r>
      <w:r w:rsidR="00E6706A">
        <w:rPr>
          <w:lang w:val="en-US"/>
        </w:rPr>
        <w:t xml:space="preserve">. In other words, </w:t>
      </w:r>
      <w:r w:rsidR="00734BC1">
        <w:rPr>
          <w:lang w:val="en-US"/>
        </w:rPr>
        <w:t xml:space="preserve">new types of </w:t>
      </w:r>
      <w:r w:rsidR="00D1270F">
        <w:rPr>
          <w:lang w:val="en-US"/>
        </w:rPr>
        <w:t>failures</w:t>
      </w:r>
      <w:r w:rsidR="00734BC1">
        <w:rPr>
          <w:lang w:val="en-US"/>
        </w:rPr>
        <w:t xml:space="preserve"> may be </w:t>
      </w:r>
      <w:r w:rsidR="00E6706A">
        <w:rPr>
          <w:lang w:val="en-US"/>
        </w:rPr>
        <w:t>emerged</w:t>
      </w:r>
      <w:r w:rsidR="00734BC1">
        <w:rPr>
          <w:lang w:val="en-US"/>
        </w:rPr>
        <w:t xml:space="preserve"> </w:t>
      </w:r>
      <w:r w:rsidR="00E6706A">
        <w:rPr>
          <w:lang w:val="en-US"/>
        </w:rPr>
        <w:t xml:space="preserve">by wrong configuration of parameters </w:t>
      </w:r>
      <w:r w:rsidR="003F3EB1">
        <w:rPr>
          <w:lang w:val="en-US"/>
        </w:rPr>
        <w:t>at</w:t>
      </w:r>
      <w:r w:rsidR="00E6706A">
        <w:rPr>
          <w:lang w:val="en-US"/>
        </w:rPr>
        <w:t xml:space="preserve"> beam level</w:t>
      </w:r>
      <w:r w:rsidR="003F3EB1">
        <w:rPr>
          <w:lang w:val="en-US"/>
        </w:rPr>
        <w:t>,</w:t>
      </w:r>
      <w:r w:rsidR="00E6706A">
        <w:rPr>
          <w:lang w:val="en-US"/>
        </w:rPr>
        <w:t xml:space="preserve"> </w:t>
      </w:r>
      <w:r w:rsidR="00D1270F">
        <w:rPr>
          <w:lang w:val="en-US"/>
        </w:rPr>
        <w:t xml:space="preserve">that </w:t>
      </w:r>
      <w:r w:rsidR="00A35106">
        <w:rPr>
          <w:lang w:val="en-US"/>
        </w:rPr>
        <w:t xml:space="preserve">may </w:t>
      </w:r>
      <w:r w:rsidR="00D1270F">
        <w:rPr>
          <w:lang w:val="en-US"/>
        </w:rPr>
        <w:t>need further investigations</w:t>
      </w:r>
      <w:r w:rsidR="003F3EB1">
        <w:rPr>
          <w:lang w:val="en-US"/>
        </w:rPr>
        <w:t xml:space="preserve"> with new classifications</w:t>
      </w:r>
      <w:r w:rsidR="00D1270F">
        <w:rPr>
          <w:lang w:val="en-US"/>
        </w:rPr>
        <w:t xml:space="preserve">. </w:t>
      </w:r>
    </w:p>
    <w:p w14:paraId="2BA042A9" w14:textId="2A947897" w:rsidR="00DD6CDA" w:rsidRDefault="00BF108E" w:rsidP="00DD6CDA">
      <w:pPr>
        <w:rPr>
          <w:lang w:val="en-US"/>
        </w:rPr>
      </w:pPr>
      <w:r>
        <w:rPr>
          <w:lang w:val="en-US"/>
        </w:rPr>
        <w:t>These</w:t>
      </w:r>
      <w:r w:rsidR="00F0282E">
        <w:rPr>
          <w:lang w:val="en-US"/>
        </w:rPr>
        <w:t xml:space="preserve"> RLM</w:t>
      </w:r>
      <w:r>
        <w:rPr>
          <w:lang w:val="en-US"/>
        </w:rPr>
        <w:t xml:space="preserve"> failures and </w:t>
      </w:r>
      <w:r w:rsidR="00F721BD">
        <w:rPr>
          <w:lang w:val="en-US"/>
        </w:rPr>
        <w:t xml:space="preserve">leveraging </w:t>
      </w:r>
      <w:r>
        <w:rPr>
          <w:lang w:val="en-US"/>
        </w:rPr>
        <w:t xml:space="preserve">the </w:t>
      </w:r>
      <w:r w:rsidR="00F0282E">
        <w:rPr>
          <w:lang w:val="en-US"/>
        </w:rPr>
        <w:t xml:space="preserve">RLM </w:t>
      </w:r>
      <w:r>
        <w:rPr>
          <w:lang w:val="en-US"/>
        </w:rPr>
        <w:t>beam measurement</w:t>
      </w:r>
      <w:r w:rsidR="00F721BD">
        <w:rPr>
          <w:lang w:val="en-US"/>
        </w:rPr>
        <w:t xml:space="preserve"> information</w:t>
      </w:r>
      <w:r>
        <w:rPr>
          <w:lang w:val="en-US"/>
        </w:rPr>
        <w:t xml:space="preserve"> (shown in Figure 2) have been extensively discussed in [</w:t>
      </w:r>
      <w:r w:rsidR="009255E8">
        <w:rPr>
          <w:lang w:val="en-US"/>
        </w:rPr>
        <w:t>4</w:t>
      </w:r>
      <w:r>
        <w:rPr>
          <w:lang w:val="en-US"/>
        </w:rPr>
        <w:t xml:space="preserve">]. </w:t>
      </w:r>
      <w:r w:rsidR="00720B0C">
        <w:rPr>
          <w:lang w:val="en-US"/>
        </w:rPr>
        <w:t>In general</w:t>
      </w:r>
      <w:r w:rsidR="00E02887">
        <w:rPr>
          <w:lang w:val="en-US"/>
        </w:rPr>
        <w:t>,</w:t>
      </w:r>
      <w:r w:rsidR="00E6706A">
        <w:rPr>
          <w:lang w:val="en-US"/>
        </w:rPr>
        <w:t xml:space="preserve"> </w:t>
      </w:r>
      <w:r w:rsidR="001B379F">
        <w:rPr>
          <w:lang w:val="en-US"/>
        </w:rPr>
        <w:t>such failure</w:t>
      </w:r>
      <w:r w:rsidR="00712B25">
        <w:rPr>
          <w:lang w:val="en-US"/>
        </w:rPr>
        <w:t>s</w:t>
      </w:r>
      <w:r w:rsidR="001B379F">
        <w:rPr>
          <w:lang w:val="en-US"/>
        </w:rPr>
        <w:t xml:space="preserve"> may be wrongly interpreted with legacy failure types </w:t>
      </w:r>
      <w:r w:rsidR="00F85286">
        <w:rPr>
          <w:lang w:val="en-US"/>
        </w:rPr>
        <w:t>(e.g., Too Late</w:t>
      </w:r>
      <w:r w:rsidR="00961923">
        <w:rPr>
          <w:lang w:val="en-US"/>
        </w:rPr>
        <w:t xml:space="preserve"> HO</w:t>
      </w:r>
      <w:r w:rsidR="002A16AC">
        <w:rPr>
          <w:lang w:val="en-US"/>
        </w:rPr>
        <w:t>,</w:t>
      </w:r>
      <w:r w:rsidR="00F85286">
        <w:rPr>
          <w:lang w:val="en-US"/>
        </w:rPr>
        <w:t xml:space="preserve"> Too Early HO</w:t>
      </w:r>
      <w:r w:rsidR="002A16AC">
        <w:rPr>
          <w:lang w:val="en-US"/>
        </w:rPr>
        <w:t>, or even handover to wrong cell</w:t>
      </w:r>
      <w:r w:rsidR="00F85286">
        <w:rPr>
          <w:lang w:val="en-US"/>
        </w:rPr>
        <w:t>)</w:t>
      </w:r>
      <w:r w:rsidR="00E6706A">
        <w:rPr>
          <w:lang w:val="en-US"/>
        </w:rPr>
        <w:t>. Wrong detection of these failures may lead to</w:t>
      </w:r>
      <w:r w:rsidR="00F85286">
        <w:rPr>
          <w:lang w:val="en-US"/>
        </w:rPr>
        <w:t xml:space="preserve"> </w:t>
      </w:r>
      <w:r w:rsidR="00E6706A">
        <w:rPr>
          <w:lang w:val="en-US"/>
        </w:rPr>
        <w:t xml:space="preserve">taking </w:t>
      </w:r>
      <w:r w:rsidR="00F85286">
        <w:rPr>
          <w:lang w:val="en-US"/>
        </w:rPr>
        <w:t xml:space="preserve">wrong actions by network that could </w:t>
      </w:r>
      <w:r w:rsidR="006A22A4">
        <w:rPr>
          <w:lang w:val="en-US"/>
        </w:rPr>
        <w:t>deteriorate the mobility procedure performance even further.</w:t>
      </w:r>
      <w:r w:rsidR="00E6706A">
        <w:rPr>
          <w:lang w:val="en-US"/>
        </w:rPr>
        <w:t xml:space="preserve"> For example, if the failure is caused by </w:t>
      </w:r>
      <w:r w:rsidR="00F621C6">
        <w:rPr>
          <w:lang w:val="en-US"/>
        </w:rPr>
        <w:t>wrong configuration of RLM resources which may be wrongly interpreted as Too Early</w:t>
      </w:r>
      <w:r w:rsidR="00C97016">
        <w:rPr>
          <w:lang w:val="en-US"/>
        </w:rPr>
        <w:t xml:space="preserve"> or Too Late HOs (depending on the situation</w:t>
      </w:r>
      <w:r w:rsidR="00286E2C">
        <w:rPr>
          <w:lang w:val="en-US"/>
        </w:rPr>
        <w:t>,</w:t>
      </w:r>
      <w:r w:rsidR="00C97016">
        <w:rPr>
          <w:lang w:val="en-US"/>
        </w:rPr>
        <w:t xml:space="preserve"> discussed in [</w:t>
      </w:r>
      <w:r w:rsidR="00BF51E9">
        <w:rPr>
          <w:lang w:val="en-US"/>
        </w:rPr>
        <w:t>4</w:t>
      </w:r>
      <w:r w:rsidR="00C97016">
        <w:rPr>
          <w:lang w:val="en-US"/>
        </w:rPr>
        <w:t>])</w:t>
      </w:r>
      <w:r w:rsidR="00BF51E9">
        <w:rPr>
          <w:lang w:val="en-US"/>
        </w:rPr>
        <w:t xml:space="preserve">, the network may change the CIO which may </w:t>
      </w:r>
      <w:r w:rsidR="00283010">
        <w:rPr>
          <w:lang w:val="en-US"/>
        </w:rPr>
        <w:t>cause additional impairments in the mobility performance</w:t>
      </w:r>
      <w:r w:rsidR="00B91EE2">
        <w:rPr>
          <w:lang w:val="en-US"/>
        </w:rPr>
        <w:t xml:space="preserve"> </w:t>
      </w:r>
      <w:proofErr w:type="gramStart"/>
      <w:r w:rsidR="00B91EE2">
        <w:rPr>
          <w:lang w:val="en-US"/>
        </w:rPr>
        <w:t>later on</w:t>
      </w:r>
      <w:proofErr w:type="gramEnd"/>
      <w:r w:rsidR="00283010">
        <w:rPr>
          <w:lang w:val="en-US"/>
        </w:rPr>
        <w:t>.</w:t>
      </w:r>
      <w:r w:rsidR="00C97016">
        <w:rPr>
          <w:lang w:val="en-US"/>
        </w:rPr>
        <w:t xml:space="preserve"> </w:t>
      </w:r>
      <w:r w:rsidR="00491A7C">
        <w:rPr>
          <w:lang w:val="en-US"/>
        </w:rPr>
        <w:t xml:space="preserve"> </w:t>
      </w:r>
    </w:p>
    <w:p w14:paraId="616BD1F6" w14:textId="77777777" w:rsidR="00006995" w:rsidRPr="00DD6CDA" w:rsidRDefault="00006995" w:rsidP="00DD6CDA">
      <w:pPr>
        <w:rPr>
          <w:lang w:val="en-US"/>
        </w:rPr>
      </w:pPr>
    </w:p>
    <w:p w14:paraId="06DC7E93" w14:textId="4CE118E4" w:rsidR="004521FD" w:rsidRDefault="009F51AE" w:rsidP="004521FD">
      <w:pPr>
        <w:pStyle w:val="Observation"/>
        <w:numPr>
          <w:ilvl w:val="0"/>
          <w:numId w:val="6"/>
        </w:numPr>
        <w:overflowPunct/>
        <w:autoSpaceDE/>
        <w:autoSpaceDN/>
        <w:adjustRightInd/>
        <w:spacing w:after="160" w:line="257" w:lineRule="auto"/>
        <w:ind w:left="1491" w:hanging="1491"/>
        <w:textAlignment w:val="auto"/>
        <w:rPr>
          <w:lang w:val="en-US"/>
        </w:rPr>
      </w:pPr>
      <w:bookmarkStart w:id="39" w:name="_Toc13042386"/>
      <w:bookmarkStart w:id="40" w:name="_Toc13043375"/>
      <w:bookmarkStart w:id="41" w:name="_Toc13056121"/>
      <w:bookmarkStart w:id="42" w:name="_Toc13056448"/>
      <w:bookmarkStart w:id="43" w:name="_Toc13057251"/>
      <w:bookmarkStart w:id="44" w:name="_Toc13064551"/>
      <w:bookmarkStart w:id="45" w:name="_Toc16684508"/>
      <w:bookmarkStart w:id="46" w:name="_Toc16699443"/>
      <w:r>
        <w:rPr>
          <w:lang w:val="en-US"/>
        </w:rPr>
        <w:t xml:space="preserve">NR mobility procedure may fail </w:t>
      </w:r>
      <w:r w:rsidR="00270672">
        <w:rPr>
          <w:lang w:val="en-US"/>
        </w:rPr>
        <w:t>due to wrong beam configurations for RLM</w:t>
      </w:r>
      <w:r w:rsidR="000C761F">
        <w:rPr>
          <w:lang w:val="en-US"/>
        </w:rPr>
        <w:t xml:space="preserve"> procedures</w:t>
      </w:r>
      <w:r w:rsidR="004521FD" w:rsidRPr="00564DB5">
        <w:rPr>
          <w:lang w:val="en-US"/>
        </w:rPr>
        <w:t>.</w:t>
      </w:r>
      <w:bookmarkEnd w:id="39"/>
      <w:bookmarkEnd w:id="40"/>
      <w:bookmarkEnd w:id="41"/>
      <w:bookmarkEnd w:id="42"/>
      <w:bookmarkEnd w:id="43"/>
      <w:bookmarkEnd w:id="44"/>
      <w:bookmarkEnd w:id="45"/>
      <w:bookmarkEnd w:id="46"/>
    </w:p>
    <w:p w14:paraId="2E0619B1" w14:textId="1E7F2DDA" w:rsidR="001720B3" w:rsidRDefault="001720B3" w:rsidP="004521FD">
      <w:pPr>
        <w:pStyle w:val="Observation"/>
        <w:numPr>
          <w:ilvl w:val="0"/>
          <w:numId w:val="6"/>
        </w:numPr>
        <w:overflowPunct/>
        <w:autoSpaceDE/>
        <w:autoSpaceDN/>
        <w:adjustRightInd/>
        <w:spacing w:after="160" w:line="257" w:lineRule="auto"/>
        <w:ind w:left="1491" w:hanging="1491"/>
        <w:textAlignment w:val="auto"/>
        <w:rPr>
          <w:lang w:val="en-US"/>
        </w:rPr>
      </w:pPr>
      <w:bookmarkStart w:id="47" w:name="_Toc13056122"/>
      <w:bookmarkStart w:id="48" w:name="_Toc13056449"/>
      <w:bookmarkStart w:id="49" w:name="_Toc13057252"/>
      <w:bookmarkStart w:id="50" w:name="_Toc13064552"/>
      <w:bookmarkStart w:id="51" w:name="_Toc16684509"/>
      <w:bookmarkStart w:id="52" w:name="_Toc16699444"/>
      <w:r>
        <w:rPr>
          <w:lang w:val="en-US"/>
        </w:rPr>
        <w:t xml:space="preserve">Failures caused by </w:t>
      </w:r>
      <w:r w:rsidR="00905CC4">
        <w:rPr>
          <w:lang w:val="en-US"/>
        </w:rPr>
        <w:t xml:space="preserve">wrong beam configuration of RLM </w:t>
      </w:r>
      <w:r>
        <w:rPr>
          <w:lang w:val="en-US"/>
        </w:rPr>
        <w:t>may be wrong</w:t>
      </w:r>
      <w:r w:rsidR="00733725">
        <w:rPr>
          <w:lang w:val="en-US"/>
        </w:rPr>
        <w:t>ly</w:t>
      </w:r>
      <w:r w:rsidR="00905CC4">
        <w:rPr>
          <w:lang w:val="en-US"/>
        </w:rPr>
        <w:t xml:space="preserve"> interpreted</w:t>
      </w:r>
      <w:r w:rsidR="001E61D8">
        <w:rPr>
          <w:lang w:val="en-US"/>
        </w:rPr>
        <w:t xml:space="preserve"> </w:t>
      </w:r>
      <w:r w:rsidR="00733725">
        <w:rPr>
          <w:lang w:val="en-US"/>
        </w:rPr>
        <w:t>as</w:t>
      </w:r>
      <w:r w:rsidR="001E61D8">
        <w:rPr>
          <w:lang w:val="en-US"/>
        </w:rPr>
        <w:t xml:space="preserve"> legacy </w:t>
      </w:r>
      <w:r w:rsidR="00542885">
        <w:rPr>
          <w:lang w:val="en-US"/>
        </w:rPr>
        <w:t>failure cases such as T</w:t>
      </w:r>
      <w:r w:rsidR="00733725">
        <w:rPr>
          <w:lang w:val="en-US"/>
        </w:rPr>
        <w:t>oo Late or Too Early HO.</w:t>
      </w:r>
      <w:bookmarkEnd w:id="47"/>
      <w:bookmarkEnd w:id="48"/>
      <w:bookmarkEnd w:id="49"/>
      <w:bookmarkEnd w:id="50"/>
      <w:bookmarkEnd w:id="51"/>
      <w:bookmarkEnd w:id="52"/>
    </w:p>
    <w:p w14:paraId="339BD25D" w14:textId="1BB73BCB" w:rsidR="00D375AB" w:rsidRDefault="00B348E6" w:rsidP="00B348E6">
      <w:pPr>
        <w:rPr>
          <w:lang w:val="en-US"/>
        </w:rPr>
      </w:pPr>
      <w:r>
        <w:rPr>
          <w:lang w:val="en-US"/>
        </w:rPr>
        <w:t xml:space="preserve">In this regard, in TR. 37.816, some beam level information is agreed to be included </w:t>
      </w:r>
      <w:r w:rsidR="0087316C">
        <w:rPr>
          <w:lang w:val="en-US"/>
        </w:rPr>
        <w:t>as part of</w:t>
      </w:r>
      <w:r>
        <w:rPr>
          <w:lang w:val="en-US"/>
        </w:rPr>
        <w:t xml:space="preserve"> RLF report that can assist the network to detect such new failure cases, avoiding misinterpretation of the failures with the legacy failure types such as Too Early or Too Late </w:t>
      </w:r>
      <w:proofErr w:type="spellStart"/>
      <w:r>
        <w:rPr>
          <w:lang w:val="en-US"/>
        </w:rPr>
        <w:t>HOs.</w:t>
      </w:r>
      <w:proofErr w:type="spellEnd"/>
      <w:r>
        <w:rPr>
          <w:lang w:val="en-US"/>
        </w:rPr>
        <w:t xml:space="preserve"> An </w:t>
      </w:r>
      <w:r w:rsidR="00176BD1">
        <w:rPr>
          <w:lang w:val="en-US"/>
        </w:rPr>
        <w:t xml:space="preserve">excerpt of the beam related information </w:t>
      </w:r>
      <w:r w:rsidR="00986155">
        <w:rPr>
          <w:lang w:val="en-US"/>
        </w:rPr>
        <w:t>from the TR 37.</w:t>
      </w:r>
      <w:r w:rsidR="0017430B">
        <w:rPr>
          <w:lang w:val="en-US"/>
        </w:rPr>
        <w:t>816</w:t>
      </w:r>
      <w:r w:rsidR="00986155">
        <w:rPr>
          <w:lang w:val="en-US"/>
        </w:rPr>
        <w:t xml:space="preserve"> </w:t>
      </w:r>
      <w:r w:rsidR="00176BD1">
        <w:rPr>
          <w:lang w:val="en-US"/>
        </w:rPr>
        <w:t>is shown in the following</w:t>
      </w:r>
      <w:r w:rsidR="00573369">
        <w:rPr>
          <w:lang w:val="en-US"/>
        </w:rPr>
        <w:t xml:space="preserve"> which includes measurement</w:t>
      </w:r>
      <w:r w:rsidR="00304FE3">
        <w:rPr>
          <w:lang w:val="en-US"/>
        </w:rPr>
        <w:t xml:space="preserve"> (in terms of RSRP, RSRQ, SINR, etc</w:t>
      </w:r>
      <w:r w:rsidR="0017430B">
        <w:rPr>
          <w:lang w:val="en-US"/>
        </w:rPr>
        <w:t>.</w:t>
      </w:r>
      <w:r w:rsidR="00304FE3">
        <w:rPr>
          <w:lang w:val="en-US"/>
        </w:rPr>
        <w:t>)</w:t>
      </w:r>
      <w:r w:rsidR="00573369">
        <w:rPr>
          <w:lang w:val="en-US"/>
        </w:rPr>
        <w:t xml:space="preserve"> on the resources</w:t>
      </w:r>
      <w:r w:rsidR="00304FE3">
        <w:rPr>
          <w:lang w:val="en-US"/>
        </w:rPr>
        <w:t xml:space="preserve"> (SSB or CSI-RS beams)</w:t>
      </w:r>
      <w:r w:rsidR="00573369">
        <w:rPr>
          <w:lang w:val="en-US"/>
        </w:rPr>
        <w:t xml:space="preserve"> either used</w:t>
      </w:r>
      <w:r w:rsidR="000A615B">
        <w:rPr>
          <w:lang w:val="en-US"/>
        </w:rPr>
        <w:t xml:space="preserve"> (or not used)</w:t>
      </w:r>
      <w:r w:rsidR="00573369">
        <w:rPr>
          <w:lang w:val="en-US"/>
        </w:rPr>
        <w:t xml:space="preserve"> for RLM </w:t>
      </w:r>
      <w:r w:rsidR="00304FE3">
        <w:rPr>
          <w:lang w:val="en-US"/>
        </w:rPr>
        <w:t>purpose</w:t>
      </w:r>
      <w:r w:rsidR="000A615B">
        <w:rPr>
          <w:lang w:val="en-US"/>
        </w:rPr>
        <w:t>.</w:t>
      </w:r>
      <w:r w:rsidR="00AE7FE9">
        <w:rPr>
          <w:lang w:val="en-US"/>
        </w:rPr>
        <w:t xml:space="preserve"> </w:t>
      </w:r>
    </w:p>
    <w:p w14:paraId="78FE3290" w14:textId="725CC0C6" w:rsidR="000A615B" w:rsidRDefault="000A615B" w:rsidP="00B348E6">
      <w:pPr>
        <w:rPr>
          <w:lang w:val="en-US"/>
        </w:rPr>
      </w:pPr>
    </w:p>
    <w:tbl>
      <w:tblPr>
        <w:tblStyle w:val="TableGrid"/>
        <w:tblW w:w="0" w:type="auto"/>
        <w:tblLook w:val="04A0" w:firstRow="1" w:lastRow="0" w:firstColumn="1" w:lastColumn="0" w:noHBand="0" w:noVBand="1"/>
      </w:tblPr>
      <w:tblGrid>
        <w:gridCol w:w="9629"/>
      </w:tblGrid>
      <w:tr w:rsidR="00D10C0F" w14:paraId="008FDEAA" w14:textId="77777777" w:rsidTr="00D10C0F">
        <w:tc>
          <w:tcPr>
            <w:tcW w:w="9629" w:type="dxa"/>
          </w:tcPr>
          <w:p w14:paraId="2A5DE179" w14:textId="77777777" w:rsidR="00D10C0F" w:rsidRPr="00694BAB" w:rsidRDefault="00D10C0F" w:rsidP="00D10C0F">
            <w:pPr>
              <w:pStyle w:val="ListParagraph"/>
              <w:numPr>
                <w:ilvl w:val="4"/>
                <w:numId w:val="13"/>
              </w:numPr>
              <w:overflowPunct w:val="0"/>
              <w:autoSpaceDE w:val="0"/>
              <w:autoSpaceDN w:val="0"/>
              <w:adjustRightInd w:val="0"/>
              <w:spacing w:after="240" w:line="240" w:lineRule="auto"/>
              <w:ind w:left="851" w:hanging="284"/>
              <w:textAlignment w:val="baseline"/>
              <w:rPr>
                <w:lang w:val="en-GB" w:eastAsia="ja-JP"/>
              </w:rPr>
            </w:pPr>
            <w:r w:rsidRPr="00694BAB">
              <w:rPr>
                <w:lang w:val="en-GB"/>
              </w:rPr>
              <w:lastRenderedPageBreak/>
              <w:t>Information related to the Radio-link monitoring (RLM) on serving cell (where the RL</w:t>
            </w:r>
            <w:r w:rsidRPr="00694BAB">
              <w:rPr>
                <w:rFonts w:hint="eastAsia"/>
                <w:lang w:val="en-GB"/>
              </w:rPr>
              <w:t>F</w:t>
            </w:r>
            <w:r w:rsidRPr="00694BAB">
              <w:rPr>
                <w:lang w:val="en-GB"/>
              </w:rPr>
              <w:t xml:space="preserve"> is detected)</w:t>
            </w:r>
            <w:r w:rsidRPr="00694BAB">
              <w:rPr>
                <w:rFonts w:hint="eastAsia"/>
                <w:lang w:val="en-GB"/>
              </w:rPr>
              <w:t xml:space="preserve"> and </w:t>
            </w:r>
            <w:r w:rsidRPr="00694BAB">
              <w:rPr>
                <w:lang w:val="en-GB"/>
              </w:rPr>
              <w:t>on target cell (in case of handover failure)</w:t>
            </w:r>
          </w:p>
          <w:p w14:paraId="6E9F9DE5" w14:textId="77777777" w:rsidR="00D10C0F" w:rsidRPr="00694BAB" w:rsidRDefault="00D10C0F" w:rsidP="00D10C0F">
            <w:pPr>
              <w:pStyle w:val="ListParagraph"/>
              <w:numPr>
                <w:ilvl w:val="3"/>
                <w:numId w:val="13"/>
              </w:numPr>
              <w:overflowPunct w:val="0"/>
              <w:autoSpaceDE w:val="0"/>
              <w:autoSpaceDN w:val="0"/>
              <w:adjustRightInd w:val="0"/>
              <w:spacing w:after="180" w:line="276" w:lineRule="auto"/>
              <w:textAlignment w:val="baseline"/>
              <w:rPr>
                <w:lang w:val="en-GB" w:eastAsia="ja-JP"/>
              </w:rPr>
            </w:pPr>
            <w:r w:rsidRPr="00694BAB">
              <w:rPr>
                <w:lang w:val="en-GB"/>
              </w:rPr>
              <w:t>Beam measurements on RLM related resources i.e., measurement on reference signals (RS) such as:</w:t>
            </w:r>
          </w:p>
          <w:p w14:paraId="7C7955B5" w14:textId="77777777" w:rsidR="00D10C0F" w:rsidRDefault="00D10C0F" w:rsidP="00D10C0F">
            <w:pPr>
              <w:pStyle w:val="ListParagraph"/>
              <w:numPr>
                <w:ilvl w:val="5"/>
                <w:numId w:val="13"/>
              </w:numPr>
              <w:overflowPunct w:val="0"/>
              <w:autoSpaceDE w:val="0"/>
              <w:autoSpaceDN w:val="0"/>
              <w:adjustRightInd w:val="0"/>
              <w:spacing w:after="180" w:line="276" w:lineRule="auto"/>
              <w:textAlignment w:val="baseline"/>
              <w:rPr>
                <w:lang w:eastAsia="ja-JP"/>
              </w:rPr>
            </w:pPr>
            <w:r>
              <w:t xml:space="preserve">SSB </w:t>
            </w:r>
          </w:p>
          <w:p w14:paraId="55D9FE8F" w14:textId="77777777" w:rsidR="00D10C0F" w:rsidRDefault="00D10C0F" w:rsidP="00D10C0F">
            <w:pPr>
              <w:pStyle w:val="ListParagraph"/>
              <w:numPr>
                <w:ilvl w:val="5"/>
                <w:numId w:val="13"/>
              </w:numPr>
              <w:overflowPunct w:val="0"/>
              <w:autoSpaceDE w:val="0"/>
              <w:autoSpaceDN w:val="0"/>
              <w:adjustRightInd w:val="0"/>
              <w:spacing w:after="180" w:line="276" w:lineRule="auto"/>
              <w:textAlignment w:val="baseline"/>
              <w:rPr>
                <w:lang w:eastAsia="ja-JP"/>
              </w:rPr>
            </w:pPr>
            <w:r>
              <w:t>CSI-RS</w:t>
            </w:r>
          </w:p>
          <w:p w14:paraId="261B4E19" w14:textId="1F239530" w:rsidR="00D10C0F" w:rsidRPr="00866EDE" w:rsidRDefault="00D10C0F" w:rsidP="00866EDE">
            <w:pPr>
              <w:pStyle w:val="ListParagraph"/>
              <w:spacing w:line="276" w:lineRule="auto"/>
              <w:ind w:left="1000" w:firstLineChars="210" w:firstLine="462"/>
              <w:rPr>
                <w:lang w:val="en-GB"/>
              </w:rPr>
            </w:pPr>
            <w:r w:rsidRPr="00694BAB">
              <w:rPr>
                <w:lang w:val="en-GB"/>
              </w:rPr>
              <w:t xml:space="preserve">Measurements to be logged may be RSRP, RSRQ, SINR, </w:t>
            </w:r>
            <w:proofErr w:type="spellStart"/>
            <w:r w:rsidRPr="00694BAB">
              <w:rPr>
                <w:lang w:val="en-GB"/>
              </w:rPr>
              <w:t>Qout</w:t>
            </w:r>
            <w:proofErr w:type="spellEnd"/>
            <w:r w:rsidRPr="00694BAB">
              <w:rPr>
                <w:lang w:val="en-GB"/>
              </w:rPr>
              <w:t>, Qin, etc.</w:t>
            </w:r>
          </w:p>
        </w:tc>
      </w:tr>
    </w:tbl>
    <w:p w14:paraId="05BDA73E" w14:textId="77777777" w:rsidR="00944509" w:rsidRPr="00944509" w:rsidRDefault="00944509" w:rsidP="00B348E6">
      <w:pPr>
        <w:rPr>
          <w:b/>
          <w:sz w:val="2"/>
          <w:lang w:val="en-US"/>
        </w:rPr>
      </w:pPr>
    </w:p>
    <w:p w14:paraId="0D94A871" w14:textId="70C97FB6" w:rsidR="000A615B" w:rsidRDefault="00F31F2D" w:rsidP="00B348E6">
      <w:pPr>
        <w:rPr>
          <w:b/>
          <w:lang w:val="en-US"/>
        </w:rPr>
      </w:pPr>
      <w:r w:rsidRPr="00DB55B8">
        <w:rPr>
          <w:b/>
          <w:lang w:val="en-US"/>
        </w:rPr>
        <w:t xml:space="preserve">Figure </w:t>
      </w:r>
      <w:r w:rsidR="002C6D8E">
        <w:rPr>
          <w:b/>
          <w:lang w:val="en-US"/>
        </w:rPr>
        <w:t>2</w:t>
      </w:r>
      <w:r w:rsidRPr="00DB55B8">
        <w:rPr>
          <w:b/>
          <w:lang w:val="en-US"/>
        </w:rPr>
        <w:t xml:space="preserve">.  Excerpt from 37.816 on the beam level information </w:t>
      </w:r>
      <w:r w:rsidR="001E7418" w:rsidRPr="00DB55B8">
        <w:rPr>
          <w:b/>
          <w:lang w:val="en-US"/>
        </w:rPr>
        <w:t>to be used for detection of new failures and assisting the network to optimize the RLM</w:t>
      </w:r>
      <w:r w:rsidR="00DB55B8" w:rsidRPr="00DB55B8">
        <w:rPr>
          <w:b/>
          <w:lang w:val="en-US"/>
        </w:rPr>
        <w:t xml:space="preserve"> resources.</w:t>
      </w:r>
      <w:r w:rsidRPr="00DB55B8">
        <w:rPr>
          <w:b/>
          <w:lang w:val="en-US"/>
        </w:rPr>
        <w:t xml:space="preserve"> </w:t>
      </w:r>
    </w:p>
    <w:p w14:paraId="635855AE" w14:textId="77777777" w:rsidR="00B7278D" w:rsidRPr="00AF50DE" w:rsidRDefault="00B7278D" w:rsidP="00B348E6"/>
    <w:p w14:paraId="7105CE44" w14:textId="77777777" w:rsidR="00B87744" w:rsidRPr="00CE0424" w:rsidRDefault="00B87744" w:rsidP="00B87744">
      <w:pPr>
        <w:pStyle w:val="Heading1"/>
      </w:pPr>
      <w:r w:rsidRPr="00CE0424">
        <w:t>Conclusion</w:t>
      </w:r>
    </w:p>
    <w:p w14:paraId="06C6E857" w14:textId="77777777" w:rsidR="00B87744" w:rsidRPr="00A11FF0" w:rsidRDefault="00B87744" w:rsidP="00B87744">
      <w:r w:rsidRPr="00A11FF0">
        <w:t xml:space="preserve">In section </w:t>
      </w:r>
      <w:r w:rsidRPr="00A11FF0">
        <w:rPr>
          <w:highlight w:val="cyan"/>
        </w:rPr>
        <w:fldChar w:fldCharType="begin"/>
      </w:r>
      <w:r w:rsidRPr="00A11FF0">
        <w:instrText xml:space="preserve"> REF _Ref178064866 \r \h </w:instrText>
      </w:r>
      <w:r>
        <w:rPr>
          <w:highlight w:val="cyan"/>
        </w:rPr>
        <w:instrText xml:space="preserve"> \* MERGEFORMAT </w:instrText>
      </w:r>
      <w:r w:rsidRPr="00A11FF0">
        <w:rPr>
          <w:highlight w:val="cyan"/>
        </w:rPr>
      </w:r>
      <w:r w:rsidRPr="00A11FF0">
        <w:rPr>
          <w:highlight w:val="cyan"/>
        </w:rPr>
        <w:fldChar w:fldCharType="separate"/>
      </w:r>
      <w:r w:rsidRPr="00A11FF0">
        <w:t>2</w:t>
      </w:r>
      <w:r w:rsidRPr="00A11FF0">
        <w:rPr>
          <w:highlight w:val="cyan"/>
        </w:rPr>
        <w:fldChar w:fldCharType="end"/>
      </w:r>
      <w:r w:rsidRPr="00A11FF0">
        <w:t xml:space="preserve"> we made the following observations:</w:t>
      </w:r>
    </w:p>
    <w:p w14:paraId="112379E0" w14:textId="77777777" w:rsidR="00BA6A96" w:rsidRPr="00D10D6A" w:rsidRDefault="00B87744">
      <w:pPr>
        <w:pStyle w:val="TOC1"/>
        <w:rPr>
          <w:rFonts w:asciiTheme="minorHAnsi" w:eastAsiaTheme="minorEastAsia" w:hAnsiTheme="minorHAnsi" w:cstheme="minorBidi"/>
          <w:b w:val="0"/>
          <w:sz w:val="22"/>
          <w:lang w:val="en-GB" w:eastAsia="sv-SE"/>
        </w:rPr>
      </w:pPr>
      <w:r>
        <w:rPr>
          <w:b w:val="0"/>
          <w:bCs/>
        </w:rPr>
        <w:fldChar w:fldCharType="begin"/>
      </w:r>
      <w:r>
        <w:rPr>
          <w:bCs/>
        </w:rPr>
        <w:instrText xml:space="preserve"> TOC \f \n \t "Observation;1" </w:instrText>
      </w:r>
      <w:r>
        <w:rPr>
          <w:b w:val="0"/>
          <w:bCs/>
        </w:rPr>
        <w:fldChar w:fldCharType="separate"/>
      </w:r>
      <w:r w:rsidR="00BA6A96" w:rsidRPr="00127545">
        <w:t>Observation 1</w:t>
      </w:r>
      <w:r w:rsidR="00BA6A96" w:rsidRPr="00D10D6A">
        <w:rPr>
          <w:rFonts w:asciiTheme="minorHAnsi" w:eastAsiaTheme="minorEastAsia" w:hAnsiTheme="minorHAnsi" w:cstheme="minorBidi"/>
          <w:b w:val="0"/>
          <w:sz w:val="22"/>
          <w:lang w:val="en-GB" w:eastAsia="sv-SE"/>
        </w:rPr>
        <w:tab/>
      </w:r>
      <w:r w:rsidR="00BA6A96" w:rsidRPr="00127545">
        <w:t>As capture in 37.816, same intra-LTE failure types are applicable to NR mobility failures.</w:t>
      </w:r>
    </w:p>
    <w:p w14:paraId="19073E80" w14:textId="77777777" w:rsidR="00BA6A96" w:rsidRPr="00D10D6A" w:rsidRDefault="00BA6A96">
      <w:pPr>
        <w:pStyle w:val="TOC1"/>
        <w:rPr>
          <w:rFonts w:asciiTheme="minorHAnsi" w:eastAsiaTheme="minorEastAsia" w:hAnsiTheme="minorHAnsi" w:cstheme="minorBidi"/>
          <w:b w:val="0"/>
          <w:sz w:val="22"/>
          <w:lang w:val="en-GB" w:eastAsia="sv-SE"/>
        </w:rPr>
      </w:pPr>
      <w:r w:rsidRPr="00127545">
        <w:t>Observation 2</w:t>
      </w:r>
      <w:r w:rsidRPr="00D10D6A">
        <w:rPr>
          <w:rFonts w:asciiTheme="minorHAnsi" w:eastAsiaTheme="minorEastAsia" w:hAnsiTheme="minorHAnsi" w:cstheme="minorBidi"/>
          <w:b w:val="0"/>
          <w:sz w:val="22"/>
          <w:lang w:val="en-GB" w:eastAsia="sv-SE"/>
        </w:rPr>
        <w:tab/>
      </w:r>
      <w:r w:rsidRPr="00127545">
        <w:t>NR mobility procedure may fail due to wrong beam configurations for RLM procedures.</w:t>
      </w:r>
    </w:p>
    <w:p w14:paraId="45F569D9" w14:textId="77777777" w:rsidR="00BA6A96" w:rsidRPr="00D10D6A" w:rsidRDefault="00BA6A96">
      <w:pPr>
        <w:pStyle w:val="TOC1"/>
        <w:rPr>
          <w:rFonts w:asciiTheme="minorHAnsi" w:eastAsiaTheme="minorEastAsia" w:hAnsiTheme="minorHAnsi" w:cstheme="minorBidi"/>
          <w:b w:val="0"/>
          <w:sz w:val="22"/>
          <w:lang w:val="en-GB" w:eastAsia="sv-SE"/>
        </w:rPr>
      </w:pPr>
      <w:r w:rsidRPr="00127545">
        <w:t>Observation 3</w:t>
      </w:r>
      <w:r w:rsidRPr="00D10D6A">
        <w:rPr>
          <w:rFonts w:asciiTheme="minorHAnsi" w:eastAsiaTheme="minorEastAsia" w:hAnsiTheme="minorHAnsi" w:cstheme="minorBidi"/>
          <w:b w:val="0"/>
          <w:sz w:val="22"/>
          <w:lang w:val="en-GB" w:eastAsia="sv-SE"/>
        </w:rPr>
        <w:tab/>
      </w:r>
      <w:r w:rsidRPr="00127545">
        <w:t>Failures caused by wrong beam configuration of RLM may be wrongly interpreted as legacy failure cases such as Too Late or Too Early HO.</w:t>
      </w:r>
    </w:p>
    <w:p w14:paraId="14B34BBE" w14:textId="2A7DD994" w:rsidR="00B87744" w:rsidRDefault="00B87744" w:rsidP="00B87744">
      <w:pPr>
        <w:pStyle w:val="BodyText"/>
        <w:rPr>
          <w:b/>
          <w:bCs/>
        </w:rPr>
      </w:pPr>
      <w:r>
        <w:rPr>
          <w:b/>
          <w:bCs/>
        </w:rPr>
        <w:fldChar w:fldCharType="end"/>
      </w:r>
    </w:p>
    <w:p w14:paraId="3D6D77CA" w14:textId="77777777" w:rsidR="00B87744" w:rsidRDefault="00B87744" w:rsidP="00B87744">
      <w:r w:rsidRPr="00CE0424">
        <w:t xml:space="preserve">Based on the discussion in section </w:t>
      </w:r>
      <w:r w:rsidRPr="00CE0424">
        <w:rPr>
          <w:highlight w:val="cyan"/>
        </w:rPr>
        <w:fldChar w:fldCharType="begin"/>
      </w:r>
      <w:r w:rsidRPr="00CE0424">
        <w:instrText xml:space="preserve"> REF _Ref178064866 \r \h </w:instrText>
      </w:r>
      <w:r>
        <w:rPr>
          <w:highlight w:val="cyan"/>
        </w:rPr>
        <w:instrText xml:space="preserve"> \* MERGEFORMAT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p>
    <w:p w14:paraId="49D0A184" w14:textId="77777777" w:rsidR="005D3A74" w:rsidRPr="005D3A74" w:rsidRDefault="00B87744">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5D3A74">
        <w:t>Proposal 1</w:t>
      </w:r>
      <w:r w:rsidR="005D3A74" w:rsidRPr="005D3A74">
        <w:rPr>
          <w:rFonts w:asciiTheme="minorHAnsi" w:eastAsiaTheme="minorEastAsia" w:hAnsiTheme="minorHAnsi" w:cstheme="minorBidi"/>
          <w:b w:val="0"/>
          <w:sz w:val="22"/>
          <w:lang w:eastAsia="sv-SE"/>
        </w:rPr>
        <w:tab/>
      </w:r>
      <w:r w:rsidR="005D3A74" w:rsidRPr="00E772DD">
        <w:rPr>
          <w:rFonts w:cs="Arial"/>
          <w:lang w:eastAsia="en-US"/>
        </w:rPr>
        <w:t>RAN2 is kindly requested to approve the TP [2] to 38.300.</w:t>
      </w:r>
    </w:p>
    <w:p w14:paraId="63D1248F" w14:textId="77777777" w:rsidR="005D3A74" w:rsidRPr="005D3A74" w:rsidRDefault="005D3A74">
      <w:pPr>
        <w:pStyle w:val="TOC1"/>
        <w:rPr>
          <w:rFonts w:asciiTheme="minorHAnsi" w:eastAsiaTheme="minorEastAsia" w:hAnsiTheme="minorHAnsi" w:cstheme="minorBidi"/>
          <w:b w:val="0"/>
          <w:sz w:val="22"/>
          <w:lang w:eastAsia="sv-SE"/>
        </w:rPr>
      </w:pPr>
      <w:r>
        <w:t>Proposal 2</w:t>
      </w:r>
      <w:r w:rsidRPr="005D3A74">
        <w:rPr>
          <w:rFonts w:asciiTheme="minorHAnsi" w:eastAsiaTheme="minorEastAsia" w:hAnsiTheme="minorHAnsi" w:cstheme="minorBidi"/>
          <w:b w:val="0"/>
          <w:sz w:val="22"/>
          <w:lang w:eastAsia="sv-SE"/>
        </w:rPr>
        <w:tab/>
      </w:r>
      <w:r>
        <w:t>RAN2 agree on updating the Inter-RAT section of 36.300 based on the agreed TR and provided TP [3].</w:t>
      </w:r>
    </w:p>
    <w:p w14:paraId="45A5A114" w14:textId="67447F32" w:rsidR="00B87744" w:rsidRPr="00E50A64" w:rsidRDefault="00B87744" w:rsidP="00B87744">
      <w:pPr>
        <w:rPr>
          <w:b/>
          <w:bCs/>
          <w:lang w:val="en-US"/>
        </w:rPr>
      </w:pPr>
      <w:r>
        <w:rPr>
          <w:b/>
          <w:bCs/>
        </w:rPr>
        <w:fldChar w:fldCharType="end"/>
      </w:r>
    </w:p>
    <w:p w14:paraId="7E21464B" w14:textId="77777777" w:rsidR="00B87744" w:rsidRPr="00CE0424" w:rsidRDefault="00B87744" w:rsidP="00B87744">
      <w:pPr>
        <w:pStyle w:val="Heading1"/>
      </w:pPr>
      <w:bookmarkStart w:id="53" w:name="_In-sequence_SDU_delivery"/>
      <w:bookmarkEnd w:id="53"/>
      <w:r w:rsidRPr="00CE0424">
        <w:t>References</w:t>
      </w:r>
    </w:p>
    <w:p w14:paraId="5D9296C4" w14:textId="3ADE0B99" w:rsidR="00B87744" w:rsidRPr="00D07628" w:rsidRDefault="00B87744" w:rsidP="00B87744">
      <w:pPr>
        <w:pStyle w:val="Reference"/>
      </w:pPr>
      <w:bookmarkStart w:id="54" w:name="_Ref536694063"/>
      <w:bookmarkStart w:id="55" w:name="_Ref174151459"/>
      <w:bookmarkStart w:id="56" w:name="_Ref189809556"/>
      <w:r w:rsidRPr="00D07628">
        <w:t xml:space="preserve">TR 37.816, 3GPP WG RAN3, </w:t>
      </w:r>
      <w:r w:rsidR="00EE7EAE" w:rsidRPr="00D07628">
        <w:t>Reno</w:t>
      </w:r>
      <w:r w:rsidRPr="00D07628">
        <w:t>,</w:t>
      </w:r>
      <w:r w:rsidR="00EE7EAE" w:rsidRPr="00D07628">
        <w:t xml:space="preserve"> US.</w:t>
      </w:r>
      <w:r w:rsidRPr="00D07628">
        <w:t xml:space="preserve"> </w:t>
      </w:r>
    </w:p>
    <w:p w14:paraId="47439292" w14:textId="2561C56A" w:rsidR="00EC6369" w:rsidRPr="00D07628" w:rsidRDefault="00FF265E" w:rsidP="00B87744">
      <w:pPr>
        <w:pStyle w:val="Reference"/>
      </w:pPr>
      <w:r w:rsidRPr="00D07628">
        <w:t>R2</w:t>
      </w:r>
      <w:r w:rsidR="002E7AD7" w:rsidRPr="00D07628">
        <w:t>-</w:t>
      </w:r>
      <w:r w:rsidR="00143B53" w:rsidRPr="00D07628">
        <w:t>19</w:t>
      </w:r>
      <w:r w:rsidR="004042DB" w:rsidRPr="00D07628">
        <w:t>10853</w:t>
      </w:r>
      <w:r w:rsidR="002E7AD7" w:rsidRPr="00D07628">
        <w:t xml:space="preserve">, </w:t>
      </w:r>
      <w:r w:rsidR="001435EE" w:rsidRPr="00D07628">
        <w:t xml:space="preserve">TP on </w:t>
      </w:r>
      <w:r w:rsidR="00773810" w:rsidRPr="00D07628">
        <w:t>mobility failure cases in 38.300.</w:t>
      </w:r>
      <w:r w:rsidRPr="00D07628">
        <w:t xml:space="preserve"> Ericsson,</w:t>
      </w:r>
      <w:r w:rsidR="0064350F" w:rsidRPr="00D07628">
        <w:t xml:space="preserve"> 3GPP TSG-RAN WG2#107, Prague, CZ, 26-30 August 2019.</w:t>
      </w:r>
    </w:p>
    <w:p w14:paraId="167FDD6C" w14:textId="0814A7DC" w:rsidR="00773810" w:rsidRPr="00D07628" w:rsidRDefault="002E7AD7" w:rsidP="00B87744">
      <w:pPr>
        <w:pStyle w:val="Reference"/>
      </w:pPr>
      <w:r w:rsidRPr="00D07628">
        <w:t>R2-</w:t>
      </w:r>
      <w:r w:rsidR="00143B53" w:rsidRPr="00D07628">
        <w:t>19</w:t>
      </w:r>
      <w:r w:rsidR="004042DB" w:rsidRPr="00D07628">
        <w:t>10850</w:t>
      </w:r>
      <w:r w:rsidRPr="00D07628">
        <w:t xml:space="preserve">, </w:t>
      </w:r>
      <w:r w:rsidR="00773810" w:rsidRPr="00D07628">
        <w:t>TP on mobility failure cases in 36.300.</w:t>
      </w:r>
      <w:r w:rsidR="00FF265E" w:rsidRPr="00D07628">
        <w:t xml:space="preserve"> Ericsson,</w:t>
      </w:r>
      <w:r w:rsidR="0064350F" w:rsidRPr="00D07628">
        <w:t xml:space="preserve"> 3GPP TSG-RAN WG2#107, Prague, CZ, 26-30 August 2019.</w:t>
      </w:r>
    </w:p>
    <w:p w14:paraId="2A322BB4" w14:textId="12C9923F" w:rsidR="00FF265E" w:rsidRDefault="002E7AD7" w:rsidP="00B87744">
      <w:pPr>
        <w:pStyle w:val="Reference"/>
      </w:pPr>
      <w:r w:rsidRPr="00D07628">
        <w:t>R2-</w:t>
      </w:r>
      <w:r w:rsidR="00143B53" w:rsidRPr="00D07628">
        <w:t>19</w:t>
      </w:r>
      <w:r w:rsidR="004042DB" w:rsidRPr="00D07628">
        <w:t>10851</w:t>
      </w:r>
      <w:r w:rsidRPr="00D07628">
        <w:t xml:space="preserve">, </w:t>
      </w:r>
      <w:r w:rsidR="00FF265E" w:rsidRPr="00D07628">
        <w:t>U</w:t>
      </w:r>
      <w:r w:rsidR="00D81070" w:rsidRPr="00D07628">
        <w:t>sage of RLM related contents in RLF report, Ericsson,</w:t>
      </w:r>
      <w:r w:rsidR="0064350F" w:rsidRPr="00D07628">
        <w:t xml:space="preserve"> 3GPP TSG-RAN WG2#107, Prague, CZ, 26-30 August 2019</w:t>
      </w:r>
      <w:r w:rsidR="0064350F">
        <w:t>.</w:t>
      </w:r>
    </w:p>
    <w:bookmarkEnd w:id="54"/>
    <w:bookmarkEnd w:id="55"/>
    <w:bookmarkEnd w:id="56"/>
    <w:p w14:paraId="5C76C737" w14:textId="77777777" w:rsidR="00B87744" w:rsidRPr="008D52D1" w:rsidRDefault="00B87744" w:rsidP="00B87744"/>
    <w:p w14:paraId="53C55EC6" w14:textId="77777777" w:rsidR="00A06328" w:rsidRDefault="00A06328"/>
    <w:sectPr w:rsidR="00A063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F01D2" w14:textId="77777777" w:rsidR="008F52C5" w:rsidRDefault="008F52C5" w:rsidP="00283875">
      <w:pPr>
        <w:spacing w:after="0"/>
      </w:pPr>
      <w:r>
        <w:separator/>
      </w:r>
    </w:p>
  </w:endnote>
  <w:endnote w:type="continuationSeparator" w:id="0">
    <w:p w14:paraId="394C5CD0" w14:textId="77777777" w:rsidR="008F52C5" w:rsidRDefault="008F52C5" w:rsidP="00283875">
      <w:pPr>
        <w:spacing w:after="0"/>
      </w:pPr>
      <w:r>
        <w:continuationSeparator/>
      </w:r>
    </w:p>
  </w:endnote>
  <w:endnote w:type="continuationNotice" w:id="1">
    <w:p w14:paraId="01E0E34E" w14:textId="77777777" w:rsidR="008F52C5" w:rsidRDefault="008F52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A0002AEF" w:usb1="4000207B" w:usb2="00000000" w:usb3="00000000" w:csb0="000001F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1002AFF" w:usb1="C000E47F" w:usb2="0000002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B1D75" w14:textId="77777777" w:rsidR="008F52C5" w:rsidRDefault="008F52C5" w:rsidP="00283875">
      <w:pPr>
        <w:spacing w:after="0"/>
      </w:pPr>
      <w:r>
        <w:separator/>
      </w:r>
    </w:p>
  </w:footnote>
  <w:footnote w:type="continuationSeparator" w:id="0">
    <w:p w14:paraId="7DFA7F9E" w14:textId="77777777" w:rsidR="008F52C5" w:rsidRDefault="008F52C5" w:rsidP="00283875">
      <w:pPr>
        <w:spacing w:after="0"/>
      </w:pPr>
      <w:r>
        <w:continuationSeparator/>
      </w:r>
    </w:p>
  </w:footnote>
  <w:footnote w:type="continuationNotice" w:id="1">
    <w:p w14:paraId="055301BA" w14:textId="77777777" w:rsidR="008F52C5" w:rsidRDefault="008F52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90B1237"/>
    <w:multiLevelType w:val="hybridMultilevel"/>
    <w:tmpl w:val="A6F8ECFA"/>
    <w:lvl w:ilvl="0" w:tplc="04090011">
      <w:start w:val="1"/>
      <w:numFmt w:val="decimal"/>
      <w:lvlText w:val="%1)"/>
      <w:lvlJc w:val="left"/>
      <w:pPr>
        <w:ind w:left="420" w:hanging="420"/>
      </w:pPr>
    </w:lvl>
    <w:lvl w:ilvl="1" w:tplc="8BEC5668">
      <w:start w:val="1"/>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3F265FC"/>
    <w:multiLevelType w:val="hybridMultilevel"/>
    <w:tmpl w:val="5D6EC234"/>
    <w:lvl w:ilvl="0" w:tplc="041D0001">
      <w:start w:val="1"/>
      <w:numFmt w:val="bullet"/>
      <w:lvlText w:val=""/>
      <w:lvlJc w:val="left"/>
      <w:pPr>
        <w:ind w:left="776" w:hanging="360"/>
      </w:pPr>
      <w:rPr>
        <w:rFonts w:ascii="Symbol" w:hAnsi="Symbol" w:hint="default"/>
      </w:rPr>
    </w:lvl>
    <w:lvl w:ilvl="1" w:tplc="041D0003" w:tentative="1">
      <w:start w:val="1"/>
      <w:numFmt w:val="bullet"/>
      <w:lvlText w:val="o"/>
      <w:lvlJc w:val="left"/>
      <w:pPr>
        <w:ind w:left="1496" w:hanging="360"/>
      </w:pPr>
      <w:rPr>
        <w:rFonts w:ascii="Courier New" w:hAnsi="Courier New" w:cs="Courier New" w:hint="default"/>
      </w:rPr>
    </w:lvl>
    <w:lvl w:ilvl="2" w:tplc="041D0005" w:tentative="1">
      <w:start w:val="1"/>
      <w:numFmt w:val="bullet"/>
      <w:lvlText w:val=""/>
      <w:lvlJc w:val="left"/>
      <w:pPr>
        <w:ind w:left="2216" w:hanging="360"/>
      </w:pPr>
      <w:rPr>
        <w:rFonts w:ascii="Wingdings" w:hAnsi="Wingdings" w:hint="default"/>
      </w:rPr>
    </w:lvl>
    <w:lvl w:ilvl="3" w:tplc="041D0001" w:tentative="1">
      <w:start w:val="1"/>
      <w:numFmt w:val="bullet"/>
      <w:lvlText w:val=""/>
      <w:lvlJc w:val="left"/>
      <w:pPr>
        <w:ind w:left="2936" w:hanging="360"/>
      </w:pPr>
      <w:rPr>
        <w:rFonts w:ascii="Symbol" w:hAnsi="Symbol" w:hint="default"/>
      </w:rPr>
    </w:lvl>
    <w:lvl w:ilvl="4" w:tplc="041D0003" w:tentative="1">
      <w:start w:val="1"/>
      <w:numFmt w:val="bullet"/>
      <w:lvlText w:val="o"/>
      <w:lvlJc w:val="left"/>
      <w:pPr>
        <w:ind w:left="3656" w:hanging="360"/>
      </w:pPr>
      <w:rPr>
        <w:rFonts w:ascii="Courier New" w:hAnsi="Courier New" w:cs="Courier New" w:hint="default"/>
      </w:rPr>
    </w:lvl>
    <w:lvl w:ilvl="5" w:tplc="041D0005" w:tentative="1">
      <w:start w:val="1"/>
      <w:numFmt w:val="bullet"/>
      <w:lvlText w:val=""/>
      <w:lvlJc w:val="left"/>
      <w:pPr>
        <w:ind w:left="4376" w:hanging="360"/>
      </w:pPr>
      <w:rPr>
        <w:rFonts w:ascii="Wingdings" w:hAnsi="Wingdings" w:hint="default"/>
      </w:rPr>
    </w:lvl>
    <w:lvl w:ilvl="6" w:tplc="041D0001" w:tentative="1">
      <w:start w:val="1"/>
      <w:numFmt w:val="bullet"/>
      <w:lvlText w:val=""/>
      <w:lvlJc w:val="left"/>
      <w:pPr>
        <w:ind w:left="5096" w:hanging="360"/>
      </w:pPr>
      <w:rPr>
        <w:rFonts w:ascii="Symbol" w:hAnsi="Symbol" w:hint="default"/>
      </w:rPr>
    </w:lvl>
    <w:lvl w:ilvl="7" w:tplc="041D0003" w:tentative="1">
      <w:start w:val="1"/>
      <w:numFmt w:val="bullet"/>
      <w:lvlText w:val="o"/>
      <w:lvlJc w:val="left"/>
      <w:pPr>
        <w:ind w:left="5816" w:hanging="360"/>
      </w:pPr>
      <w:rPr>
        <w:rFonts w:ascii="Courier New" w:hAnsi="Courier New" w:cs="Courier New" w:hint="default"/>
      </w:rPr>
    </w:lvl>
    <w:lvl w:ilvl="8" w:tplc="041D0005" w:tentative="1">
      <w:start w:val="1"/>
      <w:numFmt w:val="bullet"/>
      <w:lvlText w:val=""/>
      <w:lvlJc w:val="left"/>
      <w:pPr>
        <w:ind w:left="6536" w:hanging="360"/>
      </w:pPr>
      <w:rPr>
        <w:rFonts w:ascii="Wingdings" w:hAnsi="Wingdings" w:hint="default"/>
      </w:rPr>
    </w:lvl>
  </w:abstractNum>
  <w:abstractNum w:abstractNumId="4" w15:restartNumberingAfterBreak="0">
    <w:nsid w:val="47BB1976"/>
    <w:multiLevelType w:val="hybridMultilevel"/>
    <w:tmpl w:val="D3645D08"/>
    <w:lvl w:ilvl="0" w:tplc="58D8C818">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04160A"/>
    <w:multiLevelType w:val="hybridMultilevel"/>
    <w:tmpl w:val="79B8F5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B5610D4"/>
    <w:multiLevelType w:val="hybridMultilevel"/>
    <w:tmpl w:val="9CCA7F4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2840DC9"/>
    <w:multiLevelType w:val="multilevel"/>
    <w:tmpl w:val="B590FF64"/>
    <w:lvl w:ilvl="0">
      <w:start w:val="1"/>
      <w:numFmt w:val="bullet"/>
      <w:lvlText w:val=""/>
      <w:lvlJc w:val="left"/>
      <w:pPr>
        <w:ind w:left="988" w:hanging="420"/>
      </w:pPr>
      <w:rPr>
        <w:rFonts w:ascii="Symbol" w:hAnsi="Symbol" w:hint="default"/>
      </w:rPr>
    </w:lvl>
    <w:lvl w:ilvl="1">
      <w:start w:val="1"/>
      <w:numFmt w:val="bullet"/>
      <w:lvlText w:val="−"/>
      <w:lvlJc w:val="left"/>
      <w:pPr>
        <w:ind w:left="557" w:hanging="420"/>
      </w:pPr>
      <w:rPr>
        <w:rFonts w:ascii="Microsoft YaHei" w:eastAsia="Microsoft YaHei" w:hAnsi="Microsoft YaHei" w:hint="eastAsia"/>
      </w:rPr>
    </w:lvl>
    <w:lvl w:ilvl="2">
      <w:start w:val="1"/>
      <w:numFmt w:val="bullet"/>
      <w:lvlText w:val=""/>
      <w:lvlJc w:val="left"/>
      <w:pPr>
        <w:ind w:left="988" w:hanging="420"/>
      </w:pPr>
      <w:rPr>
        <w:rFonts w:ascii="Symbol" w:hAnsi="Symbol" w:hint="default"/>
      </w:rPr>
    </w:lvl>
    <w:lvl w:ilvl="3">
      <w:start w:val="1"/>
      <w:numFmt w:val="bullet"/>
      <w:lvlText w:val="−"/>
      <w:lvlJc w:val="left"/>
      <w:pPr>
        <w:ind w:left="1413" w:hanging="420"/>
      </w:pPr>
      <w:rPr>
        <w:rFonts w:ascii="Microsoft YaHei" w:eastAsia="Microsoft YaHei" w:hAnsi="Microsoft YaHei" w:hint="eastAsia"/>
        <w:lang w:val="en-GB"/>
      </w:rPr>
    </w:lvl>
    <w:lvl w:ilvl="4">
      <w:start w:val="1"/>
      <w:numFmt w:val="bullet"/>
      <w:lvlText w:val=""/>
      <w:lvlJc w:val="left"/>
      <w:pPr>
        <w:ind w:left="705" w:hanging="420"/>
      </w:pPr>
      <w:rPr>
        <w:rFonts w:ascii="Symbol" w:hAnsi="Symbol" w:hint="default"/>
      </w:rPr>
    </w:lvl>
    <w:lvl w:ilvl="5">
      <w:start w:val="558"/>
      <w:numFmt w:val="bullet"/>
      <w:lvlText w:val="◦"/>
      <w:lvlJc w:val="left"/>
      <w:pPr>
        <w:ind w:left="2237" w:hanging="420"/>
      </w:pPr>
      <w:rPr>
        <w:rFonts w:ascii="Microsoft Sans Serif" w:hAnsi="Microsoft Sans Serif" w:cs="Times New Roman" w:hint="default"/>
      </w:rPr>
    </w:lvl>
    <w:lvl w:ilvl="6">
      <w:start w:val="1"/>
      <w:numFmt w:val="bullet"/>
      <w:lvlText w:val=""/>
      <w:lvlJc w:val="left"/>
      <w:pPr>
        <w:ind w:left="2657" w:hanging="420"/>
      </w:pPr>
      <w:rPr>
        <w:rFonts w:ascii="Wingdings" w:hAnsi="Wingdings" w:hint="default"/>
      </w:rPr>
    </w:lvl>
    <w:lvl w:ilvl="7">
      <w:start w:val="1"/>
      <w:numFmt w:val="bullet"/>
      <w:lvlText w:val=""/>
      <w:lvlJc w:val="left"/>
      <w:pPr>
        <w:ind w:left="3077" w:hanging="420"/>
      </w:pPr>
      <w:rPr>
        <w:rFonts w:ascii="Wingdings" w:hAnsi="Wingdings" w:hint="default"/>
      </w:rPr>
    </w:lvl>
    <w:lvl w:ilvl="8">
      <w:start w:val="1"/>
      <w:numFmt w:val="bullet"/>
      <w:lvlText w:val=""/>
      <w:lvlJc w:val="left"/>
      <w:pPr>
        <w:ind w:left="3497" w:hanging="420"/>
      </w:pPr>
      <w:rPr>
        <w:rFonts w:ascii="Wingdings" w:hAnsi="Wingdings" w:hint="default"/>
      </w:rPr>
    </w:lvl>
  </w:abstractNum>
  <w:abstractNum w:abstractNumId="10" w15:restartNumberingAfterBreak="0">
    <w:nsid w:val="73FF4F7C"/>
    <w:multiLevelType w:val="hybridMultilevel"/>
    <w:tmpl w:val="3E9A1E10"/>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1" w15:restartNumberingAfterBreak="0">
    <w:nsid w:val="77570757"/>
    <w:multiLevelType w:val="hybridMultilevel"/>
    <w:tmpl w:val="76BEE9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6"/>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7"/>
  </w:num>
  <w:num w:numId="9">
    <w:abstractNumId w:val="8"/>
  </w:num>
  <w:num w:numId="10">
    <w:abstractNumId w:val="3"/>
  </w:num>
  <w:num w:numId="11">
    <w:abstractNumId w:val="1"/>
  </w:num>
  <w:num w:numId="12">
    <w:abstractNumId w:val="4"/>
  </w:num>
  <w:num w:numId="13">
    <w:abstractNumId w:val="9"/>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744"/>
    <w:rsid w:val="00006407"/>
    <w:rsid w:val="00006995"/>
    <w:rsid w:val="00012CE9"/>
    <w:rsid w:val="000172C9"/>
    <w:rsid w:val="00022603"/>
    <w:rsid w:val="00050DD4"/>
    <w:rsid w:val="00067D92"/>
    <w:rsid w:val="00086BA0"/>
    <w:rsid w:val="0009371A"/>
    <w:rsid w:val="00094B96"/>
    <w:rsid w:val="000A5123"/>
    <w:rsid w:val="000A615B"/>
    <w:rsid w:val="000B3C0B"/>
    <w:rsid w:val="000C3F70"/>
    <w:rsid w:val="000C53BC"/>
    <w:rsid w:val="000C761F"/>
    <w:rsid w:val="000D350B"/>
    <w:rsid w:val="000E1161"/>
    <w:rsid w:val="000F2E87"/>
    <w:rsid w:val="00100D0A"/>
    <w:rsid w:val="00106910"/>
    <w:rsid w:val="00122B7F"/>
    <w:rsid w:val="001252BB"/>
    <w:rsid w:val="00133A7B"/>
    <w:rsid w:val="001435EE"/>
    <w:rsid w:val="00143B53"/>
    <w:rsid w:val="00156696"/>
    <w:rsid w:val="001660B1"/>
    <w:rsid w:val="001720B3"/>
    <w:rsid w:val="0017430B"/>
    <w:rsid w:val="00176BD1"/>
    <w:rsid w:val="00185E1D"/>
    <w:rsid w:val="001B379F"/>
    <w:rsid w:val="001B7093"/>
    <w:rsid w:val="001E440F"/>
    <w:rsid w:val="001E61D8"/>
    <w:rsid w:val="001E7418"/>
    <w:rsid w:val="002027D3"/>
    <w:rsid w:val="00207B19"/>
    <w:rsid w:val="002104E1"/>
    <w:rsid w:val="002222F7"/>
    <w:rsid w:val="00230CB8"/>
    <w:rsid w:val="00237713"/>
    <w:rsid w:val="00245519"/>
    <w:rsid w:val="002463CE"/>
    <w:rsid w:val="00255256"/>
    <w:rsid w:val="00270672"/>
    <w:rsid w:val="002738F6"/>
    <w:rsid w:val="002800BF"/>
    <w:rsid w:val="00283010"/>
    <w:rsid w:val="00283875"/>
    <w:rsid w:val="00286E2C"/>
    <w:rsid w:val="00293590"/>
    <w:rsid w:val="002A16AC"/>
    <w:rsid w:val="002C22B1"/>
    <w:rsid w:val="002C6D8E"/>
    <w:rsid w:val="002E0C29"/>
    <w:rsid w:val="002E392D"/>
    <w:rsid w:val="002E45EF"/>
    <w:rsid w:val="002E6480"/>
    <w:rsid w:val="002E7AD7"/>
    <w:rsid w:val="002F40B9"/>
    <w:rsid w:val="003036A1"/>
    <w:rsid w:val="00304FE3"/>
    <w:rsid w:val="0031595C"/>
    <w:rsid w:val="00321112"/>
    <w:rsid w:val="003245E4"/>
    <w:rsid w:val="00330A35"/>
    <w:rsid w:val="003527D8"/>
    <w:rsid w:val="003628C0"/>
    <w:rsid w:val="00372575"/>
    <w:rsid w:val="00386831"/>
    <w:rsid w:val="00396BF6"/>
    <w:rsid w:val="003A21C6"/>
    <w:rsid w:val="003A2D61"/>
    <w:rsid w:val="003C7E5C"/>
    <w:rsid w:val="003D1F17"/>
    <w:rsid w:val="003D2F43"/>
    <w:rsid w:val="003E2D09"/>
    <w:rsid w:val="003E6EF7"/>
    <w:rsid w:val="003E7C8B"/>
    <w:rsid w:val="003F3EB1"/>
    <w:rsid w:val="003F5ABE"/>
    <w:rsid w:val="004042DB"/>
    <w:rsid w:val="00411641"/>
    <w:rsid w:val="00417936"/>
    <w:rsid w:val="0042157B"/>
    <w:rsid w:val="00427185"/>
    <w:rsid w:val="00436CEC"/>
    <w:rsid w:val="00436DD5"/>
    <w:rsid w:val="00437749"/>
    <w:rsid w:val="004521FD"/>
    <w:rsid w:val="004522E2"/>
    <w:rsid w:val="00461496"/>
    <w:rsid w:val="00461638"/>
    <w:rsid w:val="00491A7C"/>
    <w:rsid w:val="00494402"/>
    <w:rsid w:val="004B04BD"/>
    <w:rsid w:val="004D13A4"/>
    <w:rsid w:val="004F7DE3"/>
    <w:rsid w:val="0053076B"/>
    <w:rsid w:val="00542885"/>
    <w:rsid w:val="005458A8"/>
    <w:rsid w:val="00547D66"/>
    <w:rsid w:val="00547F8B"/>
    <w:rsid w:val="00573369"/>
    <w:rsid w:val="005A4D59"/>
    <w:rsid w:val="005C3EFC"/>
    <w:rsid w:val="005D3A74"/>
    <w:rsid w:val="0061789E"/>
    <w:rsid w:val="006359F9"/>
    <w:rsid w:val="0064350F"/>
    <w:rsid w:val="006551DB"/>
    <w:rsid w:val="00656AE7"/>
    <w:rsid w:val="00672706"/>
    <w:rsid w:val="00694BAB"/>
    <w:rsid w:val="00697ED5"/>
    <w:rsid w:val="006A051C"/>
    <w:rsid w:val="006A1CC6"/>
    <w:rsid w:val="006A22A4"/>
    <w:rsid w:val="006B088C"/>
    <w:rsid w:val="006B2121"/>
    <w:rsid w:val="006B4647"/>
    <w:rsid w:val="006B5665"/>
    <w:rsid w:val="006B6540"/>
    <w:rsid w:val="006C0E98"/>
    <w:rsid w:val="006D2207"/>
    <w:rsid w:val="006E0B77"/>
    <w:rsid w:val="006E4748"/>
    <w:rsid w:val="00712B25"/>
    <w:rsid w:val="00720B0C"/>
    <w:rsid w:val="00723663"/>
    <w:rsid w:val="00733725"/>
    <w:rsid w:val="00734BC1"/>
    <w:rsid w:val="007423D4"/>
    <w:rsid w:val="00742D15"/>
    <w:rsid w:val="007432E7"/>
    <w:rsid w:val="00770D7F"/>
    <w:rsid w:val="00773810"/>
    <w:rsid w:val="00781F16"/>
    <w:rsid w:val="00790C0F"/>
    <w:rsid w:val="00797C53"/>
    <w:rsid w:val="007A677E"/>
    <w:rsid w:val="007F5C26"/>
    <w:rsid w:val="00815F14"/>
    <w:rsid w:val="00821B58"/>
    <w:rsid w:val="0084341C"/>
    <w:rsid w:val="00866EDE"/>
    <w:rsid w:val="00870BA3"/>
    <w:rsid w:val="0087316C"/>
    <w:rsid w:val="0087662F"/>
    <w:rsid w:val="008837A4"/>
    <w:rsid w:val="00884B0D"/>
    <w:rsid w:val="008A18C7"/>
    <w:rsid w:val="008A283A"/>
    <w:rsid w:val="008D02DF"/>
    <w:rsid w:val="008D24DC"/>
    <w:rsid w:val="008E6ACB"/>
    <w:rsid w:val="008F52C5"/>
    <w:rsid w:val="009017FE"/>
    <w:rsid w:val="00905CC4"/>
    <w:rsid w:val="00914F70"/>
    <w:rsid w:val="009255E8"/>
    <w:rsid w:val="00944509"/>
    <w:rsid w:val="009606B2"/>
    <w:rsid w:val="00961923"/>
    <w:rsid w:val="00966C11"/>
    <w:rsid w:val="00985626"/>
    <w:rsid w:val="00986155"/>
    <w:rsid w:val="00992AE8"/>
    <w:rsid w:val="009B24AF"/>
    <w:rsid w:val="009C3BD2"/>
    <w:rsid w:val="009F45FD"/>
    <w:rsid w:val="009F51AE"/>
    <w:rsid w:val="00A010A4"/>
    <w:rsid w:val="00A01EE9"/>
    <w:rsid w:val="00A06328"/>
    <w:rsid w:val="00A06D69"/>
    <w:rsid w:val="00A159D1"/>
    <w:rsid w:val="00A23437"/>
    <w:rsid w:val="00A23643"/>
    <w:rsid w:val="00A35106"/>
    <w:rsid w:val="00A652EA"/>
    <w:rsid w:val="00A66D96"/>
    <w:rsid w:val="00A73632"/>
    <w:rsid w:val="00A824DA"/>
    <w:rsid w:val="00A9321D"/>
    <w:rsid w:val="00AC65DB"/>
    <w:rsid w:val="00AD0B14"/>
    <w:rsid w:val="00AE1E49"/>
    <w:rsid w:val="00AE63E7"/>
    <w:rsid w:val="00AE7FE9"/>
    <w:rsid w:val="00AF50DE"/>
    <w:rsid w:val="00B22F65"/>
    <w:rsid w:val="00B27D60"/>
    <w:rsid w:val="00B330CB"/>
    <w:rsid w:val="00B348E6"/>
    <w:rsid w:val="00B544B4"/>
    <w:rsid w:val="00B624A2"/>
    <w:rsid w:val="00B7278D"/>
    <w:rsid w:val="00B8401A"/>
    <w:rsid w:val="00B84046"/>
    <w:rsid w:val="00B86B77"/>
    <w:rsid w:val="00B87744"/>
    <w:rsid w:val="00B91EE2"/>
    <w:rsid w:val="00BA6A96"/>
    <w:rsid w:val="00BB04EE"/>
    <w:rsid w:val="00BD59C8"/>
    <w:rsid w:val="00BF108E"/>
    <w:rsid w:val="00BF51E9"/>
    <w:rsid w:val="00C13D2F"/>
    <w:rsid w:val="00C15879"/>
    <w:rsid w:val="00C15A11"/>
    <w:rsid w:val="00C160A9"/>
    <w:rsid w:val="00C2200B"/>
    <w:rsid w:val="00C31037"/>
    <w:rsid w:val="00C318E0"/>
    <w:rsid w:val="00C46AB7"/>
    <w:rsid w:val="00C86925"/>
    <w:rsid w:val="00C87ADE"/>
    <w:rsid w:val="00C97016"/>
    <w:rsid w:val="00C972C3"/>
    <w:rsid w:val="00C9791A"/>
    <w:rsid w:val="00CB7599"/>
    <w:rsid w:val="00CC5AFD"/>
    <w:rsid w:val="00CE0B13"/>
    <w:rsid w:val="00CE6692"/>
    <w:rsid w:val="00D07628"/>
    <w:rsid w:val="00D10C0F"/>
    <w:rsid w:val="00D10D6A"/>
    <w:rsid w:val="00D116BD"/>
    <w:rsid w:val="00D1270F"/>
    <w:rsid w:val="00D209DD"/>
    <w:rsid w:val="00D375AB"/>
    <w:rsid w:val="00D52FC9"/>
    <w:rsid w:val="00D81070"/>
    <w:rsid w:val="00D93BE7"/>
    <w:rsid w:val="00DA6AC7"/>
    <w:rsid w:val="00DB55B8"/>
    <w:rsid w:val="00DC3A9F"/>
    <w:rsid w:val="00DC724C"/>
    <w:rsid w:val="00DD6CDA"/>
    <w:rsid w:val="00DD7C32"/>
    <w:rsid w:val="00E02887"/>
    <w:rsid w:val="00E20955"/>
    <w:rsid w:val="00E27FA8"/>
    <w:rsid w:val="00E31A3B"/>
    <w:rsid w:val="00E57BB6"/>
    <w:rsid w:val="00E6706A"/>
    <w:rsid w:val="00E9278C"/>
    <w:rsid w:val="00EA582C"/>
    <w:rsid w:val="00EB68F7"/>
    <w:rsid w:val="00EC6369"/>
    <w:rsid w:val="00EE3C1B"/>
    <w:rsid w:val="00EE6874"/>
    <w:rsid w:val="00EE7EAE"/>
    <w:rsid w:val="00EF1E4A"/>
    <w:rsid w:val="00F0282E"/>
    <w:rsid w:val="00F20892"/>
    <w:rsid w:val="00F23781"/>
    <w:rsid w:val="00F26E6F"/>
    <w:rsid w:val="00F31F2D"/>
    <w:rsid w:val="00F37E17"/>
    <w:rsid w:val="00F434A4"/>
    <w:rsid w:val="00F621C6"/>
    <w:rsid w:val="00F721BD"/>
    <w:rsid w:val="00F843A5"/>
    <w:rsid w:val="00F85286"/>
    <w:rsid w:val="00F85E29"/>
    <w:rsid w:val="00F943C7"/>
    <w:rsid w:val="00F961D4"/>
    <w:rsid w:val="00FB0DF5"/>
    <w:rsid w:val="00FC4A9B"/>
    <w:rsid w:val="00FE08EE"/>
    <w:rsid w:val="00FE378D"/>
    <w:rsid w:val="00FE5A8C"/>
    <w:rsid w:val="00FF265E"/>
    <w:rsid w:val="00FF51D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0BDB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8774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B8774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87744"/>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87744"/>
    <w:pPr>
      <w:numPr>
        <w:ilvl w:val="2"/>
      </w:numPr>
      <w:spacing w:before="120"/>
      <w:outlineLvl w:val="2"/>
    </w:pPr>
    <w:rPr>
      <w:sz w:val="28"/>
      <w:szCs w:val="28"/>
    </w:rPr>
  </w:style>
  <w:style w:type="paragraph" w:styleId="Heading4">
    <w:name w:val="heading 4"/>
    <w:basedOn w:val="Heading3"/>
    <w:next w:val="Normal"/>
    <w:link w:val="Heading4Char"/>
    <w:qFormat/>
    <w:rsid w:val="00B87744"/>
    <w:pPr>
      <w:numPr>
        <w:ilvl w:val="3"/>
      </w:numPr>
      <w:outlineLvl w:val="3"/>
    </w:pPr>
    <w:rPr>
      <w:sz w:val="24"/>
      <w:szCs w:val="24"/>
    </w:rPr>
  </w:style>
  <w:style w:type="paragraph" w:styleId="Heading5">
    <w:name w:val="heading 5"/>
    <w:basedOn w:val="Heading4"/>
    <w:next w:val="Normal"/>
    <w:link w:val="Heading5Char"/>
    <w:qFormat/>
    <w:rsid w:val="00B87744"/>
    <w:pPr>
      <w:numPr>
        <w:ilvl w:val="4"/>
      </w:numPr>
      <w:outlineLvl w:val="4"/>
    </w:pPr>
    <w:rPr>
      <w:sz w:val="22"/>
      <w:szCs w:val="22"/>
    </w:rPr>
  </w:style>
  <w:style w:type="paragraph" w:styleId="Heading6">
    <w:name w:val="heading 6"/>
    <w:basedOn w:val="Normal"/>
    <w:next w:val="Normal"/>
    <w:link w:val="Heading6Char"/>
    <w:qFormat/>
    <w:rsid w:val="00B8774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8774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87744"/>
    <w:pPr>
      <w:numPr>
        <w:ilvl w:val="7"/>
      </w:numPr>
      <w:outlineLvl w:val="7"/>
    </w:pPr>
  </w:style>
  <w:style w:type="paragraph" w:styleId="Heading9">
    <w:name w:val="heading 9"/>
    <w:basedOn w:val="Heading8"/>
    <w:next w:val="Normal"/>
    <w:link w:val="Heading9Char"/>
    <w:qFormat/>
    <w:rsid w:val="00B8774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7744"/>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87744"/>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87744"/>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8774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87744"/>
    <w:rPr>
      <w:rFonts w:ascii="Arial" w:eastAsia="Times New Roman" w:hAnsi="Arial" w:cs="Arial"/>
      <w:lang w:val="en-GB" w:eastAsia="zh-CN"/>
    </w:rPr>
  </w:style>
  <w:style w:type="character" w:customStyle="1" w:styleId="Heading6Char">
    <w:name w:val="Heading 6 Char"/>
    <w:basedOn w:val="DefaultParagraphFont"/>
    <w:link w:val="Heading6"/>
    <w:rsid w:val="00B8774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8774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8774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87744"/>
    <w:rPr>
      <w:rFonts w:ascii="Arial" w:eastAsia="Times New Roman" w:hAnsi="Arial" w:cs="Arial"/>
      <w:sz w:val="20"/>
      <w:szCs w:val="20"/>
      <w:lang w:val="en-GB" w:eastAsia="zh-CN"/>
    </w:rPr>
  </w:style>
  <w:style w:type="paragraph" w:styleId="TOC1">
    <w:name w:val="toc 1"/>
    <w:aliases w:val="Observation TOC2"/>
    <w:uiPriority w:val="39"/>
    <w:rsid w:val="00B87744"/>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3GPPHeader">
    <w:name w:val="3GPP_Header"/>
    <w:basedOn w:val="Normal"/>
    <w:rsid w:val="00B87744"/>
    <w:pPr>
      <w:tabs>
        <w:tab w:val="left" w:pos="1701"/>
        <w:tab w:val="right" w:pos="9639"/>
      </w:tabs>
      <w:spacing w:after="240"/>
    </w:pPr>
    <w:rPr>
      <w:b/>
      <w:sz w:val="24"/>
    </w:rPr>
  </w:style>
  <w:style w:type="paragraph" w:styleId="Footer">
    <w:name w:val="footer"/>
    <w:basedOn w:val="Header"/>
    <w:link w:val="FooterChar"/>
    <w:semiHidden/>
    <w:rsid w:val="00B8774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B87744"/>
    <w:rPr>
      <w:rFonts w:ascii="Arial" w:eastAsia="Times New Roman" w:hAnsi="Arial" w:cs="Arial"/>
      <w:b/>
      <w:bCs/>
      <w:i/>
      <w:iCs/>
      <w:noProof/>
      <w:sz w:val="18"/>
      <w:szCs w:val="18"/>
      <w:lang w:val="en-US" w:eastAsia="zh-CN"/>
    </w:rPr>
  </w:style>
  <w:style w:type="paragraph" w:customStyle="1" w:styleId="Reference">
    <w:name w:val="Reference"/>
    <w:basedOn w:val="Normal"/>
    <w:rsid w:val="00B87744"/>
    <w:pPr>
      <w:numPr>
        <w:numId w:val="2"/>
      </w:numPr>
    </w:pPr>
  </w:style>
  <w:style w:type="character" w:styleId="PageNumber">
    <w:name w:val="page number"/>
    <w:basedOn w:val="DefaultParagraphFont"/>
    <w:semiHidden/>
    <w:rsid w:val="00B87744"/>
  </w:style>
  <w:style w:type="paragraph" w:styleId="BodyText">
    <w:name w:val="Body Text"/>
    <w:basedOn w:val="Normal"/>
    <w:link w:val="BodyTextChar"/>
    <w:rsid w:val="00B87744"/>
  </w:style>
  <w:style w:type="character" w:customStyle="1" w:styleId="BodyTextChar">
    <w:name w:val="Body Text Char"/>
    <w:basedOn w:val="DefaultParagraphFont"/>
    <w:link w:val="BodyText"/>
    <w:rsid w:val="00B87744"/>
    <w:rPr>
      <w:rFonts w:ascii="Arial" w:eastAsia="Times New Roman" w:hAnsi="Arial" w:cs="Times New Roman"/>
      <w:sz w:val="20"/>
      <w:szCs w:val="20"/>
      <w:lang w:val="en-GB" w:eastAsia="zh-CN"/>
    </w:rPr>
  </w:style>
  <w:style w:type="character" w:styleId="CommentReference">
    <w:name w:val="annotation reference"/>
    <w:semiHidden/>
    <w:rsid w:val="00B87744"/>
    <w:rPr>
      <w:sz w:val="16"/>
      <w:szCs w:val="16"/>
    </w:rPr>
  </w:style>
  <w:style w:type="paragraph" w:styleId="CommentText">
    <w:name w:val="annotation text"/>
    <w:basedOn w:val="Normal"/>
    <w:link w:val="CommentTextChar"/>
    <w:semiHidden/>
    <w:rsid w:val="00B87744"/>
  </w:style>
  <w:style w:type="character" w:customStyle="1" w:styleId="CommentTextChar">
    <w:name w:val="Comment Text Char"/>
    <w:basedOn w:val="DefaultParagraphFont"/>
    <w:link w:val="CommentText"/>
    <w:semiHidden/>
    <w:rsid w:val="00B87744"/>
    <w:rPr>
      <w:rFonts w:ascii="Arial" w:eastAsia="Times New Roman" w:hAnsi="Arial" w:cs="Times New Roman"/>
      <w:sz w:val="20"/>
      <w:szCs w:val="20"/>
      <w:lang w:val="en-GB" w:eastAsia="zh-CN"/>
    </w:rPr>
  </w:style>
  <w:style w:type="paragraph" w:customStyle="1" w:styleId="Proposal">
    <w:name w:val="Proposal"/>
    <w:basedOn w:val="Normal"/>
    <w:rsid w:val="00B87744"/>
    <w:pPr>
      <w:numPr>
        <w:numId w:val="3"/>
      </w:numPr>
      <w:tabs>
        <w:tab w:val="clear" w:pos="1304"/>
        <w:tab w:val="left" w:pos="1701"/>
      </w:tabs>
      <w:ind w:left="1701" w:hanging="1701"/>
    </w:pPr>
    <w:rPr>
      <w:b/>
      <w:bCs/>
    </w:rPr>
  </w:style>
  <w:style w:type="paragraph" w:customStyle="1" w:styleId="TAL">
    <w:name w:val="TAL"/>
    <w:basedOn w:val="Normal"/>
    <w:link w:val="TALChar"/>
    <w:rsid w:val="00B87744"/>
    <w:pPr>
      <w:keepNext/>
      <w:keepLines/>
      <w:spacing w:after="0"/>
      <w:jc w:val="left"/>
    </w:pPr>
    <w:rPr>
      <w:sz w:val="18"/>
      <w:lang w:eastAsia="en-US"/>
    </w:rPr>
  </w:style>
  <w:style w:type="paragraph" w:customStyle="1" w:styleId="Observation">
    <w:name w:val="Observation"/>
    <w:basedOn w:val="Proposal"/>
    <w:qFormat/>
    <w:rsid w:val="00B87744"/>
    <w:pPr>
      <w:numPr>
        <w:numId w:val="4"/>
      </w:numPr>
      <w:ind w:left="1701" w:hanging="1701"/>
    </w:pPr>
  </w:style>
  <w:style w:type="paragraph" w:styleId="ListParagraph">
    <w:name w:val="List Paragraph"/>
    <w:aliases w:val="- Bullets,목록 단락,リスト段落,Lista1,?? ??,?????,????,列出段落1,中等深浅网格 1 - 着色 21"/>
    <w:basedOn w:val="Normal"/>
    <w:link w:val="ListParagraphChar"/>
    <w:uiPriority w:val="34"/>
    <w:qFormat/>
    <w:rsid w:val="00B87744"/>
    <w:pPr>
      <w:overflowPunct/>
      <w:autoSpaceDE/>
      <w:autoSpaceDN/>
      <w:adjustRightInd/>
      <w:spacing w:after="160" w:line="256" w:lineRule="auto"/>
      <w:ind w:left="720"/>
      <w:contextualSpacing/>
      <w:jc w:val="left"/>
      <w:textAlignment w:val="auto"/>
    </w:pPr>
    <w:rPr>
      <w:rFonts w:asciiTheme="minorHAnsi" w:eastAsiaTheme="minorEastAsia" w:hAnsiTheme="minorHAnsi" w:cstheme="minorBidi"/>
      <w:sz w:val="22"/>
      <w:szCs w:val="22"/>
      <w:lang w:val="sv-SE"/>
    </w:rPr>
  </w:style>
  <w:style w:type="character" w:customStyle="1" w:styleId="TALChar">
    <w:name w:val="TAL Char"/>
    <w:link w:val="TAL"/>
    <w:locked/>
    <w:rsid w:val="00B87744"/>
    <w:rPr>
      <w:rFonts w:ascii="Arial" w:eastAsia="Times New Roman" w:hAnsi="Arial" w:cs="Times New Roman"/>
      <w:sz w:val="18"/>
      <w:szCs w:val="20"/>
      <w:lang w:val="en-GB"/>
    </w:rPr>
  </w:style>
  <w:style w:type="paragraph" w:styleId="Header">
    <w:name w:val="header"/>
    <w:basedOn w:val="Normal"/>
    <w:link w:val="HeaderChar"/>
    <w:uiPriority w:val="99"/>
    <w:unhideWhenUsed/>
    <w:rsid w:val="00B87744"/>
    <w:pPr>
      <w:tabs>
        <w:tab w:val="center" w:pos="4513"/>
        <w:tab w:val="right" w:pos="9026"/>
      </w:tabs>
      <w:spacing w:after="0"/>
    </w:pPr>
  </w:style>
  <w:style w:type="character" w:customStyle="1" w:styleId="HeaderChar">
    <w:name w:val="Header Char"/>
    <w:basedOn w:val="DefaultParagraphFont"/>
    <w:link w:val="Header"/>
    <w:uiPriority w:val="99"/>
    <w:rsid w:val="00B8774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8774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7744"/>
    <w:rPr>
      <w:rFonts w:ascii="Segoe UI" w:eastAsia="Times New Roman" w:hAnsi="Segoe UI" w:cs="Segoe UI"/>
      <w:sz w:val="18"/>
      <w:szCs w:val="18"/>
      <w:lang w:val="en-GB" w:eastAsia="zh-CN"/>
    </w:rPr>
  </w:style>
  <w:style w:type="paragraph" w:customStyle="1" w:styleId="B1">
    <w:name w:val="B1"/>
    <w:basedOn w:val="List"/>
    <w:link w:val="B1Char1"/>
    <w:qFormat/>
    <w:rsid w:val="0087662F"/>
    <w:pPr>
      <w:overflowPunct/>
      <w:autoSpaceDE/>
      <w:autoSpaceDN/>
      <w:adjustRightInd/>
      <w:spacing w:after="180"/>
      <w:ind w:left="568" w:hanging="284"/>
      <w:contextualSpacing w:val="0"/>
      <w:jc w:val="left"/>
      <w:textAlignment w:val="auto"/>
    </w:pPr>
    <w:rPr>
      <w:rFonts w:ascii="Times New Roman" w:eastAsia="SimSun" w:hAnsi="Times New Roman"/>
      <w:lang w:eastAsia="en-US"/>
    </w:rPr>
  </w:style>
  <w:style w:type="character" w:customStyle="1" w:styleId="B1Char1">
    <w:name w:val="B1 Char1"/>
    <w:link w:val="B1"/>
    <w:rsid w:val="0087662F"/>
    <w:rPr>
      <w:rFonts w:ascii="Times New Roman" w:eastAsia="SimSun" w:hAnsi="Times New Roman" w:cs="Times New Roman"/>
      <w:sz w:val="20"/>
      <w:szCs w:val="20"/>
      <w:lang w:val="en-GB"/>
    </w:rPr>
  </w:style>
  <w:style w:type="paragraph" w:styleId="List">
    <w:name w:val="List"/>
    <w:basedOn w:val="Normal"/>
    <w:uiPriority w:val="99"/>
    <w:semiHidden/>
    <w:unhideWhenUsed/>
    <w:rsid w:val="0087662F"/>
    <w:pPr>
      <w:ind w:left="283" w:hanging="283"/>
      <w:contextualSpacing/>
    </w:p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694BAB"/>
    <w:rPr>
      <w:rFonts w:eastAsiaTheme="minorEastAsia"/>
      <w:lang w:eastAsia="zh-CN"/>
    </w:rPr>
  </w:style>
  <w:style w:type="table" w:styleId="TableGrid">
    <w:name w:val="Table Grid"/>
    <w:basedOn w:val="TableNormal"/>
    <w:uiPriority w:val="39"/>
    <w:rsid w:val="00D10C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84B0D"/>
    <w:rPr>
      <w:b/>
      <w:bCs/>
    </w:rPr>
  </w:style>
  <w:style w:type="character" w:customStyle="1" w:styleId="CommentSubjectChar">
    <w:name w:val="Comment Subject Char"/>
    <w:basedOn w:val="CommentTextChar"/>
    <w:link w:val="CommentSubject"/>
    <w:uiPriority w:val="99"/>
    <w:semiHidden/>
    <w:rsid w:val="00884B0D"/>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11D227-FADE-4FA9-BF58-1A5B75ABE39D}">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EA1722B-FABF-4F38-A67C-917852C9BEDC}">
  <ds:schemaRefs>
    <ds:schemaRef ds:uri="http://schemas.microsoft.com/sharepoint/v3/contenttype/forms"/>
  </ds:schemaRefs>
</ds:datastoreItem>
</file>

<file path=customXml/itemProps3.xml><?xml version="1.0" encoding="utf-8"?>
<ds:datastoreItem xmlns:ds="http://schemas.openxmlformats.org/officeDocument/2006/customXml" ds:itemID="{CEFA9099-DB32-49CF-9A38-8A43E54F1F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1221</Words>
  <Characters>6475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2019-08-14T16:57:00Z</dcterms:created>
  <dcterms:modified xsi:type="dcterms:W3CDTF">2019-08-15T22:04:00Z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