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FB658D2" w:rsidR="00280DD1" w:rsidRPr="0010662B" w:rsidRDefault="00BC269C" w:rsidP="00280DD1">
      <w:pPr>
        <w:pStyle w:val="3GPPHeader"/>
        <w:spacing w:after="60"/>
        <w:rPr>
          <w:sz w:val="32"/>
          <w:szCs w:val="32"/>
          <w:lang w:val="en-US"/>
        </w:rPr>
      </w:pPr>
      <w:r w:rsidRPr="00DE3FC8">
        <w:rPr>
          <w:lang w:val="en-US"/>
        </w:rPr>
        <w:t>3GPP TSG-RAN WG2 #10</w:t>
      </w:r>
      <w:r w:rsidR="00535F2A">
        <w:rPr>
          <w:lang w:val="en-US"/>
        </w:rPr>
        <w:t>7</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w:t>
      </w:r>
      <w:r w:rsidR="00F81B9B" w:rsidRPr="00F81B9B">
        <w:rPr>
          <w:sz w:val="32"/>
          <w:szCs w:val="32"/>
          <w:lang w:val="en-US"/>
        </w:rPr>
        <w:t>R2-19</w:t>
      </w:r>
      <w:r w:rsidR="006A145A">
        <w:rPr>
          <w:sz w:val="32"/>
          <w:szCs w:val="32"/>
          <w:lang w:val="en-US"/>
        </w:rPr>
        <w:t>10835</w:t>
      </w:r>
    </w:p>
    <w:p w14:paraId="63B03AD2" w14:textId="3F92FB49" w:rsidR="00E90E49" w:rsidRPr="0010662B" w:rsidRDefault="00535F2A" w:rsidP="00357380">
      <w:pPr>
        <w:pStyle w:val="3GPPHeader"/>
        <w:rPr>
          <w:noProof/>
          <w:lang w:val="en-US"/>
        </w:rPr>
      </w:pPr>
      <w:r>
        <w:rPr>
          <w:noProof/>
          <w:lang w:val="en-US"/>
        </w:rPr>
        <w:t>Prague</w:t>
      </w:r>
      <w:r w:rsidR="00BC269C" w:rsidRPr="0010662B">
        <w:rPr>
          <w:noProof/>
          <w:lang w:val="en-US"/>
        </w:rPr>
        <w:t xml:space="preserve">, </w:t>
      </w:r>
      <w:r>
        <w:rPr>
          <w:noProof/>
          <w:lang w:val="en-US"/>
        </w:rPr>
        <w:t>Czech Republic</w:t>
      </w:r>
      <w:r w:rsidR="00BC269C" w:rsidRPr="0010662B">
        <w:rPr>
          <w:noProof/>
          <w:lang w:val="en-US"/>
        </w:rPr>
        <w:t xml:space="preserve">, </w:t>
      </w:r>
      <w:r>
        <w:rPr>
          <w:noProof/>
          <w:lang w:val="en-US"/>
        </w:rPr>
        <w:t>26</w:t>
      </w:r>
      <w:r w:rsidR="00E259F7" w:rsidRPr="00E259F7">
        <w:rPr>
          <w:noProof/>
          <w:vertAlign w:val="superscript"/>
          <w:lang w:val="en-US"/>
        </w:rPr>
        <w:t>th</w:t>
      </w:r>
      <w:r w:rsidR="00E259F7">
        <w:rPr>
          <w:noProof/>
          <w:lang w:val="en-US"/>
        </w:rPr>
        <w:t xml:space="preserve"> </w:t>
      </w:r>
      <w:r>
        <w:rPr>
          <w:noProof/>
          <w:lang w:val="en-US"/>
        </w:rPr>
        <w:t>August</w:t>
      </w:r>
      <w:r w:rsidR="00C97AAD" w:rsidRPr="0010662B">
        <w:rPr>
          <w:noProof/>
          <w:vertAlign w:val="superscript"/>
          <w:lang w:val="en-US"/>
        </w:rPr>
        <w:t xml:space="preserve"> </w:t>
      </w:r>
      <w:r w:rsidR="00BC269C" w:rsidRPr="0010662B">
        <w:rPr>
          <w:noProof/>
          <w:lang w:val="en-US"/>
        </w:rPr>
        <w:t xml:space="preserve">– </w:t>
      </w:r>
      <w:r>
        <w:rPr>
          <w:noProof/>
          <w:lang w:val="en-US"/>
        </w:rPr>
        <w:t>30</w:t>
      </w:r>
      <w:r w:rsidR="00E259F7" w:rsidRPr="00E259F7">
        <w:rPr>
          <w:noProof/>
          <w:vertAlign w:val="superscript"/>
          <w:lang w:val="en-US"/>
        </w:rPr>
        <w:t>th</w:t>
      </w:r>
      <w:r w:rsidR="00E259F7">
        <w:rPr>
          <w:noProof/>
          <w:lang w:val="en-US"/>
        </w:rPr>
        <w:t xml:space="preserve"> </w:t>
      </w:r>
      <w:r>
        <w:rPr>
          <w:noProof/>
          <w:lang w:val="en-US"/>
        </w:rPr>
        <w:t>August</w:t>
      </w:r>
      <w:r w:rsidR="00BC269C" w:rsidRPr="0010662B">
        <w:rPr>
          <w:noProof/>
          <w:lang w:val="en-US"/>
        </w:rPr>
        <w:t xml:space="preserve"> 201</w:t>
      </w:r>
      <w:r w:rsidR="00536102" w:rsidRPr="0010662B">
        <w:rPr>
          <w:noProof/>
          <w:lang w:val="en-US"/>
        </w:rPr>
        <w:t>9</w:t>
      </w:r>
      <w:r w:rsidR="00FB6E58">
        <w:rPr>
          <w:noProof/>
          <w:lang w:val="en-US"/>
        </w:rPr>
        <w:tab/>
        <w:t>(</w:t>
      </w:r>
      <w:r w:rsidR="00F0171F">
        <w:rPr>
          <w:noProof/>
          <w:lang w:val="en-US"/>
        </w:rPr>
        <w:t>re-submission</w:t>
      </w:r>
      <w:r w:rsidR="00FB6E58">
        <w:rPr>
          <w:noProof/>
          <w:lang w:val="en-US"/>
        </w:rPr>
        <w:t xml:space="preserve"> of R2-190</w:t>
      </w:r>
      <w:r>
        <w:rPr>
          <w:noProof/>
          <w:lang w:val="en-US"/>
        </w:rPr>
        <w:t>6872</w:t>
      </w:r>
      <w:r w:rsidR="00FB6E58">
        <w:rPr>
          <w:noProof/>
          <w:lang w:val="en-US"/>
        </w:rPr>
        <w:t>)</w:t>
      </w:r>
    </w:p>
    <w:p w14:paraId="7ACD7EB9" w14:textId="6178ADAC" w:rsidR="00E90E49" w:rsidRPr="00610E96" w:rsidRDefault="00E90E49" w:rsidP="00311702">
      <w:pPr>
        <w:pStyle w:val="3GPPHeader"/>
        <w:rPr>
          <w:lang w:val="en-US"/>
        </w:rPr>
      </w:pPr>
      <w:r w:rsidRPr="00610E96">
        <w:rPr>
          <w:lang w:val="en-US"/>
        </w:rPr>
        <w:t>Agenda Item:</w:t>
      </w:r>
      <w:r w:rsidRPr="00610E96">
        <w:rPr>
          <w:lang w:val="en-US"/>
        </w:rPr>
        <w:tab/>
      </w:r>
      <w:r w:rsidR="00610E96" w:rsidRPr="00610E96">
        <w:rPr>
          <w:lang w:val="en-US"/>
        </w:rPr>
        <w:t>11</w:t>
      </w:r>
      <w:r w:rsidR="00610E96">
        <w:rPr>
          <w:lang w:val="en-US"/>
        </w:rPr>
        <w:t>.12.</w:t>
      </w:r>
      <w:r w:rsidR="00F81B9B">
        <w:rPr>
          <w:lang w:val="en-US"/>
        </w:rPr>
        <w:t>2</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2E6FD077" w:rsidR="00E90E49" w:rsidRPr="0010662B" w:rsidRDefault="003D3C45" w:rsidP="00311702">
      <w:pPr>
        <w:pStyle w:val="3GPPHeader"/>
        <w:rPr>
          <w:lang w:val="en-US"/>
        </w:rPr>
      </w:pPr>
      <w:r w:rsidRPr="0010662B">
        <w:rPr>
          <w:lang w:val="en-US"/>
        </w:rPr>
        <w:t>Title:</w:t>
      </w:r>
      <w:r w:rsidR="00E90E49" w:rsidRPr="0010662B">
        <w:rPr>
          <w:lang w:val="en-US"/>
        </w:rPr>
        <w:tab/>
      </w:r>
      <w:r w:rsidR="003D084C">
        <w:rPr>
          <w:lang w:val="en-US"/>
        </w:rPr>
        <w:t>M1 measurement</w:t>
      </w:r>
      <w:r w:rsidR="000B0E11">
        <w:rPr>
          <w:lang w:val="en-US"/>
        </w:rPr>
        <w:t xml:space="preserve"> configuration options for immediate MDT in NR</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r w:rsidRPr="00CE0424">
        <w:t>Introduction</w:t>
      </w:r>
    </w:p>
    <w:p w14:paraId="1C5138CA" w14:textId="3F81AB3C" w:rsidR="003C47B1" w:rsidRDefault="009E40BA" w:rsidP="009E40BA">
      <w:pPr>
        <w:rPr>
          <w:lang w:val="en-US"/>
        </w:rPr>
      </w:pPr>
      <w:r>
        <w:rPr>
          <w:lang w:val="en-US"/>
        </w:rPr>
        <w:t>In RAN2#105 meeting</w:t>
      </w:r>
      <w:r w:rsidR="009F3E48">
        <w:rPr>
          <w:lang w:val="en-US"/>
        </w:rPr>
        <w:t xml:space="preserve"> </w:t>
      </w:r>
      <w:r w:rsidR="009F3E48">
        <w:rPr>
          <w:lang w:val="en-US"/>
        </w:rPr>
        <w:fldChar w:fldCharType="begin"/>
      </w:r>
      <w:r w:rsidR="009F3E48">
        <w:rPr>
          <w:lang w:val="en-US"/>
        </w:rPr>
        <w:instrText xml:space="preserve"> REF _Ref536694063 \r \h </w:instrText>
      </w:r>
      <w:r w:rsidR="009F3E48">
        <w:rPr>
          <w:lang w:val="en-US"/>
        </w:rPr>
      </w:r>
      <w:r w:rsidR="009F3E48">
        <w:rPr>
          <w:lang w:val="en-US"/>
        </w:rPr>
        <w:fldChar w:fldCharType="separate"/>
      </w:r>
      <w:r w:rsidR="009F3E48">
        <w:rPr>
          <w:lang w:val="en-US"/>
        </w:rPr>
        <w:t>[1]</w:t>
      </w:r>
      <w:r w:rsidR="009F3E48">
        <w:rPr>
          <w:lang w:val="en-US"/>
        </w:rPr>
        <w:fldChar w:fldCharType="end"/>
      </w:r>
      <w:r>
        <w:rPr>
          <w:lang w:val="en-US"/>
        </w:rPr>
        <w:t>, it was agreed to include MDT for NR and some of the measurements to be included as part of the MDT contents are also agreed</w:t>
      </w:r>
      <w:r w:rsidRPr="00E259F7">
        <w:rPr>
          <w:lang w:val="en-US"/>
        </w:rPr>
        <w:t>.</w:t>
      </w:r>
      <w:r>
        <w:rPr>
          <w:lang w:val="en-US"/>
        </w:rPr>
        <w:t xml:space="preserve"> </w:t>
      </w:r>
      <w:r w:rsidRPr="0010662B">
        <w:rPr>
          <w:lang w:val="en-US"/>
        </w:rPr>
        <w:t xml:space="preserve"> </w:t>
      </w:r>
      <w:r w:rsidR="009B527E">
        <w:rPr>
          <w:lang w:val="en-US"/>
        </w:rPr>
        <w:t xml:space="preserve">It has been agreed to include </w:t>
      </w:r>
      <w:r w:rsidR="006F0B28">
        <w:rPr>
          <w:lang w:val="en-US"/>
        </w:rPr>
        <w:t>several of the LTE like measurements (M1, M2, etc.) as part of the MDT report</w:t>
      </w:r>
      <w:r w:rsidR="008F6912">
        <w:rPr>
          <w:lang w:val="en-US"/>
        </w:rPr>
        <w:t xml:space="preserve"> </w:t>
      </w:r>
      <w:r w:rsidR="006F0B28">
        <w:rPr>
          <w:lang w:val="en-US"/>
        </w:rPr>
        <w:t>and it is agreed to have LTE as the baseline for NR MDT.</w:t>
      </w:r>
    </w:p>
    <w:p w14:paraId="75C82184" w14:textId="77777777" w:rsidR="009B527E" w:rsidRPr="006F0B28" w:rsidRDefault="009B527E" w:rsidP="009B527E">
      <w:pPr>
        <w:pStyle w:val="Doc-text2"/>
        <w:rPr>
          <w:rFonts w:ascii="Arial" w:hAnsi="Arial" w:cs="Times New Roman"/>
          <w:sz w:val="20"/>
          <w:lang w:val="en-US"/>
        </w:rPr>
      </w:pPr>
    </w:p>
    <w:p w14:paraId="19BAAD68"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Agreements of NR MDT</w:t>
      </w:r>
    </w:p>
    <w:p w14:paraId="299B2A5A"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1</w:t>
      </w:r>
      <w:r w:rsidRPr="009B527E">
        <w:rPr>
          <w:lang w:val="en-US"/>
        </w:rPr>
        <w:tab/>
        <w:t>At least the following measurement quantities are required:</w:t>
      </w:r>
    </w:p>
    <w:p w14:paraId="40B481AE"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 xml:space="preserve">DL signal quantities measurement results for the serving cell and for intra-frequency/Inter-frequency/inter-RAT </w:t>
      </w:r>
      <w:proofErr w:type="spellStart"/>
      <w:r w:rsidRPr="009B527E">
        <w:rPr>
          <w:lang w:val="en-US"/>
        </w:rPr>
        <w:t>neighbour</w:t>
      </w:r>
      <w:proofErr w:type="spellEnd"/>
      <w:r w:rsidRPr="009B527E">
        <w:rPr>
          <w:lang w:val="en-US"/>
        </w:rPr>
        <w:t xml:space="preserve"> </w:t>
      </w:r>
      <w:proofErr w:type="gramStart"/>
      <w:r w:rsidRPr="009B527E">
        <w:rPr>
          <w:lang w:val="en-US"/>
        </w:rPr>
        <w:t>cells(</w:t>
      </w:r>
      <w:proofErr w:type="gramEnd"/>
      <w:r w:rsidRPr="009B527E">
        <w:rPr>
          <w:lang w:val="en-US"/>
        </w:rPr>
        <w:t>logged MDT and immediate MDT)</w:t>
      </w:r>
    </w:p>
    <w:p w14:paraId="67DFD8E2"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PHR (immediate MDT)</w:t>
      </w:r>
    </w:p>
    <w:p w14:paraId="11904CCB"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Received Interference Power measurement (immediate MDT)</w:t>
      </w:r>
    </w:p>
    <w:p w14:paraId="67DEB06E"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 xml:space="preserve">Data Volume measurement separately for DL and </w:t>
      </w:r>
      <w:proofErr w:type="gramStart"/>
      <w:r w:rsidRPr="009B527E">
        <w:rPr>
          <w:lang w:val="en-US"/>
        </w:rPr>
        <w:t>UL(</w:t>
      </w:r>
      <w:proofErr w:type="gramEnd"/>
      <w:r w:rsidRPr="009B527E">
        <w:rPr>
          <w:lang w:val="en-US"/>
        </w:rPr>
        <w:t>immediate MDT)</w:t>
      </w:r>
    </w:p>
    <w:p w14:paraId="65235E00"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 xml:space="preserve">Scheduled IP Throughput for MDT measurement separately for DL and </w:t>
      </w:r>
      <w:proofErr w:type="gramStart"/>
      <w:r w:rsidRPr="009B527E">
        <w:rPr>
          <w:lang w:val="en-US"/>
        </w:rPr>
        <w:t>UL(</w:t>
      </w:r>
      <w:proofErr w:type="gramEnd"/>
      <w:r w:rsidRPr="009B527E">
        <w:rPr>
          <w:lang w:val="en-US"/>
        </w:rPr>
        <w:t>immediate MDT)</w:t>
      </w:r>
    </w:p>
    <w:p w14:paraId="18DA1160"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 xml:space="preserve">Packet Delay measurement separately for DL and </w:t>
      </w:r>
      <w:proofErr w:type="gramStart"/>
      <w:r w:rsidRPr="009B527E">
        <w:rPr>
          <w:lang w:val="en-US"/>
        </w:rPr>
        <w:t>UL(</w:t>
      </w:r>
      <w:proofErr w:type="gramEnd"/>
      <w:r w:rsidRPr="009B527E">
        <w:rPr>
          <w:lang w:val="en-US"/>
        </w:rPr>
        <w:t>immediate MDT)</w:t>
      </w:r>
    </w:p>
    <w:p w14:paraId="00D94E85" w14:textId="380CCD7C"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rFonts w:ascii="Cambria Math" w:hAnsi="Cambria Math" w:cs="Cambria Math"/>
          <w:lang w:val="en-US"/>
        </w:rPr>
        <w:t>⁻</w:t>
      </w:r>
      <w:r w:rsidRPr="009B527E">
        <w:rPr>
          <w:lang w:val="en-US"/>
        </w:rPr>
        <w:tab/>
        <w:t xml:space="preserve">Packet loss rate measurement separately for DL and </w:t>
      </w:r>
      <w:proofErr w:type="gramStart"/>
      <w:r w:rsidRPr="009B527E">
        <w:rPr>
          <w:lang w:val="en-US"/>
        </w:rPr>
        <w:t>UL(</w:t>
      </w:r>
      <w:proofErr w:type="gramEnd"/>
      <w:r w:rsidRPr="009B527E">
        <w:rPr>
          <w:lang w:val="en-US"/>
        </w:rPr>
        <w:t>immediate MDT)</w:t>
      </w:r>
    </w:p>
    <w:p w14:paraId="2BA5F219"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2</w:t>
      </w:r>
      <w:r w:rsidRPr="009B527E">
        <w:rPr>
          <w:lang w:val="en-US"/>
        </w:rPr>
        <w:tab/>
        <w:t>The procedures of LTE MDT are the baseline of NR MDT.</w:t>
      </w:r>
    </w:p>
    <w:p w14:paraId="18458240"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 for immediate MDT: The network can collect data with/without the UE involvement in RRC_CONNECTED. For example, the UE can report measurements to the RAN via periodical or event-triggered ways</w:t>
      </w:r>
    </w:p>
    <w:p w14:paraId="3DA29612"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 for logged MDT: 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p>
    <w:p w14:paraId="2164174E" w14:textId="77777777" w:rsidR="009B527E" w:rsidRPr="009B527E" w:rsidRDefault="009B527E" w:rsidP="009B527E">
      <w:pPr>
        <w:pStyle w:val="Doc-text2"/>
        <w:pBdr>
          <w:top w:val="single" w:sz="4" w:space="1" w:color="auto"/>
          <w:left w:val="single" w:sz="4" w:space="4" w:color="auto"/>
          <w:bottom w:val="single" w:sz="4" w:space="1" w:color="auto"/>
          <w:right w:val="single" w:sz="4" w:space="4" w:color="auto"/>
        </w:pBdr>
        <w:rPr>
          <w:lang w:val="en-US"/>
        </w:rPr>
      </w:pPr>
      <w:r w:rsidRPr="009B527E">
        <w:rPr>
          <w:lang w:val="en-US"/>
        </w:rPr>
        <w:t xml:space="preserve">- for RLF report and accessibility measurements, UE logs these measurements without the need for prior configuration by the network. Upon UE entering connected state, the UE </w:t>
      </w:r>
      <w:r w:rsidRPr="009B527E">
        <w:rPr>
          <w:lang w:val="en-US"/>
        </w:rPr>
        <w:lastRenderedPageBreak/>
        <w:t>firstly sends available indicator(s) to the network, and then the network can command the UE to send the measurements</w:t>
      </w:r>
    </w:p>
    <w:p w14:paraId="6C9D0B73" w14:textId="4257D090" w:rsidR="009B527E" w:rsidRPr="0010662B" w:rsidRDefault="006F0B28" w:rsidP="009E40BA">
      <w:pPr>
        <w:rPr>
          <w:lang w:val="en-US"/>
        </w:rPr>
      </w:pPr>
      <w:r>
        <w:rPr>
          <w:lang w:val="en-US"/>
        </w:rPr>
        <w:br/>
        <w:t>In this contribution, we discuss the immediate MDT configuration options in LTE and we propose the required changes associated to NR MDT configurations.</w:t>
      </w:r>
    </w:p>
    <w:p w14:paraId="5764FF3A" w14:textId="77777777" w:rsidR="004000E8" w:rsidRPr="00CE0424" w:rsidRDefault="004000E8" w:rsidP="00CE0424">
      <w:pPr>
        <w:pStyle w:val="Heading1"/>
      </w:pPr>
      <w:bookmarkStart w:id="0" w:name="_Ref178064866"/>
      <w:r w:rsidRPr="00CE0424">
        <w:t>Discussion</w:t>
      </w:r>
      <w:bookmarkEnd w:id="0"/>
    </w:p>
    <w:p w14:paraId="73D27751" w14:textId="522A33A9" w:rsidR="00343211" w:rsidRDefault="00C14B47" w:rsidP="00343211">
      <w:pPr>
        <w:pStyle w:val="Heading2"/>
        <w:rPr>
          <w:lang w:val="en-US"/>
        </w:rPr>
      </w:pPr>
      <w:r>
        <w:rPr>
          <w:lang w:val="en-US"/>
        </w:rPr>
        <w:t xml:space="preserve">M1 measurement in </w:t>
      </w:r>
      <w:r w:rsidR="006F0B28">
        <w:rPr>
          <w:lang w:val="en-US"/>
        </w:rPr>
        <w:t>Immediate MDT in LTE</w:t>
      </w:r>
      <w:r w:rsidR="00343211">
        <w:rPr>
          <w:lang w:val="en-US"/>
        </w:rPr>
        <w:t xml:space="preserve"> </w:t>
      </w:r>
    </w:p>
    <w:p w14:paraId="705892D2" w14:textId="1D31FD53" w:rsidR="006F0B28" w:rsidRDefault="003234EB" w:rsidP="00C4012D">
      <w:pPr>
        <w:jc w:val="both"/>
        <w:rPr>
          <w:lang w:val="en-US"/>
        </w:rPr>
      </w:pPr>
      <w:r>
        <w:rPr>
          <w:lang w:val="en-US"/>
        </w:rPr>
        <w:t xml:space="preserve">In LTE, the immediate MDT is used to collect measurements from the UE and RAN when the UE is in RRC CONNECTED mode. </w:t>
      </w:r>
      <w:r w:rsidR="004869FE">
        <w:rPr>
          <w:lang w:val="en-US"/>
        </w:rPr>
        <w:t xml:space="preserve">As part of the configuration, the OAM can request for M1 measurements to be collected. M1 measurement refers to RSRP and RSRQ </w:t>
      </w:r>
      <w:r w:rsidR="00D9734D">
        <w:rPr>
          <w:lang w:val="en-US"/>
        </w:rPr>
        <w:t>measurements</w:t>
      </w:r>
      <w:r w:rsidR="0001722C">
        <w:rPr>
          <w:lang w:val="en-US"/>
        </w:rPr>
        <w:t xml:space="preserve"> included in immediate MDT</w:t>
      </w:r>
      <w:r w:rsidR="00F94DC0">
        <w:rPr>
          <w:lang w:val="en-US"/>
        </w:rPr>
        <w:t xml:space="preserve"> as part of the periodic or A2 </w:t>
      </w:r>
      <w:proofErr w:type="gramStart"/>
      <w:r w:rsidR="00F94DC0">
        <w:rPr>
          <w:lang w:val="en-US"/>
        </w:rPr>
        <w:t>event based</w:t>
      </w:r>
      <w:proofErr w:type="gramEnd"/>
      <w:r w:rsidR="00F94DC0">
        <w:rPr>
          <w:lang w:val="en-US"/>
        </w:rPr>
        <w:t xml:space="preserve"> reporting triggers</w:t>
      </w:r>
      <w:r w:rsidR="004869FE">
        <w:rPr>
          <w:lang w:val="en-US"/>
        </w:rPr>
        <w:t>.</w:t>
      </w:r>
      <w:r w:rsidR="0001722C">
        <w:rPr>
          <w:lang w:val="en-US"/>
        </w:rPr>
        <w:t xml:space="preserve"> </w:t>
      </w:r>
      <w:r w:rsidR="006D0349">
        <w:rPr>
          <w:lang w:val="en-US"/>
        </w:rPr>
        <w:t>The MDT configuration sent by the OAM can include either the detailed configurations for logging parameters or just an indication to include RRM based measurements sent by the UE to the OAM.</w:t>
      </w:r>
      <w:r w:rsidR="00080757">
        <w:rPr>
          <w:lang w:val="en-US"/>
        </w:rPr>
        <w:t xml:space="preserve"> In LTE, the OAM can configure the</w:t>
      </w:r>
      <w:r w:rsidR="00F94DC0">
        <w:rPr>
          <w:lang w:val="en-US"/>
        </w:rPr>
        <w:t xml:space="preserve"> UE with</w:t>
      </w:r>
      <w:r w:rsidR="00080757">
        <w:rPr>
          <w:lang w:val="en-US"/>
        </w:rPr>
        <w:t xml:space="preserve"> </w:t>
      </w:r>
      <w:r w:rsidR="00F94DC0">
        <w:rPr>
          <w:lang w:val="en-US"/>
        </w:rPr>
        <w:t>MDT specific A2 events having the following parameters:</w:t>
      </w:r>
    </w:p>
    <w:p w14:paraId="21D02DC0" w14:textId="77777777" w:rsidR="00C4012D" w:rsidRDefault="00C4012D" w:rsidP="00C4012D">
      <w:pPr>
        <w:jc w:val="both"/>
        <w:rPr>
          <w:lang w:val="en-US"/>
        </w:rPr>
      </w:pPr>
    </w:p>
    <w:p w14:paraId="34E2AEB8" w14:textId="77777777" w:rsidR="006769AB" w:rsidRDefault="00F94DC0" w:rsidP="00C4012D">
      <w:pPr>
        <w:pStyle w:val="ListParagraph"/>
        <w:numPr>
          <w:ilvl w:val="0"/>
          <w:numId w:val="37"/>
        </w:numPr>
        <w:jc w:val="both"/>
        <w:rPr>
          <w:lang w:val="en-US"/>
        </w:rPr>
      </w:pPr>
      <w:r>
        <w:rPr>
          <w:lang w:val="en-US"/>
        </w:rPr>
        <w:t xml:space="preserve">Reporting trigger: </w:t>
      </w:r>
    </w:p>
    <w:p w14:paraId="0625630C" w14:textId="1211186C" w:rsidR="00F94DC0" w:rsidRDefault="00F94DC0" w:rsidP="00C4012D">
      <w:pPr>
        <w:pStyle w:val="ListParagraph"/>
        <w:jc w:val="both"/>
        <w:rPr>
          <w:lang w:val="en-US"/>
        </w:rPr>
      </w:pPr>
      <w:r>
        <w:rPr>
          <w:lang w:val="en-US"/>
        </w:rPr>
        <w:t>This</w:t>
      </w:r>
      <w:r w:rsidR="006769AB">
        <w:rPr>
          <w:lang w:val="en-US"/>
        </w:rPr>
        <w:t xml:space="preserve"> parameter</w:t>
      </w:r>
      <w:r>
        <w:rPr>
          <w:lang w:val="en-US"/>
        </w:rPr>
        <w:t xml:space="preserve"> indicates whether the UE shall be configured with periodical reporting, A2 based event reporting or A2 based periodical reporting.</w:t>
      </w:r>
    </w:p>
    <w:p w14:paraId="2732D495" w14:textId="77777777" w:rsidR="006769AB" w:rsidRDefault="00F94DC0" w:rsidP="00C4012D">
      <w:pPr>
        <w:pStyle w:val="ListParagraph"/>
        <w:numPr>
          <w:ilvl w:val="0"/>
          <w:numId w:val="37"/>
        </w:numPr>
        <w:jc w:val="both"/>
        <w:rPr>
          <w:lang w:val="en-US"/>
        </w:rPr>
      </w:pPr>
      <w:r>
        <w:rPr>
          <w:lang w:val="en-US"/>
        </w:rPr>
        <w:t xml:space="preserve">Event threshold for RSRP: </w:t>
      </w:r>
    </w:p>
    <w:p w14:paraId="16C076D0" w14:textId="1D1E9F85" w:rsidR="00F94DC0" w:rsidRDefault="006769AB" w:rsidP="00C4012D">
      <w:pPr>
        <w:pStyle w:val="ListParagraph"/>
        <w:jc w:val="both"/>
        <w:rPr>
          <w:lang w:val="en-US"/>
        </w:rPr>
      </w:pPr>
      <w:r>
        <w:rPr>
          <w:lang w:val="en-US"/>
        </w:rPr>
        <w:t>This parameter indicates that the RSRP is to be used as the measurement report triggering quantity and it indicates the RSRP threshold for event A2 at which the UE shall trigger the measurement report.</w:t>
      </w:r>
    </w:p>
    <w:p w14:paraId="251476CF" w14:textId="77777777" w:rsidR="006769AB" w:rsidRDefault="00F94DC0" w:rsidP="00C4012D">
      <w:pPr>
        <w:pStyle w:val="ListParagraph"/>
        <w:numPr>
          <w:ilvl w:val="0"/>
          <w:numId w:val="37"/>
        </w:numPr>
        <w:jc w:val="both"/>
        <w:rPr>
          <w:lang w:val="en-US"/>
        </w:rPr>
      </w:pPr>
      <w:r>
        <w:rPr>
          <w:lang w:val="en-US"/>
        </w:rPr>
        <w:t>Event threshold for RSRQ</w:t>
      </w:r>
      <w:r w:rsidR="006769AB">
        <w:rPr>
          <w:lang w:val="en-US"/>
        </w:rPr>
        <w:t xml:space="preserve">: </w:t>
      </w:r>
    </w:p>
    <w:p w14:paraId="73E4B98F" w14:textId="3ADA6D42" w:rsidR="00F94DC0" w:rsidRDefault="006769AB" w:rsidP="00C4012D">
      <w:pPr>
        <w:pStyle w:val="ListParagraph"/>
        <w:jc w:val="both"/>
        <w:rPr>
          <w:lang w:val="en-US"/>
        </w:rPr>
      </w:pPr>
      <w:r>
        <w:rPr>
          <w:lang w:val="en-US"/>
        </w:rPr>
        <w:t>This parameter indicates that the RSRQ is to be used as the measurement report triggering quantity and it indicates the RSRQ threshold for event A2 at which the UE shall trigger the measurement report.</w:t>
      </w:r>
    </w:p>
    <w:p w14:paraId="1F414CE8" w14:textId="77777777" w:rsidR="006769AB" w:rsidRDefault="00F94DC0" w:rsidP="00C4012D">
      <w:pPr>
        <w:pStyle w:val="ListParagraph"/>
        <w:numPr>
          <w:ilvl w:val="0"/>
          <w:numId w:val="37"/>
        </w:numPr>
        <w:jc w:val="both"/>
        <w:rPr>
          <w:lang w:val="en-US"/>
        </w:rPr>
      </w:pPr>
      <w:r>
        <w:rPr>
          <w:lang w:val="en-US"/>
        </w:rPr>
        <w:t>Report amount</w:t>
      </w:r>
      <w:r w:rsidR="006769AB">
        <w:rPr>
          <w:lang w:val="en-US"/>
        </w:rPr>
        <w:t xml:space="preserve">: </w:t>
      </w:r>
    </w:p>
    <w:p w14:paraId="49879A41" w14:textId="0E98C4DA" w:rsidR="00F94DC0" w:rsidRDefault="006769AB" w:rsidP="00C4012D">
      <w:pPr>
        <w:pStyle w:val="ListParagraph"/>
        <w:jc w:val="both"/>
        <w:rPr>
          <w:lang w:val="en-US"/>
        </w:rPr>
      </w:pPr>
      <w:r>
        <w:rPr>
          <w:lang w:val="en-US"/>
        </w:rPr>
        <w:t xml:space="preserve">This parameter indicates the number of measurement reports to be sent by the UE as part of the periodical or A2 event based periodical reports. The value range for this field is one of {1, 2, 4, 8, 16, 32, 64, infinity}. </w:t>
      </w:r>
    </w:p>
    <w:p w14:paraId="7F0D561F" w14:textId="77777777" w:rsidR="006769AB" w:rsidRDefault="00F94DC0" w:rsidP="00C4012D">
      <w:pPr>
        <w:pStyle w:val="ListParagraph"/>
        <w:numPr>
          <w:ilvl w:val="0"/>
          <w:numId w:val="37"/>
        </w:numPr>
        <w:jc w:val="both"/>
        <w:rPr>
          <w:lang w:val="en-US"/>
        </w:rPr>
      </w:pPr>
      <w:r w:rsidRPr="006769AB">
        <w:rPr>
          <w:lang w:val="en-US"/>
        </w:rPr>
        <w:t>Report interval</w:t>
      </w:r>
      <w:r w:rsidR="006769AB" w:rsidRPr="006769AB">
        <w:rPr>
          <w:lang w:val="en-US"/>
        </w:rPr>
        <w:t xml:space="preserve">: </w:t>
      </w:r>
    </w:p>
    <w:p w14:paraId="792A0D4A" w14:textId="209A9AC4" w:rsidR="003234EB" w:rsidRDefault="006769AB" w:rsidP="00C4012D">
      <w:pPr>
        <w:pStyle w:val="ListParagraph"/>
        <w:jc w:val="both"/>
        <w:rPr>
          <w:lang w:val="en-US"/>
        </w:rPr>
      </w:pPr>
      <w:r w:rsidRPr="006769AB">
        <w:rPr>
          <w:lang w:val="en-US"/>
        </w:rPr>
        <w:t>This indicates the interval between successive measurement report sent by the UE as part of the periodical reporting or A2 based periodical reporting. The value range for this field is one of {120ms, 240ms, 480ms, 640ms, 1024ms, 2048ms, 5120ms, 10240ms, 1min, 6min, 12min, 30min, 60min}.</w:t>
      </w:r>
    </w:p>
    <w:p w14:paraId="66301B61" w14:textId="77777777" w:rsidR="00C4012D" w:rsidRDefault="00C4012D" w:rsidP="00C4012D">
      <w:pPr>
        <w:pStyle w:val="ListParagraph"/>
        <w:jc w:val="both"/>
        <w:rPr>
          <w:lang w:val="en-US"/>
        </w:rPr>
      </w:pPr>
    </w:p>
    <w:p w14:paraId="0555E69E" w14:textId="6C92E9D2" w:rsidR="00913A6D" w:rsidRDefault="00913A6D" w:rsidP="00C4012D">
      <w:pPr>
        <w:jc w:val="both"/>
        <w:rPr>
          <w:lang w:val="en-US"/>
        </w:rPr>
      </w:pPr>
      <w:r>
        <w:rPr>
          <w:lang w:val="en-US"/>
        </w:rPr>
        <w:t xml:space="preserve">All these parameters to be configured by the RAN node are part of the reporting configurations </w:t>
      </w:r>
      <w:r w:rsidR="00B11E98">
        <w:rPr>
          <w:lang w:val="en-US"/>
        </w:rPr>
        <w:t xml:space="preserve">towards the UE. </w:t>
      </w:r>
    </w:p>
    <w:p w14:paraId="5B211E77" w14:textId="77777777" w:rsidR="00C4012D" w:rsidRPr="00913A6D" w:rsidRDefault="00C4012D" w:rsidP="00C4012D">
      <w:pPr>
        <w:jc w:val="both"/>
        <w:rPr>
          <w:lang w:val="en-US"/>
        </w:rPr>
      </w:pPr>
    </w:p>
    <w:p w14:paraId="6C55AFFA" w14:textId="279C1BB1" w:rsidR="00EB6B85" w:rsidRDefault="006769AB" w:rsidP="00C4012D">
      <w:pPr>
        <w:pStyle w:val="Observation"/>
        <w:numPr>
          <w:ilvl w:val="0"/>
          <w:numId w:val="20"/>
        </w:numPr>
        <w:spacing w:line="256" w:lineRule="auto"/>
        <w:ind w:left="1491" w:hanging="1491"/>
        <w:jc w:val="both"/>
        <w:rPr>
          <w:lang w:val="en-US"/>
        </w:rPr>
      </w:pPr>
      <w:bookmarkStart w:id="1" w:name="_Toc3971140"/>
      <w:bookmarkStart w:id="2" w:name="_Toc4421411"/>
      <w:r>
        <w:rPr>
          <w:lang w:val="en-US"/>
        </w:rPr>
        <w:t>The MDT configuration in LTE for M1 measurement collection contains one or more of reporting trigger, event threshold RSRP, event threshold RSRQ, report amount and report interval parameters</w:t>
      </w:r>
      <w:r w:rsidR="00EB6B85">
        <w:rPr>
          <w:lang w:val="en-US"/>
        </w:rPr>
        <w:t>.</w:t>
      </w:r>
      <w:bookmarkEnd w:id="1"/>
      <w:bookmarkEnd w:id="2"/>
    </w:p>
    <w:p w14:paraId="2ADF270D" w14:textId="12B1E482" w:rsidR="00B11E98" w:rsidRDefault="00B11E98" w:rsidP="00C4012D">
      <w:pPr>
        <w:pStyle w:val="Observation"/>
        <w:numPr>
          <w:ilvl w:val="0"/>
          <w:numId w:val="20"/>
        </w:numPr>
        <w:spacing w:line="256" w:lineRule="auto"/>
        <w:ind w:left="1491" w:hanging="1491"/>
        <w:jc w:val="both"/>
        <w:rPr>
          <w:lang w:val="en-US"/>
        </w:rPr>
      </w:pPr>
      <w:bookmarkStart w:id="3" w:name="_Toc3971141"/>
      <w:bookmarkStart w:id="4" w:name="_Toc4421412"/>
      <w:r>
        <w:rPr>
          <w:lang w:val="en-US"/>
        </w:rPr>
        <w:lastRenderedPageBreak/>
        <w:t xml:space="preserve">The OAM configured parameters for M1 measurements are part of </w:t>
      </w:r>
      <w:proofErr w:type="spellStart"/>
      <w:r w:rsidRPr="00B11E98">
        <w:rPr>
          <w:i/>
          <w:lang w:val="en-US"/>
        </w:rPr>
        <w:t>reportConfig</w:t>
      </w:r>
      <w:proofErr w:type="spellEnd"/>
      <w:r>
        <w:rPr>
          <w:lang w:val="en-US"/>
        </w:rPr>
        <w:t xml:space="preserve"> in LTE.</w:t>
      </w:r>
      <w:bookmarkEnd w:id="3"/>
      <w:bookmarkEnd w:id="4"/>
    </w:p>
    <w:p w14:paraId="4002E2BB" w14:textId="2F848500" w:rsidR="00DC6F0F" w:rsidRDefault="00627A87" w:rsidP="00872104">
      <w:pPr>
        <w:pStyle w:val="Heading2"/>
        <w:rPr>
          <w:lang w:val="en-US"/>
        </w:rPr>
      </w:pPr>
      <w:r>
        <w:rPr>
          <w:lang w:val="en-US"/>
        </w:rPr>
        <w:t xml:space="preserve">M1 measurement </w:t>
      </w:r>
      <w:r w:rsidR="003D084C">
        <w:rPr>
          <w:lang w:val="en-US"/>
        </w:rPr>
        <w:t xml:space="preserve">related aspects </w:t>
      </w:r>
      <w:r>
        <w:rPr>
          <w:lang w:val="en-US"/>
        </w:rPr>
        <w:t xml:space="preserve">in Immediate MDT in NR </w:t>
      </w:r>
    </w:p>
    <w:p w14:paraId="78B26878" w14:textId="3D2CDEED" w:rsidR="00A52449" w:rsidRDefault="00627A87" w:rsidP="00C4012D">
      <w:pPr>
        <w:jc w:val="both"/>
        <w:rPr>
          <w:lang w:val="en-US"/>
        </w:rPr>
      </w:pPr>
      <w:r>
        <w:rPr>
          <w:lang w:val="en-US"/>
        </w:rPr>
        <w:t>It has been agreed in RAN2#105 meeting</w:t>
      </w:r>
      <w:r w:rsidR="009F3E48">
        <w:rPr>
          <w:lang w:val="en-US"/>
        </w:rPr>
        <w:t xml:space="preserve"> </w:t>
      </w:r>
      <w:r w:rsidR="009F3E48">
        <w:rPr>
          <w:lang w:val="en-US"/>
        </w:rPr>
        <w:fldChar w:fldCharType="begin"/>
      </w:r>
      <w:r w:rsidR="009F3E48">
        <w:rPr>
          <w:lang w:val="en-US"/>
        </w:rPr>
        <w:instrText xml:space="preserve"> REF _Ref536694063 \r \h </w:instrText>
      </w:r>
      <w:r w:rsidR="00C4012D">
        <w:rPr>
          <w:lang w:val="en-US"/>
        </w:rPr>
        <w:instrText xml:space="preserve"> \* MERGEFORMAT </w:instrText>
      </w:r>
      <w:r w:rsidR="009F3E48">
        <w:rPr>
          <w:lang w:val="en-US"/>
        </w:rPr>
      </w:r>
      <w:r w:rsidR="009F3E48">
        <w:rPr>
          <w:lang w:val="en-US"/>
        </w:rPr>
        <w:fldChar w:fldCharType="separate"/>
      </w:r>
      <w:r w:rsidR="009F3E48">
        <w:rPr>
          <w:lang w:val="en-US"/>
        </w:rPr>
        <w:t>[1]</w:t>
      </w:r>
      <w:r w:rsidR="009F3E48">
        <w:rPr>
          <w:lang w:val="en-US"/>
        </w:rPr>
        <w:fldChar w:fldCharType="end"/>
      </w:r>
      <w:r>
        <w:rPr>
          <w:lang w:val="en-US"/>
        </w:rPr>
        <w:t xml:space="preserve"> that the M1 measurement shall be included in NR and LTE is taken as the baseline. This also implies that the OAM can configure similar parameters like LTE i.e., configuration of reporting trigger, event threshold RSRP, event threshold RSRQ, report amount and report interval parameters are also applicable in NR.</w:t>
      </w:r>
    </w:p>
    <w:p w14:paraId="19243851" w14:textId="723327F4" w:rsidR="008B085B" w:rsidRDefault="0074589A" w:rsidP="00C4012D">
      <w:pPr>
        <w:jc w:val="both"/>
        <w:rPr>
          <w:lang w:val="en-US"/>
        </w:rPr>
      </w:pPr>
      <w:r>
        <w:rPr>
          <w:lang w:val="en-US"/>
        </w:rPr>
        <w:t xml:space="preserve">As part of the periodical reporting in NR, the RAN can configure the UE as to whether the SSB or the CSI-RS </w:t>
      </w:r>
      <w:r w:rsidR="00C75D71">
        <w:rPr>
          <w:lang w:val="en-US"/>
        </w:rPr>
        <w:t>is</w:t>
      </w:r>
      <w:r>
        <w:rPr>
          <w:lang w:val="en-US"/>
        </w:rPr>
        <w:t xml:space="preserve"> used for the measurement reporting as part of the </w:t>
      </w:r>
      <w:proofErr w:type="spellStart"/>
      <w:r w:rsidRPr="0074589A">
        <w:rPr>
          <w:i/>
          <w:lang w:val="en-US"/>
        </w:rPr>
        <w:t>reportConfig</w:t>
      </w:r>
      <w:proofErr w:type="spellEnd"/>
      <w:r>
        <w:rPr>
          <w:lang w:val="en-US"/>
        </w:rPr>
        <w:t xml:space="preserve">. </w:t>
      </w:r>
      <w:r w:rsidR="00016FFA">
        <w:rPr>
          <w:lang w:val="en-US"/>
        </w:rPr>
        <w:t>Also, for A2 event the RAN can configure the UE with SSB or CSI-RS.</w:t>
      </w:r>
    </w:p>
    <w:p w14:paraId="1D914CF3" w14:textId="7AE582F8" w:rsidR="008B085B" w:rsidRDefault="008B085B" w:rsidP="008B085B">
      <w:pPr>
        <w:pStyle w:val="Observation"/>
        <w:numPr>
          <w:ilvl w:val="0"/>
          <w:numId w:val="20"/>
        </w:numPr>
        <w:spacing w:line="256" w:lineRule="auto"/>
        <w:ind w:left="1491" w:hanging="1491"/>
        <w:rPr>
          <w:lang w:val="en-US"/>
        </w:rPr>
      </w:pPr>
      <w:bookmarkStart w:id="5" w:name="_Toc3971142"/>
      <w:bookmarkStart w:id="6" w:name="_Toc4421413"/>
      <w:r>
        <w:rPr>
          <w:lang w:val="en-US"/>
        </w:rPr>
        <w:t>In NR, RAN configures the UE with SSB or CSI-RS for periodical and A2 event reporting configurations.</w:t>
      </w:r>
      <w:bookmarkEnd w:id="5"/>
      <w:bookmarkEnd w:id="6"/>
    </w:p>
    <w:p w14:paraId="0A4FBF5C" w14:textId="1EA0CFBE" w:rsidR="00E75E5C" w:rsidRDefault="00E75E5C" w:rsidP="00E75E5C">
      <w:pPr>
        <w:rPr>
          <w:lang w:val="en-US"/>
        </w:rPr>
      </w:pPr>
      <w:r>
        <w:rPr>
          <w:lang w:val="en-US"/>
        </w:rPr>
        <w:t>The SSB based measurement reports indicate the coverage of the cell both in idle/inactive state and connected mode. Therefore, the SSB based event configurations are included as part of the MDT configurations.</w:t>
      </w:r>
    </w:p>
    <w:p w14:paraId="7BC2B477" w14:textId="064761B1" w:rsidR="00EA7C6C" w:rsidRPr="00F0171F" w:rsidRDefault="008A4CD0" w:rsidP="00F0171F">
      <w:pPr>
        <w:pStyle w:val="Observation"/>
        <w:numPr>
          <w:ilvl w:val="0"/>
          <w:numId w:val="20"/>
        </w:numPr>
        <w:spacing w:line="256" w:lineRule="auto"/>
        <w:ind w:left="1491" w:hanging="1491"/>
        <w:jc w:val="both"/>
        <w:rPr>
          <w:lang w:val="en-US"/>
        </w:rPr>
      </w:pPr>
      <w:bookmarkStart w:id="7" w:name="_Toc4421414"/>
      <w:r>
        <w:rPr>
          <w:lang w:val="en-US"/>
        </w:rPr>
        <w:t>SSB based A2 measurements provide the coverage measurements of both idle and connected mode as the same RS is used in both connected and idle whereas CSI-RS based</w:t>
      </w:r>
      <w:r w:rsidR="00EA7C6C">
        <w:rPr>
          <w:lang w:val="en-US"/>
        </w:rPr>
        <w:t xml:space="preserve"> </w:t>
      </w:r>
      <w:r>
        <w:rPr>
          <w:lang w:val="en-US"/>
        </w:rPr>
        <w:t>A2 measurements provide only connected mode coverage measurements.</w:t>
      </w:r>
      <w:bookmarkEnd w:id="7"/>
    </w:p>
    <w:p w14:paraId="306CD602" w14:textId="2CACEC3D" w:rsidR="00E75E5C" w:rsidRDefault="00E75E5C" w:rsidP="00C4012D">
      <w:pPr>
        <w:pStyle w:val="Proposal"/>
        <w:numPr>
          <w:ilvl w:val="0"/>
          <w:numId w:val="19"/>
        </w:numPr>
        <w:tabs>
          <w:tab w:val="clear" w:pos="1304"/>
        </w:tabs>
        <w:spacing w:line="256" w:lineRule="auto"/>
        <w:ind w:left="1701" w:hanging="1701"/>
        <w:jc w:val="both"/>
        <w:rPr>
          <w:lang w:val="en-US"/>
        </w:rPr>
      </w:pPr>
      <w:bookmarkStart w:id="8" w:name="_Toc3825699"/>
      <w:bookmarkStart w:id="9" w:name="_Toc3971143"/>
      <w:bookmarkStart w:id="10" w:name="_Toc3976452"/>
      <w:bookmarkStart w:id="11" w:name="_Toc4486312"/>
      <w:bookmarkStart w:id="12" w:name="_Toc4486337"/>
      <w:bookmarkStart w:id="13" w:name="_Toc4486357"/>
      <w:bookmarkStart w:id="14" w:name="_Toc4486506"/>
      <w:r>
        <w:rPr>
          <w:rFonts w:cs="Arial"/>
          <w:lang w:val="en-US"/>
        </w:rPr>
        <w:t>Only SSB based A2 event or periodic measurement configurations are included in the MDT configurations</w:t>
      </w:r>
      <w:r w:rsidRPr="0010662B">
        <w:rPr>
          <w:lang w:val="en-US"/>
        </w:rPr>
        <w:t>.</w:t>
      </w:r>
      <w:bookmarkEnd w:id="8"/>
      <w:bookmarkEnd w:id="9"/>
      <w:bookmarkEnd w:id="10"/>
      <w:bookmarkEnd w:id="11"/>
      <w:bookmarkEnd w:id="12"/>
      <w:bookmarkEnd w:id="13"/>
      <w:bookmarkEnd w:id="14"/>
    </w:p>
    <w:p w14:paraId="1420A321" w14:textId="6B8D30A7" w:rsidR="00E75E5C" w:rsidRDefault="00C04AB5" w:rsidP="00C4012D">
      <w:pPr>
        <w:jc w:val="both"/>
        <w:rPr>
          <w:lang w:val="en-US"/>
        </w:rPr>
      </w:pPr>
      <w:r>
        <w:rPr>
          <w:lang w:val="en-US"/>
        </w:rPr>
        <w:t xml:space="preserve">In addition, the difference between LTE’s A2 event reporting configuration and NR’s A2 event reporting configuration is that in NR the network can request the UE to send </w:t>
      </w:r>
      <w:r w:rsidR="00E75E5C">
        <w:rPr>
          <w:lang w:val="en-US"/>
        </w:rPr>
        <w:t>a measurement report not only when the UE fulfills the event entering condition but also at event leaving condition.</w:t>
      </w:r>
      <w:r w:rsidR="009B7A39">
        <w:rPr>
          <w:lang w:val="en-US"/>
        </w:rPr>
        <w:t xml:space="preserve"> From a</w:t>
      </w:r>
      <w:r w:rsidR="00D01729">
        <w:rPr>
          <w:lang w:val="en-US"/>
        </w:rPr>
        <w:t>n</w:t>
      </w:r>
      <w:r w:rsidR="009B7A39">
        <w:rPr>
          <w:lang w:val="en-US"/>
        </w:rPr>
        <w:t xml:space="preserve"> OAM point of view, there is a benefit of knowing the when the UE fulfilled the entering condition and when it fulfilled the leaving condition for the A2 event without asking for periodic reporting as increasing the report amount will increase the measurement report overhead.</w:t>
      </w:r>
      <w:r w:rsidR="003B14DC">
        <w:rPr>
          <w:lang w:val="en-US"/>
        </w:rPr>
        <w:t xml:space="preserve"> As SA5 is not aware of the changes in the event-A2 configurations in NR compared to LTE, it is </w:t>
      </w:r>
      <w:r w:rsidR="008D4139">
        <w:rPr>
          <w:lang w:val="en-US"/>
        </w:rPr>
        <w:t xml:space="preserve">proposed to send a LS to SA5 to inform the possibility of including the </w:t>
      </w:r>
      <w:proofErr w:type="spellStart"/>
      <w:r w:rsidR="008D4139" w:rsidRPr="008D4139">
        <w:rPr>
          <w:i/>
          <w:lang w:val="en-US"/>
        </w:rPr>
        <w:t>reportOnLeave</w:t>
      </w:r>
      <w:proofErr w:type="spellEnd"/>
      <w:r w:rsidR="008D4139">
        <w:rPr>
          <w:lang w:val="en-US"/>
        </w:rPr>
        <w:t xml:space="preserve"> as part of MDT configurations associated to M1 measurement.</w:t>
      </w:r>
    </w:p>
    <w:p w14:paraId="22845559" w14:textId="31643C04" w:rsidR="00016FFA" w:rsidRDefault="009B7A39" w:rsidP="00C4012D">
      <w:pPr>
        <w:pStyle w:val="Proposal"/>
        <w:numPr>
          <w:ilvl w:val="0"/>
          <w:numId w:val="19"/>
        </w:numPr>
        <w:tabs>
          <w:tab w:val="clear" w:pos="1304"/>
        </w:tabs>
        <w:spacing w:line="256" w:lineRule="auto"/>
        <w:ind w:left="1701" w:hanging="1701"/>
        <w:jc w:val="both"/>
        <w:rPr>
          <w:lang w:val="en-US"/>
        </w:rPr>
      </w:pPr>
      <w:bookmarkStart w:id="15" w:name="_Toc3971144"/>
      <w:bookmarkStart w:id="16" w:name="_Toc3976453"/>
      <w:bookmarkStart w:id="17" w:name="_Toc4486313"/>
      <w:bookmarkStart w:id="18" w:name="_Toc4486338"/>
      <w:bookmarkStart w:id="19" w:name="_Toc4486358"/>
      <w:bookmarkStart w:id="20" w:name="_Toc4486507"/>
      <w:proofErr w:type="spellStart"/>
      <w:r w:rsidRPr="00E45774">
        <w:rPr>
          <w:rFonts w:cs="Arial"/>
          <w:i/>
          <w:lang w:val="en-US"/>
        </w:rPr>
        <w:t>reportOnLeave</w:t>
      </w:r>
      <w:proofErr w:type="spellEnd"/>
      <w:r>
        <w:rPr>
          <w:rFonts w:cs="Arial"/>
          <w:lang w:val="en-US"/>
        </w:rPr>
        <w:t xml:space="preserve"> is also part of the MDT configurations related to M1 measurement based on A2 event</w:t>
      </w:r>
      <w:r w:rsidRPr="0010662B">
        <w:rPr>
          <w:lang w:val="en-US"/>
        </w:rPr>
        <w:t>.</w:t>
      </w:r>
      <w:bookmarkEnd w:id="15"/>
      <w:bookmarkEnd w:id="16"/>
      <w:bookmarkEnd w:id="17"/>
      <w:bookmarkEnd w:id="18"/>
      <w:bookmarkEnd w:id="19"/>
      <w:bookmarkEnd w:id="20"/>
    </w:p>
    <w:p w14:paraId="525038EC" w14:textId="50446E89" w:rsidR="00FF27F6" w:rsidRPr="00FF27F6" w:rsidRDefault="005F57FE" w:rsidP="00C4012D">
      <w:pPr>
        <w:pStyle w:val="Proposal"/>
        <w:numPr>
          <w:ilvl w:val="0"/>
          <w:numId w:val="19"/>
        </w:numPr>
        <w:tabs>
          <w:tab w:val="clear" w:pos="1304"/>
        </w:tabs>
        <w:spacing w:line="256" w:lineRule="auto"/>
        <w:ind w:left="1701" w:hanging="1701"/>
        <w:jc w:val="both"/>
        <w:rPr>
          <w:lang w:val="en-US"/>
        </w:rPr>
      </w:pPr>
      <w:bookmarkStart w:id="21" w:name="_Toc4486314"/>
      <w:bookmarkStart w:id="22" w:name="_Toc4486339"/>
      <w:bookmarkStart w:id="23" w:name="_Toc4486359"/>
      <w:bookmarkStart w:id="24" w:name="_Toc4486508"/>
      <w:r w:rsidRPr="005F57FE">
        <w:rPr>
          <w:rFonts w:cs="Arial"/>
          <w:lang w:val="en-US"/>
        </w:rPr>
        <w:t>Send</w:t>
      </w:r>
      <w:r>
        <w:rPr>
          <w:rFonts w:cs="Arial"/>
          <w:lang w:val="en-US"/>
        </w:rPr>
        <w:t xml:space="preserve"> </w:t>
      </w:r>
      <w:r w:rsidR="001A6EB2">
        <w:rPr>
          <w:rFonts w:cs="Arial"/>
          <w:lang w:val="en-US"/>
        </w:rPr>
        <w:t>the</w:t>
      </w:r>
      <w:r>
        <w:rPr>
          <w:rFonts w:cs="Arial"/>
          <w:lang w:val="en-US"/>
        </w:rPr>
        <w:t xml:space="preserve"> LS</w:t>
      </w:r>
      <w:r w:rsidR="001A6EB2">
        <w:rPr>
          <w:rFonts w:cs="Arial"/>
          <w:lang w:val="en-US"/>
        </w:rPr>
        <w:t xml:space="preserve"> </w:t>
      </w:r>
      <w:r w:rsidR="001A6EB2">
        <w:rPr>
          <w:rFonts w:cs="Arial"/>
          <w:lang w:val="en-US"/>
        </w:rPr>
        <w:fldChar w:fldCharType="begin"/>
      </w:r>
      <w:r w:rsidR="001A6EB2">
        <w:rPr>
          <w:rFonts w:cs="Arial"/>
          <w:lang w:val="en-US"/>
        </w:rPr>
        <w:instrText xml:space="preserve"> REF _Ref4486328 \r \h </w:instrText>
      </w:r>
      <w:r w:rsidR="00C4012D">
        <w:rPr>
          <w:rFonts w:cs="Arial"/>
          <w:lang w:val="en-US"/>
        </w:rPr>
        <w:instrText xml:space="preserve"> \* MERGEFORMAT </w:instrText>
      </w:r>
      <w:r w:rsidR="001A6EB2">
        <w:rPr>
          <w:rFonts w:cs="Arial"/>
          <w:lang w:val="en-US"/>
        </w:rPr>
      </w:r>
      <w:r w:rsidR="001A6EB2">
        <w:rPr>
          <w:rFonts w:cs="Arial"/>
          <w:lang w:val="en-US"/>
        </w:rPr>
        <w:fldChar w:fldCharType="separate"/>
      </w:r>
      <w:r w:rsidR="001A6EB2">
        <w:rPr>
          <w:rFonts w:cs="Arial"/>
          <w:lang w:val="en-US"/>
        </w:rPr>
        <w:t>[2]</w:t>
      </w:r>
      <w:r w:rsidR="001A6EB2">
        <w:rPr>
          <w:rFonts w:cs="Arial"/>
          <w:lang w:val="en-US"/>
        </w:rPr>
        <w:fldChar w:fldCharType="end"/>
      </w:r>
      <w:r>
        <w:rPr>
          <w:rFonts w:cs="Arial"/>
          <w:lang w:val="en-US"/>
        </w:rPr>
        <w:t xml:space="preserve"> to SA5 to inform about the possibility of configuring </w:t>
      </w:r>
      <w:proofErr w:type="spellStart"/>
      <w:r w:rsidRPr="005F57FE">
        <w:rPr>
          <w:rFonts w:cs="Arial"/>
          <w:i/>
          <w:lang w:val="en-US"/>
        </w:rPr>
        <w:t>reportOnLeave</w:t>
      </w:r>
      <w:proofErr w:type="spellEnd"/>
      <w:r>
        <w:rPr>
          <w:rFonts w:cs="Arial"/>
          <w:lang w:val="en-US"/>
        </w:rPr>
        <w:t xml:space="preserve"> as part of the </w:t>
      </w:r>
      <w:r w:rsidR="00EA082E">
        <w:rPr>
          <w:rFonts w:cs="Arial"/>
          <w:lang w:val="en-US"/>
        </w:rPr>
        <w:t xml:space="preserve">immediate MDT configuration </w:t>
      </w:r>
      <w:r w:rsidR="00F245A8">
        <w:rPr>
          <w:rFonts w:cs="Arial"/>
          <w:lang w:val="en-US"/>
        </w:rPr>
        <w:t xml:space="preserve">in NR </w:t>
      </w:r>
      <w:r w:rsidR="00EA082E">
        <w:rPr>
          <w:rFonts w:cs="Arial"/>
          <w:lang w:val="en-US"/>
        </w:rPr>
        <w:t>related to M1 measurement.</w:t>
      </w:r>
      <w:bookmarkEnd w:id="21"/>
      <w:bookmarkEnd w:id="22"/>
      <w:bookmarkEnd w:id="23"/>
      <w:bookmarkEnd w:id="24"/>
      <w:r w:rsidR="00EA082E">
        <w:rPr>
          <w:rFonts w:cs="Arial"/>
          <w:lang w:val="en-US"/>
        </w:rPr>
        <w:t xml:space="preserve"> </w:t>
      </w:r>
    </w:p>
    <w:p w14:paraId="15FF5222" w14:textId="77777777" w:rsidR="00C01F33" w:rsidRPr="00CE0424" w:rsidRDefault="00C01F33" w:rsidP="00CE0424">
      <w:pPr>
        <w:pStyle w:val="Heading1"/>
      </w:pPr>
      <w:r w:rsidRPr="00CE0424">
        <w:t>Conclusion</w:t>
      </w:r>
    </w:p>
    <w:p w14:paraId="78626F39" w14:textId="77777777" w:rsidR="00B10F03" w:rsidRPr="005F57FE"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7351C7BA" w14:textId="77777777" w:rsidR="00B10F03" w:rsidRPr="00B10F03" w:rsidRDefault="00B10F03">
      <w:pPr>
        <w:pStyle w:val="TOC1"/>
        <w:rPr>
          <w:rFonts w:asciiTheme="minorHAnsi" w:eastAsiaTheme="minorEastAsia" w:hAnsiTheme="minorHAnsi" w:cstheme="minorBidi"/>
          <w:b w:val="0"/>
          <w:sz w:val="22"/>
          <w:lang w:eastAsia="sv-SE"/>
        </w:rPr>
      </w:pPr>
      <w:r w:rsidRPr="005709B0">
        <w:lastRenderedPageBreak/>
        <w:t>Observation 1</w:t>
      </w:r>
      <w:r w:rsidRPr="00B10F03">
        <w:rPr>
          <w:rFonts w:asciiTheme="minorHAnsi" w:eastAsiaTheme="minorEastAsia" w:hAnsiTheme="minorHAnsi" w:cstheme="minorBidi"/>
          <w:b w:val="0"/>
          <w:sz w:val="22"/>
          <w:lang w:eastAsia="sv-SE"/>
        </w:rPr>
        <w:tab/>
      </w:r>
      <w:r w:rsidRPr="005709B0">
        <w:t>The MDT configuration in LTE for M1 measurement collection contains one or more of reporting trigger, event threshold RSRP, event threshold RSRQ, report amount and report interval parameters.</w:t>
      </w:r>
    </w:p>
    <w:p w14:paraId="23682BAD" w14:textId="77777777" w:rsidR="00B10F03" w:rsidRPr="00B10F03" w:rsidRDefault="00B10F03">
      <w:pPr>
        <w:pStyle w:val="TOC1"/>
        <w:rPr>
          <w:rFonts w:asciiTheme="minorHAnsi" w:eastAsiaTheme="minorEastAsia" w:hAnsiTheme="minorHAnsi" w:cstheme="minorBidi"/>
          <w:b w:val="0"/>
          <w:sz w:val="22"/>
          <w:lang w:eastAsia="sv-SE"/>
        </w:rPr>
      </w:pPr>
      <w:r w:rsidRPr="005709B0">
        <w:t>Observation 2</w:t>
      </w:r>
      <w:r w:rsidRPr="00B10F03">
        <w:rPr>
          <w:rFonts w:asciiTheme="minorHAnsi" w:eastAsiaTheme="minorEastAsia" w:hAnsiTheme="minorHAnsi" w:cstheme="minorBidi"/>
          <w:b w:val="0"/>
          <w:sz w:val="22"/>
          <w:lang w:eastAsia="sv-SE"/>
        </w:rPr>
        <w:tab/>
      </w:r>
      <w:r w:rsidRPr="005709B0">
        <w:t xml:space="preserve">The OAM configured parameters for M1 measurements are part of </w:t>
      </w:r>
      <w:r w:rsidRPr="005709B0">
        <w:rPr>
          <w:i/>
        </w:rPr>
        <w:t>reportConfig</w:t>
      </w:r>
      <w:r w:rsidRPr="005709B0">
        <w:t xml:space="preserve"> in LTE.</w:t>
      </w:r>
    </w:p>
    <w:p w14:paraId="6E603E1F" w14:textId="77777777" w:rsidR="00B10F03" w:rsidRPr="00B10F03" w:rsidRDefault="00B10F03">
      <w:pPr>
        <w:pStyle w:val="TOC1"/>
        <w:rPr>
          <w:rFonts w:asciiTheme="minorHAnsi" w:eastAsiaTheme="minorEastAsia" w:hAnsiTheme="minorHAnsi" w:cstheme="minorBidi"/>
          <w:b w:val="0"/>
          <w:sz w:val="22"/>
          <w:lang w:eastAsia="sv-SE"/>
        </w:rPr>
      </w:pPr>
      <w:r w:rsidRPr="005709B0">
        <w:t>Observation 3</w:t>
      </w:r>
      <w:r w:rsidRPr="00B10F03">
        <w:rPr>
          <w:rFonts w:asciiTheme="minorHAnsi" w:eastAsiaTheme="minorEastAsia" w:hAnsiTheme="minorHAnsi" w:cstheme="minorBidi"/>
          <w:b w:val="0"/>
          <w:sz w:val="22"/>
          <w:lang w:eastAsia="sv-SE"/>
        </w:rPr>
        <w:tab/>
      </w:r>
      <w:r w:rsidRPr="005709B0">
        <w:t>In NR, RAN configures the UE with SSB or CSI-RS for periodical and A2 event reporting configurations.</w:t>
      </w:r>
    </w:p>
    <w:p w14:paraId="7D3C26E4" w14:textId="77777777" w:rsidR="00B10F03" w:rsidRPr="00FE7519" w:rsidRDefault="00B10F03">
      <w:pPr>
        <w:pStyle w:val="TOC1"/>
        <w:rPr>
          <w:rFonts w:asciiTheme="minorHAnsi" w:eastAsiaTheme="minorEastAsia" w:hAnsiTheme="minorHAnsi" w:cstheme="minorBidi"/>
          <w:b w:val="0"/>
          <w:sz w:val="22"/>
          <w:lang w:eastAsia="sv-SE"/>
        </w:rPr>
      </w:pPr>
      <w:r w:rsidRPr="005709B0">
        <w:t>Observation 4</w:t>
      </w:r>
      <w:r w:rsidRPr="00FE7519">
        <w:rPr>
          <w:rFonts w:asciiTheme="minorHAnsi" w:eastAsiaTheme="minorEastAsia" w:hAnsiTheme="minorHAnsi" w:cstheme="minorBidi"/>
          <w:b w:val="0"/>
          <w:sz w:val="22"/>
          <w:lang w:eastAsia="sv-SE"/>
        </w:rPr>
        <w:tab/>
      </w:r>
      <w:r w:rsidRPr="005709B0">
        <w:t>SSB based A2 measurements provide the coverage measurements of both idle and connected mode as the same RS is used in both connected and idle whereas CSI-RS based  A2 measurements provide only connected mode coverage measurements.</w:t>
      </w:r>
    </w:p>
    <w:p w14:paraId="5B22A5B8" w14:textId="77777777" w:rsidR="008E065E" w:rsidRPr="0010662B" w:rsidRDefault="008E065E" w:rsidP="008E065E">
      <w:pPr>
        <w:pStyle w:val="BodyText"/>
        <w:rPr>
          <w:b/>
          <w:bCs/>
          <w:lang w:val="en-US"/>
        </w:rPr>
      </w:pPr>
      <w:r>
        <w:rPr>
          <w:b/>
          <w:bCs/>
        </w:rPr>
        <w:fldChar w:fldCharType="end"/>
      </w:r>
    </w:p>
    <w:p w14:paraId="0253702E" w14:textId="77777777" w:rsidR="00734DD5" w:rsidRPr="00F81B9B"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56034557" w14:textId="77777777" w:rsidR="00734DD5" w:rsidRPr="00734DD5" w:rsidRDefault="00734DD5">
      <w:pPr>
        <w:pStyle w:val="TOC1"/>
        <w:rPr>
          <w:rFonts w:asciiTheme="minorHAnsi" w:eastAsiaTheme="minorEastAsia" w:hAnsiTheme="minorHAnsi" w:cstheme="minorBidi"/>
          <w:b w:val="0"/>
          <w:sz w:val="22"/>
          <w:lang w:eastAsia="sv-SE"/>
        </w:rPr>
      </w:pPr>
      <w:r w:rsidRPr="001D767F">
        <w:t>Proposal 1</w:t>
      </w:r>
      <w:r w:rsidRPr="00734DD5">
        <w:rPr>
          <w:rFonts w:asciiTheme="minorHAnsi" w:eastAsiaTheme="minorEastAsia" w:hAnsiTheme="minorHAnsi" w:cstheme="minorBidi"/>
          <w:b w:val="0"/>
          <w:sz w:val="22"/>
          <w:lang w:eastAsia="sv-SE"/>
        </w:rPr>
        <w:tab/>
      </w:r>
      <w:r w:rsidRPr="001D767F">
        <w:rPr>
          <w:rFonts w:cs="Arial"/>
        </w:rPr>
        <w:t>Only SSB based A2 event or periodic measurement configurations are included in the MDT configurations</w:t>
      </w:r>
      <w:r w:rsidRPr="001D767F">
        <w:t>.</w:t>
      </w:r>
    </w:p>
    <w:p w14:paraId="5687F006" w14:textId="77777777" w:rsidR="00734DD5" w:rsidRPr="00734DD5" w:rsidRDefault="00734DD5">
      <w:pPr>
        <w:pStyle w:val="TOC1"/>
        <w:rPr>
          <w:rFonts w:asciiTheme="minorHAnsi" w:eastAsiaTheme="minorEastAsia" w:hAnsiTheme="minorHAnsi" w:cstheme="minorBidi"/>
          <w:b w:val="0"/>
          <w:sz w:val="22"/>
          <w:lang w:eastAsia="sv-SE"/>
        </w:rPr>
      </w:pPr>
      <w:r w:rsidRPr="001D767F">
        <w:t>Proposal 2</w:t>
      </w:r>
      <w:r w:rsidRPr="00734DD5">
        <w:rPr>
          <w:rFonts w:asciiTheme="minorHAnsi" w:eastAsiaTheme="minorEastAsia" w:hAnsiTheme="minorHAnsi" w:cstheme="minorBidi"/>
          <w:b w:val="0"/>
          <w:sz w:val="22"/>
          <w:lang w:eastAsia="sv-SE"/>
        </w:rPr>
        <w:tab/>
      </w:r>
      <w:r w:rsidRPr="001D767F">
        <w:rPr>
          <w:rFonts w:cs="Arial"/>
          <w:i/>
        </w:rPr>
        <w:t>reportOnLeave</w:t>
      </w:r>
      <w:r w:rsidRPr="001D767F">
        <w:rPr>
          <w:rFonts w:cs="Arial"/>
        </w:rPr>
        <w:t xml:space="preserve"> is also part of the MDT configurations related to M1 measurement based on A2 event</w:t>
      </w:r>
      <w:r w:rsidRPr="001D767F">
        <w:t>.</w:t>
      </w:r>
    </w:p>
    <w:p w14:paraId="381009B8" w14:textId="77777777" w:rsidR="00734DD5" w:rsidRPr="00734DD5" w:rsidRDefault="00734DD5">
      <w:pPr>
        <w:pStyle w:val="TOC1"/>
        <w:rPr>
          <w:rFonts w:asciiTheme="minorHAnsi" w:eastAsiaTheme="minorEastAsia" w:hAnsiTheme="minorHAnsi" w:cstheme="minorBidi"/>
          <w:b w:val="0"/>
          <w:sz w:val="22"/>
          <w:lang w:eastAsia="sv-SE"/>
        </w:rPr>
      </w:pPr>
      <w:r w:rsidRPr="001D767F">
        <w:t>Proposal 3</w:t>
      </w:r>
      <w:r w:rsidRPr="00734DD5">
        <w:rPr>
          <w:rFonts w:asciiTheme="minorHAnsi" w:eastAsiaTheme="minorEastAsia" w:hAnsiTheme="minorHAnsi" w:cstheme="minorBidi"/>
          <w:b w:val="0"/>
          <w:sz w:val="22"/>
          <w:lang w:eastAsia="sv-SE"/>
        </w:rPr>
        <w:tab/>
      </w:r>
      <w:r w:rsidRPr="001D767F">
        <w:rPr>
          <w:rFonts w:cs="Arial"/>
        </w:rPr>
        <w:t xml:space="preserve">Send the LS [2] to SA5 to inform about the possibility of configuring </w:t>
      </w:r>
      <w:r w:rsidRPr="001D767F">
        <w:rPr>
          <w:rFonts w:cs="Arial"/>
          <w:i/>
        </w:rPr>
        <w:t>reportOnLeave</w:t>
      </w:r>
      <w:r w:rsidRPr="001D767F">
        <w:rPr>
          <w:rFonts w:cs="Arial"/>
        </w:rPr>
        <w:t xml:space="preserve"> as part of the immediate MDT configuration in NR related to M1 measurement.</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25" w:name="_In-sequence_SDU_delivery"/>
      <w:bookmarkEnd w:id="25"/>
      <w:r w:rsidRPr="00CE0424">
        <w:t>References</w:t>
      </w:r>
    </w:p>
    <w:p w14:paraId="26912E9D" w14:textId="251BCBB5" w:rsidR="00C7654F" w:rsidRPr="001F3E9B" w:rsidRDefault="009F3E48" w:rsidP="00311702">
      <w:pPr>
        <w:pStyle w:val="Reference"/>
        <w:rPr>
          <w:lang w:val="en-US"/>
        </w:rPr>
      </w:pPr>
      <w:bookmarkStart w:id="26" w:name="_Ref536694063"/>
      <w:bookmarkStart w:id="27" w:name="_Ref1041028"/>
      <w:bookmarkStart w:id="28" w:name="_Ref174151459"/>
      <w:bookmarkStart w:id="29" w:name="_Ref189809556"/>
      <w:r w:rsidRPr="001F3E9B">
        <w:rPr>
          <w:lang w:val="en-US"/>
        </w:rPr>
        <w:t>Session</w:t>
      </w:r>
      <w:r w:rsidR="00522EA9" w:rsidRPr="001F3E9B">
        <w:rPr>
          <w:lang w:val="en-US"/>
        </w:rPr>
        <w:t xml:space="preserve"> notes (Hu)</w:t>
      </w:r>
      <w:r w:rsidRPr="001F3E9B">
        <w:rPr>
          <w:lang w:val="en-US"/>
        </w:rPr>
        <w:t xml:space="preserve"> – RAN2-105-2019-02-28-1900</w:t>
      </w:r>
      <w:r w:rsidR="00C9010B" w:rsidRPr="001F3E9B">
        <w:rPr>
          <w:lang w:val="en-US"/>
        </w:rPr>
        <w:t>.</w:t>
      </w:r>
      <w:bookmarkEnd w:id="26"/>
      <w:bookmarkEnd w:id="27"/>
    </w:p>
    <w:p w14:paraId="3662B3CC" w14:textId="5A38E615" w:rsidR="00FF27F6" w:rsidRPr="001F3E9B" w:rsidRDefault="00EA7C6C" w:rsidP="00311702">
      <w:pPr>
        <w:pStyle w:val="Reference"/>
        <w:rPr>
          <w:lang w:val="en-US"/>
        </w:rPr>
      </w:pPr>
      <w:bookmarkStart w:id="30" w:name="_Ref4486328"/>
      <w:r w:rsidRPr="001F3E9B">
        <w:rPr>
          <w:lang w:val="en-US"/>
        </w:rPr>
        <w:t>R2-19</w:t>
      </w:r>
      <w:r w:rsidR="00133A9F">
        <w:rPr>
          <w:lang w:val="en-US"/>
        </w:rPr>
        <w:t>10836</w:t>
      </w:r>
      <w:r w:rsidR="00FF27F6" w:rsidRPr="001F3E9B">
        <w:rPr>
          <w:lang w:val="en-US"/>
        </w:rPr>
        <w:t>, Draft LS on new features of M1 measurement configuration for immediate MDT, Ericsson, RAN2#10</w:t>
      </w:r>
      <w:r w:rsidR="00133A9F">
        <w:rPr>
          <w:lang w:val="en-US"/>
        </w:rPr>
        <w:t>7</w:t>
      </w:r>
      <w:r w:rsidR="00FF27F6" w:rsidRPr="001F3E9B">
        <w:rPr>
          <w:lang w:val="en-US"/>
        </w:rPr>
        <w:t xml:space="preserve"> meeting, </w:t>
      </w:r>
      <w:r w:rsidR="00133A9F">
        <w:rPr>
          <w:lang w:val="en-US"/>
        </w:rPr>
        <w:t>Prague, Czech Republic,</w:t>
      </w:r>
      <w:r w:rsidR="00FF27F6" w:rsidRPr="001F3E9B">
        <w:rPr>
          <w:lang w:val="en-US"/>
        </w:rPr>
        <w:t xml:space="preserve"> </w:t>
      </w:r>
      <w:r w:rsidR="00133A9F">
        <w:rPr>
          <w:lang w:val="en-US"/>
        </w:rPr>
        <w:t xml:space="preserve">Aug </w:t>
      </w:r>
      <w:bookmarkStart w:id="31" w:name="_GoBack"/>
      <w:bookmarkEnd w:id="31"/>
      <w:r w:rsidR="00FF27F6" w:rsidRPr="001F3E9B">
        <w:rPr>
          <w:lang w:val="en-US"/>
        </w:rPr>
        <w:t>2019.</w:t>
      </w:r>
      <w:bookmarkEnd w:id="30"/>
    </w:p>
    <w:bookmarkEnd w:id="28"/>
    <w:bookmarkEnd w:id="29"/>
    <w:p w14:paraId="7801EA81" w14:textId="77777777" w:rsidR="003A7EF3" w:rsidRPr="0010662B" w:rsidRDefault="003A7EF3" w:rsidP="00CE0424">
      <w:pPr>
        <w:pStyle w:val="BodyText"/>
        <w:rPr>
          <w:lang w:val="en-US"/>
        </w:rPr>
      </w:pPr>
    </w:p>
    <w:sectPr w:rsidR="003A7EF3"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6937D" w14:textId="77777777" w:rsidR="009977C9" w:rsidRDefault="009977C9">
      <w:r>
        <w:separator/>
      </w:r>
    </w:p>
  </w:endnote>
  <w:endnote w:type="continuationSeparator" w:id="0">
    <w:p w14:paraId="57D07FAC" w14:textId="77777777" w:rsidR="009977C9" w:rsidRDefault="009977C9">
      <w:r>
        <w:continuationSeparator/>
      </w:r>
    </w:p>
  </w:endnote>
  <w:endnote w:type="continuationNotice" w:id="1">
    <w:p w14:paraId="55CB13A6" w14:textId="77777777" w:rsidR="009977C9" w:rsidRDefault="00997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820D2" w14:textId="77777777" w:rsidR="009977C9" w:rsidRDefault="009977C9">
      <w:r>
        <w:separator/>
      </w:r>
    </w:p>
  </w:footnote>
  <w:footnote w:type="continuationSeparator" w:id="0">
    <w:p w14:paraId="58A2EDEB" w14:textId="77777777" w:rsidR="009977C9" w:rsidRDefault="009977C9">
      <w:r>
        <w:continuationSeparator/>
      </w:r>
    </w:p>
  </w:footnote>
  <w:footnote w:type="continuationNotice" w:id="1">
    <w:p w14:paraId="53211DD7" w14:textId="77777777" w:rsidR="009977C9" w:rsidRDefault="009977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3"/>
  </w:num>
  <w:num w:numId="16">
    <w:abstractNumId w:val="23"/>
  </w:num>
  <w:num w:numId="17">
    <w:abstractNumId w:val="21"/>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1"/>
  </w:num>
  <w:num w:numId="24">
    <w:abstractNumId w:val="20"/>
  </w:num>
  <w:num w:numId="25">
    <w:abstractNumId w:val="34"/>
  </w:num>
  <w:num w:numId="26">
    <w:abstractNumId w:val="9"/>
  </w:num>
  <w:num w:numId="27">
    <w:abstractNumId w:val="19"/>
  </w:num>
  <w:num w:numId="28">
    <w:abstractNumId w:val="32"/>
  </w:num>
  <w:num w:numId="29">
    <w:abstractNumId w:val="29"/>
  </w:num>
  <w:num w:numId="30">
    <w:abstractNumId w:val="25"/>
  </w:num>
  <w:num w:numId="31">
    <w:abstractNumId w:val="30"/>
  </w:num>
  <w:num w:numId="32">
    <w:abstractNumId w:val="28"/>
  </w:num>
  <w:num w:numId="33">
    <w:abstractNumId w:val="8"/>
  </w:num>
  <w:num w:numId="34">
    <w:abstractNumId w:val="5"/>
  </w:num>
  <w:num w:numId="35">
    <w:abstractNumId w:val="10"/>
  </w:num>
  <w:num w:numId="36">
    <w:abstractNumId w:val="16"/>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0757"/>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A7D28"/>
    <w:rsid w:val="000B0E11"/>
    <w:rsid w:val="000B2719"/>
    <w:rsid w:val="000B3A8F"/>
    <w:rsid w:val="000B4AB9"/>
    <w:rsid w:val="000B5160"/>
    <w:rsid w:val="000B58C3"/>
    <w:rsid w:val="000B61E9"/>
    <w:rsid w:val="000B6495"/>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3A9F"/>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05C2"/>
    <w:rsid w:val="001637C8"/>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6EB2"/>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7AED"/>
    <w:rsid w:val="001F3916"/>
    <w:rsid w:val="001F3E9B"/>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3378"/>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7D1E"/>
    <w:rsid w:val="003A2223"/>
    <w:rsid w:val="003A2A0F"/>
    <w:rsid w:val="003A371D"/>
    <w:rsid w:val="003A41FB"/>
    <w:rsid w:val="003A45A1"/>
    <w:rsid w:val="003A561A"/>
    <w:rsid w:val="003A5B0A"/>
    <w:rsid w:val="003A6BAC"/>
    <w:rsid w:val="003A6D7A"/>
    <w:rsid w:val="003A7EF3"/>
    <w:rsid w:val="003B14DC"/>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6666"/>
    <w:rsid w:val="003C74BB"/>
    <w:rsid w:val="003C7806"/>
    <w:rsid w:val="003D084C"/>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1005"/>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3AF"/>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3E7C"/>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2EA9"/>
    <w:rsid w:val="00524D0D"/>
    <w:rsid w:val="00524DCC"/>
    <w:rsid w:val="005300EC"/>
    <w:rsid w:val="0053159A"/>
    <w:rsid w:val="00531683"/>
    <w:rsid w:val="00534B59"/>
    <w:rsid w:val="00535F2A"/>
    <w:rsid w:val="00536102"/>
    <w:rsid w:val="00536759"/>
    <w:rsid w:val="00537C62"/>
    <w:rsid w:val="00540A34"/>
    <w:rsid w:val="00541F19"/>
    <w:rsid w:val="00543666"/>
    <w:rsid w:val="00543E66"/>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4E99"/>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7FE"/>
    <w:rsid w:val="005F5AC1"/>
    <w:rsid w:val="005F618C"/>
    <w:rsid w:val="005F70BD"/>
    <w:rsid w:val="006004FE"/>
    <w:rsid w:val="0060283C"/>
    <w:rsid w:val="00602C45"/>
    <w:rsid w:val="00604F14"/>
    <w:rsid w:val="00610237"/>
    <w:rsid w:val="00610E96"/>
    <w:rsid w:val="00611A4B"/>
    <w:rsid w:val="00611B83"/>
    <w:rsid w:val="0061325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145A"/>
    <w:rsid w:val="006A46FB"/>
    <w:rsid w:val="006A5E28"/>
    <w:rsid w:val="006A697B"/>
    <w:rsid w:val="006A74BE"/>
    <w:rsid w:val="006A7AFF"/>
    <w:rsid w:val="006B094C"/>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49"/>
    <w:rsid w:val="006D03A4"/>
    <w:rsid w:val="006D50D9"/>
    <w:rsid w:val="006D6F08"/>
    <w:rsid w:val="006D7A3C"/>
    <w:rsid w:val="006E062C"/>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4DD5"/>
    <w:rsid w:val="007362A6"/>
    <w:rsid w:val="00736D7D"/>
    <w:rsid w:val="00740E58"/>
    <w:rsid w:val="00741DDD"/>
    <w:rsid w:val="00743E52"/>
    <w:rsid w:val="007441B0"/>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4CD0"/>
    <w:rsid w:val="008A51A8"/>
    <w:rsid w:val="008A53B4"/>
    <w:rsid w:val="008A54C7"/>
    <w:rsid w:val="008A6B33"/>
    <w:rsid w:val="008A77D8"/>
    <w:rsid w:val="008B0483"/>
    <w:rsid w:val="008B085B"/>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977C9"/>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A39"/>
    <w:rsid w:val="009B7E87"/>
    <w:rsid w:val="009C21F4"/>
    <w:rsid w:val="009C320F"/>
    <w:rsid w:val="009C403E"/>
    <w:rsid w:val="009C46BB"/>
    <w:rsid w:val="009C5998"/>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3033"/>
    <w:rsid w:val="009F344F"/>
    <w:rsid w:val="009F3E48"/>
    <w:rsid w:val="009F4660"/>
    <w:rsid w:val="009F5129"/>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6635"/>
    <w:rsid w:val="00B775EE"/>
    <w:rsid w:val="00B77EC3"/>
    <w:rsid w:val="00B808DF"/>
    <w:rsid w:val="00B81A6C"/>
    <w:rsid w:val="00B81B51"/>
    <w:rsid w:val="00B85804"/>
    <w:rsid w:val="00B85DE5"/>
    <w:rsid w:val="00B872E6"/>
    <w:rsid w:val="00B90C30"/>
    <w:rsid w:val="00B90F73"/>
    <w:rsid w:val="00B93B59"/>
    <w:rsid w:val="00B9406A"/>
    <w:rsid w:val="00B956B1"/>
    <w:rsid w:val="00B9700A"/>
    <w:rsid w:val="00BA0844"/>
    <w:rsid w:val="00BA2280"/>
    <w:rsid w:val="00BA2A08"/>
    <w:rsid w:val="00BA4AEB"/>
    <w:rsid w:val="00BA56D2"/>
    <w:rsid w:val="00BA6643"/>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2D"/>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172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CA3"/>
    <w:rsid w:val="00D871CE"/>
    <w:rsid w:val="00D905FB"/>
    <w:rsid w:val="00D91336"/>
    <w:rsid w:val="00D9196D"/>
    <w:rsid w:val="00D92982"/>
    <w:rsid w:val="00D93CDF"/>
    <w:rsid w:val="00D9404F"/>
    <w:rsid w:val="00D9524D"/>
    <w:rsid w:val="00D95426"/>
    <w:rsid w:val="00D9734D"/>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60B2"/>
    <w:rsid w:val="00DB6A1E"/>
    <w:rsid w:val="00DC0DF0"/>
    <w:rsid w:val="00DC2D36"/>
    <w:rsid w:val="00DC53EF"/>
    <w:rsid w:val="00DC6F0F"/>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3049"/>
    <w:rsid w:val="00EA3B00"/>
    <w:rsid w:val="00EA3B7B"/>
    <w:rsid w:val="00EA4782"/>
    <w:rsid w:val="00EA5ECA"/>
    <w:rsid w:val="00EA68E5"/>
    <w:rsid w:val="00EA7A41"/>
    <w:rsid w:val="00EA7C6C"/>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2C23"/>
    <w:rsid w:val="00EF4EF4"/>
    <w:rsid w:val="00EF5787"/>
    <w:rsid w:val="00EF60D0"/>
    <w:rsid w:val="00F0076E"/>
    <w:rsid w:val="00F007E7"/>
    <w:rsid w:val="00F00D08"/>
    <w:rsid w:val="00F0171F"/>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5A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635"/>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B9B"/>
    <w:rsid w:val="00F81F40"/>
    <w:rsid w:val="00F8456C"/>
    <w:rsid w:val="00F859D8"/>
    <w:rsid w:val="00F868F5"/>
    <w:rsid w:val="00F9056A"/>
    <w:rsid w:val="00F90F8D"/>
    <w:rsid w:val="00F92782"/>
    <w:rsid w:val="00F930F7"/>
    <w:rsid w:val="00F93AA9"/>
    <w:rsid w:val="00F94DC0"/>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B6E58"/>
    <w:rsid w:val="00FC2919"/>
    <w:rsid w:val="00FC6B65"/>
    <w:rsid w:val="00FC71F4"/>
    <w:rsid w:val="00FC7429"/>
    <w:rsid w:val="00FD07F6"/>
    <w:rsid w:val="00FD1EC8"/>
    <w:rsid w:val="00FD47ED"/>
    <w:rsid w:val="00FD4822"/>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145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A14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145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4FCB7949-5881-49D6-B2D4-37097DB3D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5D5CA2-54B9-4A5C-85ED-156EDB613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1344</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2019-08-15T21:33:00Z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