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A669E" w14:textId="30C1257F" w:rsidR="00E374DE" w:rsidRPr="00AB15B6" w:rsidRDefault="00E374DE" w:rsidP="00E374DE">
      <w:pPr>
        <w:pStyle w:val="CRCoverPage"/>
        <w:tabs>
          <w:tab w:val="right" w:pos="9639"/>
        </w:tabs>
        <w:spacing w:after="0"/>
        <w:jc w:val="both"/>
        <w:rPr>
          <w:b/>
          <w:sz w:val="24"/>
        </w:rPr>
      </w:pPr>
      <w:r w:rsidRPr="00AB15B6">
        <w:rPr>
          <w:b/>
          <w:sz w:val="24"/>
        </w:rPr>
        <w:t>3GPP TSG-RAN WG2 Meeting 106</w:t>
      </w:r>
      <w:r w:rsidRPr="00AB15B6">
        <w:rPr>
          <w:b/>
          <w:sz w:val="24"/>
        </w:rPr>
        <w:tab/>
      </w:r>
      <w:bookmarkStart w:id="0" w:name="OLE_LINK417"/>
      <w:bookmarkStart w:id="1" w:name="OLE_LINK418"/>
      <w:r w:rsidR="00DB6671" w:rsidRPr="00DB6671">
        <w:rPr>
          <w:b/>
          <w:sz w:val="24"/>
        </w:rPr>
        <w:t>R2-1910210</w:t>
      </w:r>
    </w:p>
    <w:p w14:paraId="486F9D8E" w14:textId="77777777" w:rsidR="00E374DE" w:rsidRPr="00AB15B6" w:rsidRDefault="00E374DE" w:rsidP="00E374DE">
      <w:pPr>
        <w:pStyle w:val="CRCoverPage"/>
        <w:tabs>
          <w:tab w:val="right" w:pos="9639"/>
        </w:tabs>
        <w:spacing w:after="0"/>
        <w:jc w:val="both"/>
        <w:rPr>
          <w:b/>
          <w:sz w:val="24"/>
        </w:rPr>
      </w:pPr>
      <w:bookmarkStart w:id="2" w:name="OLE_LINK6"/>
      <w:bookmarkEnd w:id="0"/>
      <w:bookmarkEnd w:id="1"/>
      <w:r w:rsidRPr="00AB15B6">
        <w:rPr>
          <w:b/>
          <w:sz w:val="24"/>
        </w:rPr>
        <w:t>Prague, Czech Republic, 26</w:t>
      </w:r>
      <w:r w:rsidRPr="00AB15B6">
        <w:rPr>
          <w:b/>
          <w:sz w:val="24"/>
          <w:vertAlign w:val="superscript"/>
        </w:rPr>
        <w:t>th</w:t>
      </w:r>
      <w:r w:rsidRPr="00AB15B6">
        <w:rPr>
          <w:b/>
          <w:sz w:val="24"/>
        </w:rPr>
        <w:t xml:space="preserve"> - 30</w:t>
      </w:r>
      <w:r w:rsidRPr="00AB15B6">
        <w:rPr>
          <w:b/>
          <w:sz w:val="24"/>
          <w:vertAlign w:val="superscript"/>
        </w:rPr>
        <w:t>th</w:t>
      </w:r>
      <w:r w:rsidRPr="00AB15B6">
        <w:rPr>
          <w:b/>
          <w:sz w:val="24"/>
        </w:rPr>
        <w:t xml:space="preserve">, </w:t>
      </w:r>
      <w:r w:rsidR="00AB15B6" w:rsidRPr="00AB15B6">
        <w:rPr>
          <w:b/>
          <w:sz w:val="24"/>
        </w:rPr>
        <w:t>August</w:t>
      </w:r>
      <w:r w:rsidRPr="00AB15B6">
        <w:rPr>
          <w:b/>
          <w:sz w:val="24"/>
        </w:rPr>
        <w:t xml:space="preserve"> 2019        </w:t>
      </w:r>
      <w:bookmarkEnd w:id="2"/>
    </w:p>
    <w:p w14:paraId="7CFC28A0" w14:textId="77777777" w:rsidR="00E374DE" w:rsidRPr="00AB15B6" w:rsidRDefault="00E374DE" w:rsidP="00E374DE">
      <w:pPr>
        <w:pStyle w:val="CRCoverPage"/>
        <w:tabs>
          <w:tab w:val="right" w:pos="9639"/>
        </w:tabs>
        <w:spacing w:after="0"/>
        <w:jc w:val="both"/>
        <w:rPr>
          <w:b/>
          <w:sz w:val="24"/>
        </w:rPr>
      </w:pPr>
      <w:r w:rsidRPr="00AB15B6">
        <w:rPr>
          <w:noProof/>
          <w:lang w:eastAsia="en-GB"/>
        </w:rPr>
        <mc:AlternateContent>
          <mc:Choice Requires="wps">
            <w:drawing>
              <wp:anchor distT="0" distB="0" distL="114300" distR="114300" simplePos="0" relativeHeight="251659264" behindDoc="0" locked="1" layoutInCell="1" allowOverlap="1" wp14:anchorId="348BB90E" wp14:editId="6F47291F">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CD24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0AF6C5F" w14:textId="6FF0888D" w:rsidR="00E374DE" w:rsidRPr="00AB15B6" w:rsidRDefault="00E374DE" w:rsidP="00F21B36">
      <w:pPr>
        <w:ind w:left="0"/>
        <w:rPr>
          <w:lang w:eastAsia="zh-CN"/>
        </w:rPr>
      </w:pPr>
      <w:r w:rsidRPr="00F21B36">
        <w:rPr>
          <w:b/>
        </w:rPr>
        <w:t>Agenda item:</w:t>
      </w:r>
      <w:r w:rsidRPr="00AB15B6">
        <w:tab/>
      </w:r>
      <w:r w:rsidR="00F21B36">
        <w:tab/>
      </w:r>
      <w:r w:rsidRPr="00AB15B6">
        <w:t>11.</w:t>
      </w:r>
      <w:r w:rsidR="008F005A">
        <w:t xml:space="preserve">4.1  </w:t>
      </w:r>
    </w:p>
    <w:p w14:paraId="14DD683C" w14:textId="77777777" w:rsidR="00E374DE" w:rsidRPr="00AB15B6" w:rsidRDefault="00E374DE" w:rsidP="00F21B36">
      <w:pPr>
        <w:ind w:left="0"/>
      </w:pPr>
      <w:r w:rsidRPr="00F21B36">
        <w:rPr>
          <w:b/>
        </w:rPr>
        <w:t>Source:</w:t>
      </w:r>
      <w:r w:rsidRPr="00AB15B6">
        <w:t xml:space="preserve"> </w:t>
      </w:r>
      <w:r w:rsidRPr="00AB15B6">
        <w:tab/>
      </w:r>
      <w:r w:rsidR="00AB15B6" w:rsidRPr="00AB15B6">
        <w:tab/>
      </w:r>
      <w:r w:rsidRPr="00AB15B6">
        <w:t>Vodafone</w:t>
      </w:r>
    </w:p>
    <w:p w14:paraId="18E04F7C" w14:textId="6CC201F6" w:rsidR="00F43EEB" w:rsidRDefault="00E374DE" w:rsidP="00F21B36">
      <w:pPr>
        <w:ind w:left="2160" w:hanging="2160"/>
        <w:rPr>
          <w:b/>
        </w:rPr>
      </w:pPr>
      <w:r w:rsidRPr="00AB15B6">
        <w:rPr>
          <w:b/>
        </w:rPr>
        <w:t xml:space="preserve">Title: </w:t>
      </w:r>
      <w:r w:rsidRPr="00AB15B6">
        <w:rPr>
          <w:b/>
        </w:rPr>
        <w:tab/>
      </w:r>
      <w:r w:rsidRPr="00AB15B6">
        <w:t xml:space="preserve">An </w:t>
      </w:r>
      <w:r w:rsidR="00036DD1">
        <w:t>A</w:t>
      </w:r>
      <w:r w:rsidRPr="00AB15B6">
        <w:t xml:space="preserve">nalysis of QoS Upgrading and Downgrading </w:t>
      </w:r>
      <w:r w:rsidR="00F43EEB">
        <w:t>related to incoming LS in S2-1908627</w:t>
      </w:r>
      <w:r w:rsidR="008F005A">
        <w:t xml:space="preserve"> on V2X Uu QoS</w:t>
      </w:r>
    </w:p>
    <w:p w14:paraId="70560C74" w14:textId="0EF92A24" w:rsidR="00E374DE" w:rsidRPr="00AB15B6" w:rsidRDefault="00E374DE" w:rsidP="00F21B36">
      <w:pPr>
        <w:ind w:left="0"/>
      </w:pPr>
      <w:r w:rsidRPr="00AB15B6">
        <w:rPr>
          <w:b/>
        </w:rPr>
        <w:t>Document for:</w:t>
      </w:r>
      <w:r w:rsidRPr="00AB15B6">
        <w:rPr>
          <w:b/>
        </w:rPr>
        <w:tab/>
      </w:r>
      <w:r w:rsidR="00246FCD">
        <w:t>Approval</w:t>
      </w:r>
    </w:p>
    <w:p w14:paraId="3028B820" w14:textId="77777777" w:rsidR="00FC62D9" w:rsidRPr="00AB15B6" w:rsidRDefault="00FC62D9" w:rsidP="008F74DF"/>
    <w:p w14:paraId="252C7260" w14:textId="77777777" w:rsidR="00E374DE" w:rsidRPr="00AB15B6" w:rsidRDefault="00E374DE" w:rsidP="00E374DE">
      <w:pPr>
        <w:pStyle w:val="Heading1"/>
      </w:pPr>
      <w:r w:rsidRPr="00AB15B6">
        <w:t>Introduction</w:t>
      </w:r>
    </w:p>
    <w:p w14:paraId="352CA30B" w14:textId="352ECF23" w:rsidR="00585BBE" w:rsidRDefault="00E42839" w:rsidP="00F21B36">
      <w:pPr>
        <w:ind w:left="0"/>
      </w:pPr>
      <w:r w:rsidRPr="00AB15B6">
        <w:t>This contribution discusses the</w:t>
      </w:r>
      <w:r w:rsidR="00585BBE">
        <w:t xml:space="preserve"> question raised in the </w:t>
      </w:r>
      <w:r w:rsidRPr="00AB15B6">
        <w:t xml:space="preserve">Liaison Statement that </w:t>
      </w:r>
      <w:r w:rsidR="00657641">
        <w:t>SA2 sent out</w:t>
      </w:r>
      <w:r w:rsidR="00F43EEB">
        <w:t xml:space="preserve"> in </w:t>
      </w:r>
      <w:r w:rsidR="00657641">
        <w:t xml:space="preserve"> S2-1908627</w:t>
      </w:r>
      <w:r w:rsidR="00585BBE">
        <w:t xml:space="preserve">. The </w:t>
      </w:r>
      <w:r w:rsidR="00FF4545">
        <w:t>issue</w:t>
      </w:r>
      <w:r w:rsidR="00585BBE">
        <w:t xml:space="preserve"> is as follows: </w:t>
      </w:r>
    </w:p>
    <w:p w14:paraId="0C77B27E" w14:textId="77777777" w:rsidR="00585BBE" w:rsidRPr="00585BBE" w:rsidRDefault="00585BBE" w:rsidP="00585BBE">
      <w:pPr>
        <w:spacing w:after="60"/>
        <w:ind w:left="720"/>
        <w:rPr>
          <w:bCs/>
          <w:i/>
          <w:lang w:val="en-US"/>
        </w:rPr>
      </w:pPr>
      <w:r w:rsidRPr="00585BBE">
        <w:rPr>
          <w:bCs/>
          <w:i/>
          <w:lang w:val="en-US"/>
        </w:rPr>
        <w:t>There is a desire expressed by some companies to allow the CN to be able to request that the NG-RAN notify the CN when return to the initial QoS profile is possible after CN changed the QoS profile. Based on this NG-RAN notification that the initial QoS profile can be fulfilled again, the CN would then attempt to re-establish the initial QoS profile with the NG-RAN via PDU Session Modification procedure and inform the Application Function accordingly. To enable this capability, the following aspects are deemed necessary:</w:t>
      </w:r>
    </w:p>
    <w:p w14:paraId="670748EA" w14:textId="77777777" w:rsidR="00585BBE" w:rsidRPr="00585BBE" w:rsidRDefault="00585BBE" w:rsidP="00585BBE">
      <w:pPr>
        <w:numPr>
          <w:ilvl w:val="0"/>
          <w:numId w:val="11"/>
        </w:numPr>
        <w:overflowPunct/>
        <w:autoSpaceDE/>
        <w:autoSpaceDN/>
        <w:adjustRightInd/>
        <w:spacing w:after="60"/>
        <w:ind w:left="1080"/>
        <w:textAlignment w:val="auto"/>
        <w:rPr>
          <w:bCs/>
          <w:i/>
          <w:lang w:val="en-US"/>
        </w:rPr>
      </w:pPr>
      <w:r w:rsidRPr="00585BBE">
        <w:rPr>
          <w:bCs/>
          <w:i/>
          <w:lang w:val="en-US"/>
        </w:rPr>
        <w:t>Store the initial QoS profile in the NG-RAN (which the CN can modify);</w:t>
      </w:r>
    </w:p>
    <w:p w14:paraId="1D851B3E" w14:textId="77777777" w:rsidR="00585BBE" w:rsidRPr="00585BBE" w:rsidRDefault="00585BBE" w:rsidP="00585BBE">
      <w:pPr>
        <w:numPr>
          <w:ilvl w:val="0"/>
          <w:numId w:val="11"/>
        </w:numPr>
        <w:overflowPunct/>
        <w:autoSpaceDE/>
        <w:autoSpaceDN/>
        <w:adjustRightInd/>
        <w:spacing w:after="60"/>
        <w:ind w:left="1080"/>
        <w:textAlignment w:val="auto"/>
        <w:rPr>
          <w:bCs/>
          <w:i/>
          <w:lang w:val="en-US"/>
        </w:rPr>
      </w:pPr>
      <w:r w:rsidRPr="00585BBE">
        <w:rPr>
          <w:bCs/>
          <w:i/>
          <w:lang w:val="en-US"/>
        </w:rPr>
        <w:t>Standardized trigger from the CN to the NG-RAN to activate the check of whether the initial QoS profile can be fulfilled again;</w:t>
      </w:r>
    </w:p>
    <w:p w14:paraId="1672D206" w14:textId="77777777" w:rsidR="00657641" w:rsidRPr="00585BBE" w:rsidRDefault="00585BBE" w:rsidP="00585BBE">
      <w:pPr>
        <w:ind w:left="720"/>
        <w:rPr>
          <w:i/>
        </w:rPr>
      </w:pPr>
      <w:r w:rsidRPr="00585BBE">
        <w:rPr>
          <w:bCs/>
          <w:i/>
          <w:lang w:val="en-US"/>
        </w:rPr>
        <w:t>NG-RAN notifies the CN of the possibility to fulfill the initial QoS profile</w:t>
      </w:r>
    </w:p>
    <w:p w14:paraId="4DEFE202" w14:textId="77777777" w:rsidR="00FF4545" w:rsidRDefault="00FF4545" w:rsidP="00F21B36">
      <w:pPr>
        <w:ind w:left="0"/>
      </w:pPr>
      <w:r>
        <w:t xml:space="preserve">RAN2 is requested to comment on the feasibility of a solution described above. </w:t>
      </w:r>
    </w:p>
    <w:p w14:paraId="06BE388D" w14:textId="4088A6EF" w:rsidR="00D44899" w:rsidRPr="00AB15B6" w:rsidRDefault="00D44899" w:rsidP="00F21B36">
      <w:pPr>
        <w:ind w:left="0"/>
      </w:pPr>
      <w:r w:rsidRPr="00AB15B6">
        <w:t xml:space="preserve">The aim of this contribution is to illustrate that </w:t>
      </w:r>
      <w:r w:rsidR="00712750">
        <w:t xml:space="preserve">this </w:t>
      </w:r>
      <w:r w:rsidR="00712750" w:rsidRPr="00AB15B6">
        <w:t>Upgrading</w:t>
      </w:r>
      <w:r w:rsidRPr="00AB15B6">
        <w:t xml:space="preserve"> or Downgrading of QoS</w:t>
      </w:r>
      <w:r w:rsidR="00F43EEB">
        <w:t xml:space="preserve"> can be done with existing RAN2 procedures and hence</w:t>
      </w:r>
      <w:r w:rsidRPr="00AB15B6">
        <w:t xml:space="preserve"> without </w:t>
      </w:r>
      <w:r w:rsidR="00F43EEB">
        <w:t xml:space="preserve">adding new impacts to </w:t>
      </w:r>
      <w:r w:rsidRPr="00AB15B6">
        <w:t>the UE</w:t>
      </w:r>
      <w:r w:rsidR="00F43EEB">
        <w:t xml:space="preserve">, and, therefore RAN2 can reply to SA2 and RAN3 to say that the SA2 proposal is acceptable to RAN2. </w:t>
      </w:r>
      <w:r w:rsidRPr="00AB15B6">
        <w:t xml:space="preserve"> </w:t>
      </w:r>
    </w:p>
    <w:p w14:paraId="4A8C3A2F" w14:textId="77777777" w:rsidR="00E374DE" w:rsidRPr="00AB15B6" w:rsidRDefault="00E374DE" w:rsidP="008F74DF"/>
    <w:p w14:paraId="00A1096D" w14:textId="77777777" w:rsidR="00271848" w:rsidRPr="00712750" w:rsidRDefault="00E374DE" w:rsidP="00712750">
      <w:pPr>
        <w:pStyle w:val="Heading1"/>
      </w:pPr>
      <w:r w:rsidRPr="00712750">
        <w:t xml:space="preserve">Discussion </w:t>
      </w:r>
    </w:p>
    <w:p w14:paraId="3CF340BD" w14:textId="77777777" w:rsidR="00585BBE" w:rsidRDefault="00585BBE" w:rsidP="00271848">
      <w:pPr>
        <w:ind w:left="0"/>
      </w:pPr>
      <w:r>
        <w:t xml:space="preserve">The scenario described in the SA2 LS </w:t>
      </w:r>
      <w:r w:rsidR="00F43EEB">
        <w:t xml:space="preserve">and its attached CR in S2-1908223 </w:t>
      </w:r>
      <w:r>
        <w:t xml:space="preserve">is </w:t>
      </w:r>
      <w:r w:rsidR="00F06273">
        <w:t xml:space="preserve">illustrated in the following </w:t>
      </w:r>
      <w:r w:rsidR="00F06273">
        <w:fldChar w:fldCharType="begin"/>
      </w:r>
      <w:r w:rsidR="00F06273">
        <w:instrText xml:space="preserve"> REF _Ref16695812 \h </w:instrText>
      </w:r>
      <w:r w:rsidR="00F06273">
        <w:fldChar w:fldCharType="separate"/>
      </w:r>
      <w:r w:rsidR="00F06273">
        <w:t xml:space="preserve">Figure </w:t>
      </w:r>
      <w:r w:rsidR="00F06273">
        <w:rPr>
          <w:noProof/>
        </w:rPr>
        <w:t>1</w:t>
      </w:r>
      <w:r w:rsidR="00F06273">
        <w:fldChar w:fldCharType="end"/>
      </w:r>
    </w:p>
    <w:p w14:paraId="5B075798" w14:textId="1BADB827" w:rsidR="00F06273" w:rsidRDefault="00F21B36" w:rsidP="00F06273">
      <w:pPr>
        <w:keepNext/>
        <w:ind w:left="0"/>
      </w:pPr>
      <w:r>
        <w:rPr>
          <w:noProof/>
          <w:lang w:eastAsia="en-GB"/>
        </w:rPr>
        <w:lastRenderedPageBreak/>
        <w:drawing>
          <wp:inline distT="0" distB="0" distL="0" distR="0" wp14:anchorId="727E7CD1" wp14:editId="72202FDC">
            <wp:extent cx="5400040" cy="2924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os_fig5.jpg"/>
                    <pic:cNvPicPr/>
                  </pic:nvPicPr>
                  <pic:blipFill>
                    <a:blip r:embed="rId11">
                      <a:extLst>
                        <a:ext uri="{28A0092B-C50C-407E-A947-70E740481C1C}">
                          <a14:useLocalDpi xmlns:a14="http://schemas.microsoft.com/office/drawing/2010/main" val="0"/>
                        </a:ext>
                      </a:extLst>
                    </a:blip>
                    <a:stretch>
                      <a:fillRect/>
                    </a:stretch>
                  </pic:blipFill>
                  <pic:spPr>
                    <a:xfrm>
                      <a:off x="0" y="0"/>
                      <a:ext cx="5400040" cy="2924175"/>
                    </a:xfrm>
                    <a:prstGeom prst="rect">
                      <a:avLst/>
                    </a:prstGeom>
                  </pic:spPr>
                </pic:pic>
              </a:graphicData>
            </a:graphic>
          </wp:inline>
        </w:drawing>
      </w:r>
    </w:p>
    <w:p w14:paraId="43B84BB8" w14:textId="77777777" w:rsidR="00F06273" w:rsidRDefault="00F06273" w:rsidP="00F06273">
      <w:pPr>
        <w:pStyle w:val="Caption"/>
      </w:pPr>
      <w:bookmarkStart w:id="3" w:name="_Ref16695812"/>
      <w:r>
        <w:t xml:space="preserve">Figure </w:t>
      </w:r>
      <w:fldSimple w:instr=" SEQ Figure \* ARABIC ">
        <w:r w:rsidR="004650A0">
          <w:rPr>
            <w:noProof/>
          </w:rPr>
          <w:t>1</w:t>
        </w:r>
      </w:fldSimple>
      <w:bookmarkEnd w:id="3"/>
      <w:r>
        <w:t xml:space="preserve"> Changes in the Radio conditions are not reflected in the Service QoS</w:t>
      </w:r>
    </w:p>
    <w:p w14:paraId="103DA218" w14:textId="34835F9A" w:rsidR="006A48A7" w:rsidRDefault="00F43EEB" w:rsidP="00271848">
      <w:pPr>
        <w:ind w:left="0"/>
      </w:pPr>
      <w:r>
        <w:t>According to the CR in S2-1908223, as the radio conditions worse</w:t>
      </w:r>
      <w:r w:rsidR="00CE52CF">
        <w:t>n</w:t>
      </w:r>
      <w:r>
        <w:t>, the RAN notifies the CN that the current GBR QoS cannot be met and the RAN als</w:t>
      </w:r>
      <w:r w:rsidR="00CE52CF">
        <w:t>o</w:t>
      </w:r>
      <w:r>
        <w:t xml:space="preserve"> indicates</w:t>
      </w:r>
      <w:r w:rsidR="00CE52CF">
        <w:t xml:space="preserve"> to the CN which of the Alternative QoS levels can be met, The CN can then issue a command to modify the QoS to a supportable level. However, according to the CR in S2-1908223, if the radio conditions later improve, the RAN does </w:t>
      </w:r>
      <w:r w:rsidR="00CE52CF" w:rsidRPr="00F21B36">
        <w:rPr>
          <w:u w:val="single"/>
        </w:rPr>
        <w:t>not</w:t>
      </w:r>
      <w:r w:rsidR="00CE52CF">
        <w:t xml:space="preserve"> inform the CN that a better Alternative QoS level can now be supported. </w:t>
      </w:r>
    </w:p>
    <w:p w14:paraId="27803ACD" w14:textId="77777777" w:rsidR="00CE52CF" w:rsidRDefault="00CE52CF" w:rsidP="00271848">
      <w:pPr>
        <w:ind w:left="0"/>
      </w:pPr>
      <w:r>
        <w:t>This lack of automatic restoration of the originally desired QoS level is a significant problem that will result in frequent, intense signalling from the core network to the RAN. This signalling load will be particularly intense because of the likely nature of the Automotive industry, e.g:</w:t>
      </w:r>
    </w:p>
    <w:p w14:paraId="7D5C9A45" w14:textId="77777777" w:rsidR="00CE52CF" w:rsidRDefault="00CE52CF" w:rsidP="00F21B36">
      <w:pPr>
        <w:pStyle w:val="ListParagraph"/>
        <w:numPr>
          <w:ilvl w:val="0"/>
          <w:numId w:val="14"/>
        </w:numPr>
      </w:pPr>
      <w:r>
        <w:t xml:space="preserve">The higher QoS levels are expected to relate to higher vehicle speeds and reduced journey times; </w:t>
      </w:r>
    </w:p>
    <w:p w14:paraId="64973410" w14:textId="77777777" w:rsidR="00CE52CF" w:rsidRDefault="00CE52CF" w:rsidP="00F21B36">
      <w:pPr>
        <w:pStyle w:val="ListParagraph"/>
        <w:numPr>
          <w:ilvl w:val="0"/>
          <w:numId w:val="14"/>
        </w:numPr>
      </w:pPr>
      <w:r>
        <w:t>Different car manufacturers will be in competition with each other to get their cars back up to maximum speed sooner than each other.</w:t>
      </w:r>
    </w:p>
    <w:p w14:paraId="17B53257" w14:textId="77777777" w:rsidR="00CE52CF" w:rsidRDefault="00CE52CF" w:rsidP="00F21B36">
      <w:pPr>
        <w:pStyle w:val="ListParagraph"/>
        <w:numPr>
          <w:ilvl w:val="0"/>
          <w:numId w:val="14"/>
        </w:numPr>
      </w:pPr>
      <w:r>
        <w:t xml:space="preserve">Cars are likely to be “permanent roamers” with SIM cards issued by PLMN operator groups. (e.g. IMSIs with the non-geographic Mobile Country Code “901” ). </w:t>
      </w:r>
    </w:p>
    <w:p w14:paraId="1D58F5FF" w14:textId="77777777" w:rsidR="00CE52CF" w:rsidRDefault="00BA303F" w:rsidP="00F21B36">
      <w:pPr>
        <w:pStyle w:val="ListParagraph"/>
        <w:numPr>
          <w:ilvl w:val="0"/>
          <w:numId w:val="14"/>
        </w:numPr>
      </w:pPr>
      <w:r>
        <w:t>When the VPLMN fails to provide the originally desired QoS level, t</w:t>
      </w:r>
      <w:r w:rsidR="00CE52CF">
        <w:t>he different oper</w:t>
      </w:r>
      <w:r>
        <w:t xml:space="preserve">ator groups (i.e. different HPLMNs) will compete with each other to return their (car manufacturer) customer’s cars to maximum speed as soon as possible </w:t>
      </w:r>
    </w:p>
    <w:p w14:paraId="0DA3CD9C" w14:textId="5E1899D3" w:rsidR="00F06273" w:rsidRDefault="00F21B36" w:rsidP="00271848">
      <w:pPr>
        <w:ind w:left="0"/>
      </w:pPr>
      <w:r>
        <w:t>Hence,</w:t>
      </w:r>
      <w:r w:rsidR="00BA303F">
        <w:t xml:space="preserve"> to limit signalling to the RAN, it is very important that, following a QoS downgrade, </w:t>
      </w:r>
      <w:r w:rsidR="00F06273">
        <w:t xml:space="preserve">the QoS for a particular service </w:t>
      </w:r>
      <w:r w:rsidR="00BA303F">
        <w:t xml:space="preserve">can be upgrades in line with </w:t>
      </w:r>
      <w:r w:rsidR="00F06273">
        <w:t>improvements in the Radio Conditions.</w:t>
      </w:r>
    </w:p>
    <w:p w14:paraId="60137F5C" w14:textId="1511B5E9" w:rsidR="00F06273" w:rsidRDefault="00F06273" w:rsidP="00271848">
      <w:pPr>
        <w:ind w:left="0"/>
      </w:pPr>
      <w:r>
        <w:t xml:space="preserve">The following </w:t>
      </w:r>
      <w:r w:rsidR="004650A0">
        <w:fldChar w:fldCharType="begin"/>
      </w:r>
      <w:r w:rsidR="004650A0">
        <w:instrText xml:space="preserve"> REF _Ref16696403 \h </w:instrText>
      </w:r>
      <w:r w:rsidR="004650A0">
        <w:fldChar w:fldCharType="separate"/>
      </w:r>
      <w:r w:rsidR="004650A0">
        <w:t xml:space="preserve">Figure </w:t>
      </w:r>
      <w:r w:rsidR="004650A0">
        <w:rPr>
          <w:noProof/>
        </w:rPr>
        <w:t>2</w:t>
      </w:r>
      <w:r w:rsidR="004650A0">
        <w:fldChar w:fldCharType="end"/>
      </w:r>
      <w:r w:rsidR="004650A0">
        <w:t xml:space="preserve">, </w:t>
      </w:r>
      <w:r>
        <w:t>illustrates a solution with the existing procedures described in TS</w:t>
      </w:r>
      <w:r w:rsidR="00BA303F">
        <w:t>s</w:t>
      </w:r>
      <w:r>
        <w:t xml:space="preserve"> </w:t>
      </w:r>
      <w:r w:rsidR="00BA303F">
        <w:t xml:space="preserve">23.502, 38.331, and </w:t>
      </w:r>
      <w:r>
        <w:t>38.413</w:t>
      </w:r>
    </w:p>
    <w:p w14:paraId="6709D445" w14:textId="5DF4EC42" w:rsidR="004650A0" w:rsidRDefault="00F21B36" w:rsidP="004650A0">
      <w:pPr>
        <w:keepNext/>
        <w:ind w:left="0"/>
      </w:pPr>
      <w:r>
        <w:rPr>
          <w:noProof/>
          <w:lang w:eastAsia="en-GB"/>
        </w:rPr>
        <w:lastRenderedPageBreak/>
        <w:drawing>
          <wp:inline distT="0" distB="0" distL="0" distR="0" wp14:anchorId="18188CDA" wp14:editId="57D9BBA3">
            <wp:extent cx="5400040" cy="3414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qos_fig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3414395"/>
                    </a:xfrm>
                    <a:prstGeom prst="rect">
                      <a:avLst/>
                    </a:prstGeom>
                  </pic:spPr>
                </pic:pic>
              </a:graphicData>
            </a:graphic>
          </wp:inline>
        </w:drawing>
      </w:r>
      <w:bookmarkStart w:id="4" w:name="_GoBack"/>
      <w:bookmarkEnd w:id="4"/>
    </w:p>
    <w:p w14:paraId="7F2151D3" w14:textId="77777777" w:rsidR="00585BBE" w:rsidRDefault="004650A0" w:rsidP="004650A0">
      <w:pPr>
        <w:pStyle w:val="Caption"/>
      </w:pPr>
      <w:bookmarkStart w:id="5" w:name="_Ref16696403"/>
      <w:r>
        <w:t xml:space="preserve">Figure </w:t>
      </w:r>
      <w:fldSimple w:instr=" SEQ Figure \* ARABIC ">
        <w:r>
          <w:rPr>
            <w:noProof/>
          </w:rPr>
          <w:t>2</w:t>
        </w:r>
      </w:fldSimple>
      <w:bookmarkEnd w:id="5"/>
      <w:r>
        <w:t xml:space="preserve"> QoS Upgrade</w:t>
      </w:r>
    </w:p>
    <w:p w14:paraId="3C4D0809" w14:textId="637C5FA5" w:rsidR="004650A0" w:rsidRDefault="005A6968" w:rsidP="00F21B36">
      <w:pPr>
        <w:ind w:left="0"/>
      </w:pPr>
      <w:r>
        <w:t xml:space="preserve">When the </w:t>
      </w:r>
      <w:r w:rsidR="004650A0">
        <w:t>Radio Conditions</w:t>
      </w:r>
      <w:r>
        <w:t xml:space="preserve"> improve</w:t>
      </w:r>
      <w:r w:rsidR="004650A0">
        <w:t>:</w:t>
      </w:r>
    </w:p>
    <w:p w14:paraId="723A08D3" w14:textId="5BC30472" w:rsidR="004650A0" w:rsidRDefault="004650A0" w:rsidP="004650A0">
      <w:pPr>
        <w:pStyle w:val="ListParagraph"/>
        <w:numPr>
          <w:ilvl w:val="0"/>
          <w:numId w:val="13"/>
        </w:numPr>
      </w:pPr>
      <w:r>
        <w:t xml:space="preserve">NG RAN Node informs the </w:t>
      </w:r>
      <w:r w:rsidR="005A6968">
        <w:t>CN</w:t>
      </w:r>
      <w:r>
        <w:t xml:space="preserve"> of </w:t>
      </w:r>
      <w:r w:rsidR="005A6968">
        <w:t>the A</w:t>
      </w:r>
      <w:r>
        <w:t>lternative QoS that it could support</w:t>
      </w:r>
    </w:p>
    <w:p w14:paraId="37717266" w14:textId="786F2647" w:rsidR="004650A0" w:rsidRDefault="005A6968" w:rsidP="004650A0">
      <w:pPr>
        <w:pStyle w:val="ListParagraph"/>
        <w:numPr>
          <w:ilvl w:val="0"/>
          <w:numId w:val="13"/>
        </w:numPr>
      </w:pPr>
      <w:r>
        <w:t xml:space="preserve">The CN uses the existing R15 </w:t>
      </w:r>
      <w:r w:rsidR="004650A0" w:rsidRPr="00F21B36">
        <w:t xml:space="preserve">NGAP </w:t>
      </w:r>
      <w:r w:rsidR="00246FCD" w:rsidRPr="00F21B36">
        <w:t xml:space="preserve">PDU </w:t>
      </w:r>
      <w:r w:rsidRPr="00F21B36">
        <w:t xml:space="preserve">Session Resource Setup </w:t>
      </w:r>
      <w:r w:rsidR="00246FCD" w:rsidRPr="00F21B36">
        <w:t>Modify REQUEST</w:t>
      </w:r>
      <w:r w:rsidR="00246FCD">
        <w:t xml:space="preserve"> </w:t>
      </w:r>
      <w:r>
        <w:t>to upgrade the QoS. As part of this procedure, the NAS container carried in the NGAP and RRC signalling informs the UE of the new QoS settings.</w:t>
      </w:r>
    </w:p>
    <w:p w14:paraId="163E94B0" w14:textId="77777777" w:rsidR="004650A0" w:rsidRDefault="004650A0" w:rsidP="004650A0">
      <w:pPr>
        <w:pStyle w:val="ListParagraph"/>
        <w:numPr>
          <w:ilvl w:val="0"/>
          <w:numId w:val="13"/>
        </w:numPr>
      </w:pPr>
      <w:r>
        <w:t>NG RAN Node passes the NAS PDU Session Modification Command to the UE within a RRC Reconfiguration message</w:t>
      </w:r>
    </w:p>
    <w:p w14:paraId="79DAF169" w14:textId="6D37166A" w:rsidR="004650A0" w:rsidRDefault="004650A0" w:rsidP="004650A0">
      <w:pPr>
        <w:pStyle w:val="ListParagraph"/>
        <w:numPr>
          <w:ilvl w:val="0"/>
          <w:numId w:val="13"/>
        </w:numPr>
      </w:pPr>
      <w:r>
        <w:t xml:space="preserve">UE Acknowledges the changes to the NG RAN Node </w:t>
      </w:r>
      <w:r w:rsidR="00246FCD">
        <w:t>with</w:t>
      </w:r>
      <w:r>
        <w:t xml:space="preserve"> a RRC Reconfiguration </w:t>
      </w:r>
      <w:r w:rsidR="00246FCD">
        <w:t>C</w:t>
      </w:r>
      <w:r>
        <w:t>omplete message</w:t>
      </w:r>
    </w:p>
    <w:p w14:paraId="5F6C424D" w14:textId="7563E1D5" w:rsidR="004650A0" w:rsidRPr="004650A0" w:rsidRDefault="004650A0" w:rsidP="004650A0">
      <w:pPr>
        <w:pStyle w:val="ListParagraph"/>
        <w:numPr>
          <w:ilvl w:val="0"/>
          <w:numId w:val="13"/>
        </w:numPr>
      </w:pPr>
      <w:r>
        <w:t xml:space="preserve">NG RAN Node passes the new QoS Setup complete message through PDU Session Resource </w:t>
      </w:r>
      <w:r w:rsidR="00246FCD" w:rsidRPr="00F21B36">
        <w:t>Modify</w:t>
      </w:r>
      <w:r>
        <w:t xml:space="preserve"> Response message to the AMF</w:t>
      </w:r>
    </w:p>
    <w:p w14:paraId="5738793C" w14:textId="77777777" w:rsidR="00271848" w:rsidRPr="00AB15B6" w:rsidRDefault="00A05A1E" w:rsidP="00271848">
      <w:pPr>
        <w:ind w:left="0"/>
      </w:pPr>
      <w:r w:rsidRPr="00AB15B6">
        <w:t xml:space="preserve">By </w:t>
      </w:r>
      <w:r w:rsidR="00AB15B6" w:rsidRPr="00AB15B6">
        <w:t>analysing</w:t>
      </w:r>
      <w:r w:rsidRPr="00AB15B6">
        <w:t xml:space="preserve"> the procedure illustrated in</w:t>
      </w:r>
      <w:r w:rsidR="004650A0">
        <w:t xml:space="preserve"> </w:t>
      </w:r>
      <w:r w:rsidR="004650A0">
        <w:fldChar w:fldCharType="begin"/>
      </w:r>
      <w:r w:rsidR="004650A0">
        <w:instrText xml:space="preserve"> REF _Ref16696403 \h </w:instrText>
      </w:r>
      <w:r w:rsidR="004650A0">
        <w:fldChar w:fldCharType="separate"/>
      </w:r>
      <w:r w:rsidR="004650A0">
        <w:t xml:space="preserve">Figure </w:t>
      </w:r>
      <w:r w:rsidR="004650A0">
        <w:rPr>
          <w:noProof/>
        </w:rPr>
        <w:t>2</w:t>
      </w:r>
      <w:r w:rsidR="004650A0">
        <w:fldChar w:fldCharType="end"/>
      </w:r>
      <w:r w:rsidRPr="00AB15B6">
        <w:t xml:space="preserve">, it can be observed </w:t>
      </w:r>
      <w:r w:rsidR="00173E26" w:rsidRPr="00AB15B6">
        <w:t>that</w:t>
      </w:r>
      <w:r w:rsidR="00036DD1">
        <w:t>,</w:t>
      </w:r>
      <w:r w:rsidR="00173E26" w:rsidRPr="00AB15B6">
        <w:t xml:space="preserve"> on the recovery of the </w:t>
      </w:r>
      <w:r w:rsidR="004650A0">
        <w:t>R</w:t>
      </w:r>
      <w:r w:rsidR="00173E26" w:rsidRPr="00AB15B6">
        <w:t xml:space="preserve">adio </w:t>
      </w:r>
      <w:r w:rsidR="004650A0">
        <w:t>C</w:t>
      </w:r>
      <w:r w:rsidR="00173E26" w:rsidRPr="00AB15B6">
        <w:t>onditions, PDU Session Management Modification Command</w:t>
      </w:r>
      <w:r w:rsidR="004650A0">
        <w:t xml:space="preserve">, encapsulated within RRC message, </w:t>
      </w:r>
      <w:r w:rsidR="00173E26" w:rsidRPr="00AB15B6">
        <w:t>can be used to upgrade the QoS value in the UE.</w:t>
      </w:r>
    </w:p>
    <w:p w14:paraId="2C8FD6E7" w14:textId="77777777" w:rsidR="00173E26" w:rsidRPr="00AB15B6" w:rsidRDefault="00173E26" w:rsidP="00271848">
      <w:pPr>
        <w:ind w:left="0"/>
      </w:pPr>
      <w:r w:rsidRPr="00AB15B6">
        <w:t xml:space="preserve">This illustrates that upgrading of the QoS value has no effect on the performance of the UE. </w:t>
      </w:r>
    </w:p>
    <w:p w14:paraId="2534292C" w14:textId="77777777" w:rsidR="00E374DE" w:rsidRPr="00AB15B6" w:rsidRDefault="00E374DE" w:rsidP="008F74DF"/>
    <w:p w14:paraId="5D1C3AE0" w14:textId="77777777" w:rsidR="00E374DE" w:rsidRPr="00AB15B6" w:rsidRDefault="00E374DE" w:rsidP="00E374DE">
      <w:pPr>
        <w:pStyle w:val="Heading1"/>
      </w:pPr>
      <w:r w:rsidRPr="00AB15B6">
        <w:t xml:space="preserve">Proposal and Conclusions </w:t>
      </w:r>
    </w:p>
    <w:p w14:paraId="1F0B7E91" w14:textId="77777777" w:rsidR="0086545C" w:rsidRPr="00AB15B6" w:rsidRDefault="0086545C" w:rsidP="00F21B36">
      <w:pPr>
        <w:ind w:left="0"/>
      </w:pPr>
      <w:r w:rsidRPr="00AB15B6">
        <w:t xml:space="preserve">In this brief contribution, </w:t>
      </w:r>
      <w:r w:rsidR="004650A0">
        <w:t>analysed the problem described in SA2 LS S2-1908627</w:t>
      </w:r>
      <w:r w:rsidR="00D57633">
        <w:t xml:space="preserve">. </w:t>
      </w:r>
      <w:r w:rsidR="004650A0">
        <w:t xml:space="preserve"> </w:t>
      </w:r>
    </w:p>
    <w:p w14:paraId="17033654" w14:textId="13DB9601" w:rsidR="0086545C" w:rsidRPr="00AB15B6" w:rsidRDefault="005428CA" w:rsidP="00F21B36">
      <w:pPr>
        <w:ind w:left="0"/>
      </w:pPr>
      <w:r w:rsidRPr="00AB15B6">
        <w:t>We have illustrate</w:t>
      </w:r>
      <w:r w:rsidR="00246FCD">
        <w:t>d</w:t>
      </w:r>
      <w:r w:rsidRPr="00AB15B6">
        <w:t xml:space="preserve"> that the e</w:t>
      </w:r>
      <w:r w:rsidR="0086545C" w:rsidRPr="00AB15B6">
        <w:t xml:space="preserve">xisting </w:t>
      </w:r>
      <w:r w:rsidR="00246FCD">
        <w:t xml:space="preserve">R15 </w:t>
      </w:r>
      <w:r w:rsidR="0086545C" w:rsidRPr="00AB15B6">
        <w:t>procedures of NGAP (TS 38.413)</w:t>
      </w:r>
      <w:r w:rsidR="00246FCD">
        <w:t xml:space="preserve"> and RRC (TS 38.331)</w:t>
      </w:r>
      <w:r w:rsidR="0086545C" w:rsidRPr="00AB15B6">
        <w:t xml:space="preserve"> </w:t>
      </w:r>
      <w:r w:rsidR="00550E5E">
        <w:t xml:space="preserve">provide </w:t>
      </w:r>
      <w:r w:rsidRPr="00AB15B6">
        <w:t xml:space="preserve">the required mechanism to upgrade (or downgrade) the QoS in the UE without effecting the UE’s performance and functionality. </w:t>
      </w:r>
    </w:p>
    <w:p w14:paraId="7147EA16" w14:textId="77777777" w:rsidR="005428CA" w:rsidRDefault="005428CA" w:rsidP="00F21B36">
      <w:pPr>
        <w:ind w:left="0"/>
      </w:pPr>
      <w:r w:rsidRPr="00AB15B6">
        <w:t>In conclusion, we see no issue in using these procedures for changing UE’s QoS</w:t>
      </w:r>
      <w:r w:rsidR="00D57633">
        <w:t>.</w:t>
      </w:r>
    </w:p>
    <w:p w14:paraId="6EEC4952" w14:textId="09A9321A" w:rsidR="00246FCD" w:rsidRPr="00F21B36" w:rsidRDefault="00246FCD" w:rsidP="00F21B36">
      <w:pPr>
        <w:ind w:left="0"/>
        <w:rPr>
          <w:b/>
        </w:rPr>
      </w:pPr>
      <w:r w:rsidRPr="00F21B36">
        <w:rPr>
          <w:b/>
        </w:rPr>
        <w:lastRenderedPageBreak/>
        <w:t xml:space="preserve">Proposal: It is proposed that RAN2 respond to RAN3 and SA2 </w:t>
      </w:r>
      <w:r w:rsidR="00F21B36">
        <w:rPr>
          <w:b/>
        </w:rPr>
        <w:t>stating</w:t>
      </w:r>
      <w:r w:rsidRPr="00F21B36">
        <w:rPr>
          <w:b/>
        </w:rPr>
        <w:t xml:space="preserve"> that the proposal to upgrade the QoS is acceptable from a RAN2 point of view.</w:t>
      </w:r>
    </w:p>
    <w:p w14:paraId="79C5CE64" w14:textId="77777777" w:rsidR="00173E26" w:rsidRPr="00AB15B6" w:rsidRDefault="00173E26" w:rsidP="00173E26"/>
    <w:sectPr w:rsidR="00173E26" w:rsidRPr="00AB15B6">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7BF4" w14:textId="77777777" w:rsidR="00FE6F04" w:rsidRDefault="00FE6F04" w:rsidP="008F74DF">
      <w:r>
        <w:separator/>
      </w:r>
    </w:p>
  </w:endnote>
  <w:endnote w:type="continuationSeparator" w:id="0">
    <w:p w14:paraId="0106F1EF" w14:textId="77777777" w:rsidR="00FE6F04" w:rsidRDefault="00FE6F04" w:rsidP="008F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E374DE" w14:paraId="1F30165E" w14:textId="77777777" w:rsidTr="00E374DE">
      <w:tc>
        <w:tcPr>
          <w:tcW w:w="4247" w:type="dxa"/>
        </w:tcPr>
        <w:p w14:paraId="6C320E55" w14:textId="78DC9CCB" w:rsidR="00E374DE" w:rsidRPr="00E374DE" w:rsidRDefault="00DB6671" w:rsidP="00E374DE">
          <w:pPr>
            <w:pStyle w:val="Footer"/>
            <w:jc w:val="left"/>
            <w:rPr>
              <w:b w:val="0"/>
              <w:i w:val="0"/>
            </w:rPr>
          </w:pPr>
          <w:r w:rsidRPr="00DB6671">
            <w:rPr>
              <w:b w:val="0"/>
              <w:i w:val="0"/>
            </w:rPr>
            <w:t>R2-1910210</w:t>
          </w:r>
        </w:p>
      </w:tc>
      <w:tc>
        <w:tcPr>
          <w:tcW w:w="4247" w:type="dxa"/>
        </w:tcPr>
        <w:p w14:paraId="575CD3A4" w14:textId="6350F645" w:rsidR="00E374DE" w:rsidRPr="00E374DE" w:rsidRDefault="00E374DE" w:rsidP="00E374DE">
          <w:pPr>
            <w:pStyle w:val="Footer"/>
            <w:jc w:val="right"/>
            <w:rPr>
              <w:b w:val="0"/>
              <w:i w:val="0"/>
            </w:rPr>
          </w:pPr>
          <w:r w:rsidRPr="00E374DE">
            <w:rPr>
              <w:b w:val="0"/>
              <w:i w:val="0"/>
              <w:noProof w:val="0"/>
            </w:rPr>
            <w:fldChar w:fldCharType="begin"/>
          </w:r>
          <w:r w:rsidRPr="00E374DE">
            <w:rPr>
              <w:b w:val="0"/>
              <w:i w:val="0"/>
            </w:rPr>
            <w:instrText xml:space="preserve"> PAGE   \* MERGEFORMAT </w:instrText>
          </w:r>
          <w:r w:rsidRPr="00E374DE">
            <w:rPr>
              <w:b w:val="0"/>
              <w:i w:val="0"/>
              <w:noProof w:val="0"/>
            </w:rPr>
            <w:fldChar w:fldCharType="separate"/>
          </w:r>
          <w:r w:rsidR="00713FCB">
            <w:rPr>
              <w:b w:val="0"/>
              <w:i w:val="0"/>
            </w:rPr>
            <w:t>1</w:t>
          </w:r>
          <w:r w:rsidRPr="00E374DE">
            <w:rPr>
              <w:b w:val="0"/>
              <w:i w:val="0"/>
            </w:rPr>
            <w:fldChar w:fldCharType="end"/>
          </w:r>
        </w:p>
      </w:tc>
    </w:tr>
  </w:tbl>
  <w:p w14:paraId="12D6DB2F" w14:textId="77777777" w:rsidR="00134564" w:rsidRDefault="00134564">
    <w:pPr>
      <w:pStyle w:val="Footer"/>
    </w:pPr>
    <w:r>
      <w:rPr>
        <w:lang w:eastAsia="en-GB"/>
      </w:rPr>
      <mc:AlternateContent>
        <mc:Choice Requires="wps">
          <w:drawing>
            <wp:anchor distT="0" distB="0" distL="114300" distR="114300" simplePos="0" relativeHeight="251659264" behindDoc="0" locked="0" layoutInCell="0" allowOverlap="1" wp14:anchorId="6601E6A5" wp14:editId="71FA3BA1">
              <wp:simplePos x="0" y="0"/>
              <wp:positionH relativeFrom="page">
                <wp:posOffset>0</wp:posOffset>
              </wp:positionH>
              <wp:positionV relativeFrom="page">
                <wp:posOffset>10234930</wp:posOffset>
              </wp:positionV>
              <wp:extent cx="7560310" cy="266700"/>
              <wp:effectExtent l="0" t="0" r="0" b="0"/>
              <wp:wrapNone/>
              <wp:docPr id="1" name="MSIPCMa1d24dbbbb5f33d99db058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CE7AB6" w14:textId="77777777" w:rsidR="00134564" w:rsidRPr="00134564" w:rsidRDefault="00134564" w:rsidP="008F74DF"/>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01E6A5" id="_x0000_t202" coordsize="21600,21600" o:spt="202" path="m,l,21600r21600,l21600,xe">
              <v:stroke joinstyle="miter"/>
              <v:path gradientshapeok="t" o:connecttype="rect"/>
            </v:shapetype>
            <v:shape id="MSIPCMa1d24dbbbb5f33d99db058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" o:allowincell="f" filled="f" stroked="f" strokeweight=".5pt">
              <v:textbox inset="20pt,0,,0">
                <w:txbxContent>
                  <w:p w14:paraId="27CE7AB6" w14:textId="77777777" w:rsidR="00134564" w:rsidRPr="00134564" w:rsidRDefault="00134564" w:rsidP="008F74DF"/>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52F9A" w14:textId="77777777" w:rsidR="00FE6F04" w:rsidRDefault="00FE6F04" w:rsidP="008F74DF">
      <w:r>
        <w:separator/>
      </w:r>
    </w:p>
  </w:footnote>
  <w:footnote w:type="continuationSeparator" w:id="0">
    <w:p w14:paraId="03D7C10E" w14:textId="77777777" w:rsidR="00FE6F04" w:rsidRDefault="00FE6F04" w:rsidP="008F7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E52DDA"/>
    <w:multiLevelType w:val="hybridMultilevel"/>
    <w:tmpl w:val="8B32A2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A77907"/>
    <w:multiLevelType w:val="hybridMultilevel"/>
    <w:tmpl w:val="E23252BE"/>
    <w:lvl w:ilvl="0" w:tplc="4C4A022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35465"/>
    <w:multiLevelType w:val="hybridMultilevel"/>
    <w:tmpl w:val="B6EE5D72"/>
    <w:lvl w:ilvl="0" w:tplc="0809000F">
      <w:start w:val="1"/>
      <w:numFmt w:val="decimal"/>
      <w:lvlText w:val="%1."/>
      <w:lvlJc w:val="left"/>
      <w:pPr>
        <w:ind w:left="1131" w:hanging="360"/>
      </w:pPr>
    </w:lvl>
    <w:lvl w:ilvl="1" w:tplc="08090019" w:tentative="1">
      <w:start w:val="1"/>
      <w:numFmt w:val="lowerLetter"/>
      <w:lvlText w:val="%2."/>
      <w:lvlJc w:val="left"/>
      <w:pPr>
        <w:ind w:left="1851" w:hanging="360"/>
      </w:pPr>
    </w:lvl>
    <w:lvl w:ilvl="2" w:tplc="0809001B" w:tentative="1">
      <w:start w:val="1"/>
      <w:numFmt w:val="lowerRoman"/>
      <w:lvlText w:val="%3."/>
      <w:lvlJc w:val="right"/>
      <w:pPr>
        <w:ind w:left="2571" w:hanging="180"/>
      </w:pPr>
    </w:lvl>
    <w:lvl w:ilvl="3" w:tplc="0809000F" w:tentative="1">
      <w:start w:val="1"/>
      <w:numFmt w:val="decimal"/>
      <w:lvlText w:val="%4."/>
      <w:lvlJc w:val="left"/>
      <w:pPr>
        <w:ind w:left="3291" w:hanging="360"/>
      </w:pPr>
    </w:lvl>
    <w:lvl w:ilvl="4" w:tplc="08090019" w:tentative="1">
      <w:start w:val="1"/>
      <w:numFmt w:val="lowerLetter"/>
      <w:lvlText w:val="%5."/>
      <w:lvlJc w:val="left"/>
      <w:pPr>
        <w:ind w:left="4011" w:hanging="360"/>
      </w:pPr>
    </w:lvl>
    <w:lvl w:ilvl="5" w:tplc="0809001B" w:tentative="1">
      <w:start w:val="1"/>
      <w:numFmt w:val="lowerRoman"/>
      <w:lvlText w:val="%6."/>
      <w:lvlJc w:val="right"/>
      <w:pPr>
        <w:ind w:left="4731" w:hanging="180"/>
      </w:pPr>
    </w:lvl>
    <w:lvl w:ilvl="6" w:tplc="0809000F" w:tentative="1">
      <w:start w:val="1"/>
      <w:numFmt w:val="decimal"/>
      <w:lvlText w:val="%7."/>
      <w:lvlJc w:val="left"/>
      <w:pPr>
        <w:ind w:left="5451" w:hanging="360"/>
      </w:pPr>
    </w:lvl>
    <w:lvl w:ilvl="7" w:tplc="08090019" w:tentative="1">
      <w:start w:val="1"/>
      <w:numFmt w:val="lowerLetter"/>
      <w:lvlText w:val="%8."/>
      <w:lvlJc w:val="left"/>
      <w:pPr>
        <w:ind w:left="6171" w:hanging="360"/>
      </w:pPr>
    </w:lvl>
    <w:lvl w:ilvl="8" w:tplc="0809001B" w:tentative="1">
      <w:start w:val="1"/>
      <w:numFmt w:val="lowerRoman"/>
      <w:lvlText w:val="%9."/>
      <w:lvlJc w:val="right"/>
      <w:pPr>
        <w:ind w:left="6891" w:hanging="180"/>
      </w:pPr>
    </w:lvl>
  </w:abstractNum>
  <w:abstractNum w:abstractNumId="10" w15:restartNumberingAfterBreak="0">
    <w:nsid w:val="39D71B3E"/>
    <w:multiLevelType w:val="hybridMultilevel"/>
    <w:tmpl w:val="6D9461CA"/>
    <w:lvl w:ilvl="0" w:tplc="E618DE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F60AB3"/>
    <w:multiLevelType w:val="hybridMultilevel"/>
    <w:tmpl w:val="6E38B516"/>
    <w:lvl w:ilvl="0" w:tplc="08090001">
      <w:start w:val="1"/>
      <w:numFmt w:val="bullet"/>
      <w:lvlText w:val=""/>
      <w:lvlJc w:val="left"/>
      <w:pPr>
        <w:ind w:left="1131" w:hanging="360"/>
      </w:pPr>
      <w:rPr>
        <w:rFonts w:ascii="Symbol" w:hAnsi="Symbol" w:hint="default"/>
      </w:rPr>
    </w:lvl>
    <w:lvl w:ilvl="1" w:tplc="08090003" w:tentative="1">
      <w:start w:val="1"/>
      <w:numFmt w:val="bullet"/>
      <w:lvlText w:val="o"/>
      <w:lvlJc w:val="left"/>
      <w:pPr>
        <w:ind w:left="1851" w:hanging="360"/>
      </w:pPr>
      <w:rPr>
        <w:rFonts w:ascii="Courier New" w:hAnsi="Courier New" w:cs="Courier New" w:hint="default"/>
      </w:rPr>
    </w:lvl>
    <w:lvl w:ilvl="2" w:tplc="08090005" w:tentative="1">
      <w:start w:val="1"/>
      <w:numFmt w:val="bullet"/>
      <w:lvlText w:val=""/>
      <w:lvlJc w:val="left"/>
      <w:pPr>
        <w:ind w:left="2571" w:hanging="360"/>
      </w:pPr>
      <w:rPr>
        <w:rFonts w:ascii="Wingdings" w:hAnsi="Wingdings" w:hint="default"/>
      </w:rPr>
    </w:lvl>
    <w:lvl w:ilvl="3" w:tplc="08090001" w:tentative="1">
      <w:start w:val="1"/>
      <w:numFmt w:val="bullet"/>
      <w:lvlText w:val=""/>
      <w:lvlJc w:val="left"/>
      <w:pPr>
        <w:ind w:left="3291" w:hanging="360"/>
      </w:pPr>
      <w:rPr>
        <w:rFonts w:ascii="Symbol" w:hAnsi="Symbol" w:hint="default"/>
      </w:rPr>
    </w:lvl>
    <w:lvl w:ilvl="4" w:tplc="08090003" w:tentative="1">
      <w:start w:val="1"/>
      <w:numFmt w:val="bullet"/>
      <w:lvlText w:val="o"/>
      <w:lvlJc w:val="left"/>
      <w:pPr>
        <w:ind w:left="4011" w:hanging="360"/>
      </w:pPr>
      <w:rPr>
        <w:rFonts w:ascii="Courier New" w:hAnsi="Courier New" w:cs="Courier New" w:hint="default"/>
      </w:rPr>
    </w:lvl>
    <w:lvl w:ilvl="5" w:tplc="08090005" w:tentative="1">
      <w:start w:val="1"/>
      <w:numFmt w:val="bullet"/>
      <w:lvlText w:val=""/>
      <w:lvlJc w:val="left"/>
      <w:pPr>
        <w:ind w:left="4731" w:hanging="360"/>
      </w:pPr>
      <w:rPr>
        <w:rFonts w:ascii="Wingdings" w:hAnsi="Wingdings" w:hint="default"/>
      </w:rPr>
    </w:lvl>
    <w:lvl w:ilvl="6" w:tplc="08090001" w:tentative="1">
      <w:start w:val="1"/>
      <w:numFmt w:val="bullet"/>
      <w:lvlText w:val=""/>
      <w:lvlJc w:val="left"/>
      <w:pPr>
        <w:ind w:left="5451" w:hanging="360"/>
      </w:pPr>
      <w:rPr>
        <w:rFonts w:ascii="Symbol" w:hAnsi="Symbol" w:hint="default"/>
      </w:rPr>
    </w:lvl>
    <w:lvl w:ilvl="7" w:tplc="08090003" w:tentative="1">
      <w:start w:val="1"/>
      <w:numFmt w:val="bullet"/>
      <w:lvlText w:val="o"/>
      <w:lvlJc w:val="left"/>
      <w:pPr>
        <w:ind w:left="6171" w:hanging="360"/>
      </w:pPr>
      <w:rPr>
        <w:rFonts w:ascii="Courier New" w:hAnsi="Courier New" w:cs="Courier New" w:hint="default"/>
      </w:rPr>
    </w:lvl>
    <w:lvl w:ilvl="8" w:tplc="08090005" w:tentative="1">
      <w:start w:val="1"/>
      <w:numFmt w:val="bullet"/>
      <w:lvlText w:val=""/>
      <w:lvlJc w:val="left"/>
      <w:pPr>
        <w:ind w:left="6891" w:hanging="360"/>
      </w:pPr>
      <w:rPr>
        <w:rFonts w:ascii="Wingdings" w:hAnsi="Wingdings" w:hint="default"/>
      </w:rPr>
    </w:lvl>
  </w:abstractNum>
  <w:abstractNum w:abstractNumId="12" w15:restartNumberingAfterBreak="0">
    <w:nsid w:val="668302E5"/>
    <w:multiLevelType w:val="multilevel"/>
    <w:tmpl w:val="89AE842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E661F4A"/>
    <w:multiLevelType w:val="hybridMultilevel"/>
    <w:tmpl w:val="FE7211D0"/>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2"/>
  </w:num>
  <w:num w:numId="9">
    <w:abstractNumId w:val="13"/>
  </w:num>
  <w:num w:numId="10">
    <w:abstractNumId w:val="10"/>
  </w:num>
  <w:num w:numId="11">
    <w:abstractNumId w:val="8"/>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36DD1"/>
    <w:rsid w:val="00134564"/>
    <w:rsid w:val="00173E26"/>
    <w:rsid w:val="00246FCD"/>
    <w:rsid w:val="00271848"/>
    <w:rsid w:val="004650A0"/>
    <w:rsid w:val="004F353B"/>
    <w:rsid w:val="005428CA"/>
    <w:rsid w:val="005450DD"/>
    <w:rsid w:val="00550E5E"/>
    <w:rsid w:val="00585BBE"/>
    <w:rsid w:val="005A6968"/>
    <w:rsid w:val="005B7F7D"/>
    <w:rsid w:val="005E0F03"/>
    <w:rsid w:val="00657641"/>
    <w:rsid w:val="006A48A7"/>
    <w:rsid w:val="006B75A2"/>
    <w:rsid w:val="007102EC"/>
    <w:rsid w:val="00712750"/>
    <w:rsid w:val="00713FCB"/>
    <w:rsid w:val="00751728"/>
    <w:rsid w:val="0086545C"/>
    <w:rsid w:val="00887B70"/>
    <w:rsid w:val="008D1F3A"/>
    <w:rsid w:val="008F005A"/>
    <w:rsid w:val="008F74DF"/>
    <w:rsid w:val="00A05A1E"/>
    <w:rsid w:val="00AB15B6"/>
    <w:rsid w:val="00AE6D68"/>
    <w:rsid w:val="00BA303F"/>
    <w:rsid w:val="00C0745D"/>
    <w:rsid w:val="00CE52CF"/>
    <w:rsid w:val="00D252BA"/>
    <w:rsid w:val="00D44899"/>
    <w:rsid w:val="00D46C94"/>
    <w:rsid w:val="00D57633"/>
    <w:rsid w:val="00D605C9"/>
    <w:rsid w:val="00DB6671"/>
    <w:rsid w:val="00E374DE"/>
    <w:rsid w:val="00E42839"/>
    <w:rsid w:val="00F06273"/>
    <w:rsid w:val="00F21B36"/>
    <w:rsid w:val="00F43EEB"/>
    <w:rsid w:val="00F52FBE"/>
    <w:rsid w:val="00FC62D9"/>
    <w:rsid w:val="00FE6F04"/>
    <w:rsid w:val="00FF4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C89615"/>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B36"/>
    <w:pPr>
      <w:overflowPunct w:val="0"/>
      <w:autoSpaceDE w:val="0"/>
      <w:autoSpaceDN w:val="0"/>
      <w:adjustRightInd w:val="0"/>
      <w:spacing w:after="180" w:line="240" w:lineRule="auto"/>
      <w:ind w:left="360"/>
      <w:textAlignment w:val="baseline"/>
    </w:pPr>
    <w:rPr>
      <w:rFonts w:ascii="Arial" w:eastAsia="Times New Roman" w:hAnsi="Arial" w:cs="Arial"/>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lang w:val="en-US"/>
    </w:rPr>
  </w:style>
  <w:style w:type="paragraph" w:customStyle="1" w:styleId="11BodyText">
    <w:name w:val="11 BodyText"/>
    <w:basedOn w:val="Normal"/>
    <w:rsid w:val="005E0F03"/>
    <w:pPr>
      <w:spacing w:after="220"/>
      <w:ind w:left="1298"/>
    </w:pPr>
    <w:rPr>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eastAsia="MS Gothic"/>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b/>
      <w:sz w:val="36"/>
      <w:lang w:val="en-US"/>
    </w:rPr>
  </w:style>
  <w:style w:type="paragraph" w:customStyle="1" w:styleId="CRCoverPage">
    <w:name w:val="CR Cover Page"/>
    <w:link w:val="CRCoverPageZchn"/>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eastAsia="SimSun"/>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eastAsia="MS Mincho"/>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eastAsia="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character" w:customStyle="1" w:styleId="CRCoverPageZchn">
    <w:name w:val="CR Cover Page Zchn"/>
    <w:link w:val="CRCoverPage"/>
    <w:rsid w:val="00E374DE"/>
    <w:rPr>
      <w:rFonts w:ascii="Arial" w:eastAsia="MS Mincho" w:hAnsi="Arial" w:cs="Times New Roman"/>
      <w:sz w:val="20"/>
      <w:szCs w:val="20"/>
    </w:rPr>
  </w:style>
  <w:style w:type="paragraph" w:styleId="ListParagraph">
    <w:name w:val="List Paragraph"/>
    <w:basedOn w:val="Normal"/>
    <w:uiPriority w:val="34"/>
    <w:qFormat/>
    <w:rsid w:val="00E37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2C30A9A26E246A542D4ACB4B1853A" ma:contentTypeVersion="8" ma:contentTypeDescription="Create a new document." ma:contentTypeScope="" ma:versionID="c600df38280e4107b07d26e6365494f1">
  <xsd:schema xmlns:xsd="http://www.w3.org/2001/XMLSchema" xmlns:xs="http://www.w3.org/2001/XMLSchema" xmlns:p="http://schemas.microsoft.com/office/2006/metadata/properties" xmlns:ns3="9b77a4c8-7f6e-4821-b907-47a3831c8b4b" targetNamespace="http://schemas.microsoft.com/office/2006/metadata/properties" ma:root="true" ma:fieldsID="580d3b72667cfe32a5ea984ae92f4a75" ns3:_="">
    <xsd:import namespace="9b77a4c8-7f6e-4821-b907-47a3831c8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7a4c8-7f6e-4821-b907-47a3831c8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AD26E-5654-4EB7-AC5D-45A815525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7a4c8-7f6e-4821-b907-47a3831c8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0F101-45AE-41D7-8591-1EDD320CB859}">
  <ds:schemaRefs>
    <ds:schemaRef ds:uri="http://purl.org/dc/dcmitype/"/>
    <ds:schemaRef ds:uri="http://schemas.microsoft.com/office/2006/metadata/properties"/>
    <ds:schemaRef ds:uri="9b77a4c8-7f6e-4821-b907-47a3831c8b4b"/>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3E0F46BE-DEC9-4F41-A922-A3BE38D859B0}">
  <ds:schemaRefs>
    <ds:schemaRef ds:uri="http://schemas.microsoft.com/sharepoint/v3/contenttype/forms"/>
  </ds:schemaRefs>
</ds:datastoreItem>
</file>

<file path=customXml/itemProps4.xml><?xml version="1.0" encoding="utf-8"?>
<ds:datastoreItem xmlns:ds="http://schemas.openxmlformats.org/officeDocument/2006/customXml" ds:itemID="{816B7175-3E52-4DD1-8FCA-3B8482FE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4</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2</cp:revision>
  <dcterms:created xsi:type="dcterms:W3CDTF">2019-08-15T10:48:00Z</dcterms:created>
  <dcterms:modified xsi:type="dcterms:W3CDTF">2019-08-15T10:48:00Z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2019-08-14T11:04:04.6879114Z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0x0101000952C30A9A26E246A542D4ACB4B1853A</vt:lpwstr>
  </property>
</Properties>
</file>