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2F9F4DE" w14:textId="17192A2D" w:rsidR="00866CC2" w:rsidRPr="00943E97" w:rsidRDefault="00866CC2" w:rsidP="00866CC2">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62336" behindDoc="0" locked="1" layoutInCell="1" allowOverlap="1" wp14:anchorId="58F0A9AF" wp14:editId="23AA8454">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9021C"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lang w:eastAsia="en-GB"/>
        </w:rPr>
        <w:t>3GPP TSG-RAN WG2 meeting #107</w:t>
      </w:r>
      <w:r>
        <w:rPr>
          <w:rFonts w:hint="eastAsia"/>
          <w:color w:val="auto"/>
          <w:sz w:val="24"/>
          <w:lang w:eastAsia="zh-CN"/>
        </w:rPr>
        <w:tab/>
      </w:r>
      <w:r>
        <w:rPr>
          <w:color w:val="auto"/>
          <w:sz w:val="24"/>
          <w:lang w:eastAsia="zh-CN"/>
        </w:rPr>
        <w:tab/>
      </w:r>
      <w:r w:rsidR="008F51AB">
        <w:rPr>
          <w:color w:val="auto"/>
          <w:sz w:val="24"/>
          <w:lang w:eastAsia="zh-CN"/>
        </w:rPr>
        <w:t xml:space="preserve">       </w:t>
      </w:r>
      <w:r w:rsidRPr="00BF708D">
        <w:rPr>
          <w:i/>
          <w:color w:val="auto"/>
          <w:sz w:val="24"/>
        </w:rPr>
        <w:t>R2-</w:t>
      </w:r>
      <w:r>
        <w:rPr>
          <w:i/>
          <w:color w:val="auto"/>
          <w:sz w:val="24"/>
        </w:rPr>
        <w:t>1</w:t>
      </w:r>
      <w:r>
        <w:rPr>
          <w:i/>
          <w:color w:val="auto"/>
          <w:sz w:val="24"/>
          <w:lang w:eastAsia="zh-CN"/>
        </w:rPr>
        <w:t>90</w:t>
      </w:r>
      <w:r w:rsidR="008F51AB">
        <w:rPr>
          <w:i/>
          <w:color w:val="auto"/>
          <w:sz w:val="24"/>
          <w:lang w:eastAsia="zh-CN"/>
        </w:rPr>
        <w:t>9578</w:t>
      </w:r>
    </w:p>
    <w:p w14:paraId="6E50C03F" w14:textId="7212C44E" w:rsidR="00593E32" w:rsidRDefault="00866CC2" w:rsidP="007E1DEE">
      <w:pPr>
        <w:pStyle w:val="Header"/>
        <w:tabs>
          <w:tab w:val="left" w:pos="6521"/>
        </w:tabs>
        <w:jc w:val="both"/>
        <w:rPr>
          <w:color w:val="auto"/>
          <w:sz w:val="24"/>
          <w:lang w:eastAsia="en-GB"/>
        </w:rPr>
      </w:pPr>
      <w:r w:rsidRPr="005F4BE8">
        <w:rPr>
          <w:sz w:val="24"/>
        </w:rPr>
        <w:t>Prague, Czech, 26 – 30 August</w:t>
      </w:r>
      <w:r w:rsidRPr="005F4BE8">
        <w:rPr>
          <w:rFonts w:hint="eastAsia"/>
          <w:sz w:val="24"/>
        </w:rPr>
        <w:t>, 2019</w:t>
      </w:r>
      <w:r>
        <w:rPr>
          <w:sz w:val="24"/>
        </w:rPr>
        <w:tab/>
      </w:r>
      <w:r>
        <w:rPr>
          <w:sz w:val="24"/>
          <w:lang w:eastAsia="zh-CN"/>
        </w:rPr>
        <w:tab/>
      </w:r>
      <w:r>
        <w:rPr>
          <w:sz w:val="24"/>
          <w:lang w:eastAsia="zh-CN"/>
        </w:rPr>
        <w:tab/>
      </w:r>
      <w:r>
        <w:rPr>
          <w:sz w:val="24"/>
          <w:lang w:eastAsia="zh-CN"/>
        </w:rPr>
        <w:tab/>
      </w:r>
      <w:r>
        <w:rPr>
          <w:sz w:val="24"/>
          <w:lang w:eastAsia="zh-CN"/>
        </w:rPr>
        <w:tab/>
      </w:r>
      <w:r w:rsidR="00593E32">
        <w:rPr>
          <w:color w:val="auto"/>
          <w:sz w:val="24"/>
          <w:lang w:eastAsia="zh-CN"/>
        </w:rPr>
        <w:tab/>
      </w:r>
      <w:r w:rsidR="00593E32">
        <w:rPr>
          <w:color w:val="auto"/>
          <w:sz w:val="24"/>
          <w:lang w:eastAsia="zh-CN"/>
        </w:rPr>
        <w:tab/>
      </w:r>
    </w:p>
    <w:p w14:paraId="2AE6D985" w14:textId="157D919E"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8A7787">
        <w:rPr>
          <w:rFonts w:ascii="Arial" w:hAnsi="Arial"/>
          <w:b/>
          <w:sz w:val="24"/>
          <w:lang w:val="en-US" w:eastAsia="zh-CN"/>
        </w:rPr>
        <w:t>11.</w:t>
      </w:r>
      <w:r w:rsidR="00866CC2">
        <w:rPr>
          <w:rFonts w:ascii="Arial" w:hAnsi="Arial"/>
          <w:b/>
          <w:sz w:val="24"/>
          <w:lang w:val="en-US" w:eastAsia="zh-CN"/>
        </w:rPr>
        <w:t>16</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2F93EB8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235DA">
        <w:rPr>
          <w:rFonts w:ascii="Arial" w:hAnsi="Arial"/>
          <w:b/>
          <w:sz w:val="24"/>
          <w:lang w:val="en-US"/>
        </w:rPr>
        <w:t xml:space="preserve">Discussion </w:t>
      </w:r>
      <w:r w:rsidR="00C75ED0">
        <w:rPr>
          <w:rFonts w:ascii="Arial" w:hAnsi="Arial"/>
          <w:b/>
          <w:sz w:val="24"/>
          <w:lang w:val="en-US"/>
        </w:rPr>
        <w:t>on handling of BFR for SCell</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9F0B23" w14:textId="137E2581" w:rsidR="001235DA" w:rsidRDefault="00C75ED0" w:rsidP="001235DA">
      <w:r>
        <w:t>In RAN2-106, an LS was received from RAN1 [1] on RAN2 impact from RAN1 agreements on the topic of beam failure recovery for SCell with the initial discussion on DL-only SCells</w:t>
      </w:r>
      <w:r w:rsidR="001235DA">
        <w:t>.</w:t>
      </w:r>
    </w:p>
    <w:p w14:paraId="598CF173" w14:textId="6BC4B8D3" w:rsidR="00202674" w:rsidRDefault="00202674" w:rsidP="001235DA">
      <w:r>
        <w:t xml:space="preserve">In this </w:t>
      </w:r>
      <w:r w:rsidR="009F4D98">
        <w:t>contribution</w:t>
      </w:r>
      <w:r>
        <w:t>, we discuss the RAN2 impact on this and on the content of the LS</w:t>
      </w:r>
      <w:r w:rsidR="009F4D98">
        <w:t>.</w:t>
      </w:r>
      <w:r>
        <w:t xml:space="preserve"> reply.</w:t>
      </w:r>
    </w:p>
    <w:p w14:paraId="2AE6D98D" w14:textId="77777777" w:rsidR="003E1A61" w:rsidRDefault="003E1A61" w:rsidP="00F13226">
      <w:pPr>
        <w:pStyle w:val="Heading1"/>
      </w:pPr>
      <w:r>
        <w:t>Discussion</w:t>
      </w:r>
    </w:p>
    <w:p w14:paraId="24E961D6" w14:textId="77777777" w:rsidR="005454E4" w:rsidRPr="005454E4" w:rsidRDefault="005454E4" w:rsidP="005454E4"/>
    <w:p w14:paraId="360C27FA" w14:textId="70A1331C" w:rsidR="005454E4" w:rsidRDefault="00514BE5" w:rsidP="005454E4">
      <w:pPr>
        <w:pStyle w:val="Heading2"/>
      </w:pPr>
      <w:r>
        <w:t>RAN2 impact assessment</w:t>
      </w:r>
    </w:p>
    <w:p w14:paraId="623F37A6" w14:textId="42E4245C" w:rsidR="00E42349" w:rsidRDefault="00E42349" w:rsidP="00E42349">
      <w:pPr>
        <w:pStyle w:val="Heading3"/>
      </w:pPr>
      <w:r>
        <w:t>Step 1 and Step 2 Handling</w:t>
      </w:r>
    </w:p>
    <w:p w14:paraId="4E907755" w14:textId="77777777" w:rsidR="00E42349" w:rsidRPr="00E42349" w:rsidRDefault="00E42349" w:rsidP="00E42349"/>
    <w:p w14:paraId="73329B40" w14:textId="492A4ACC" w:rsidR="00514BE5" w:rsidRDefault="00514BE5" w:rsidP="005454E4">
      <w:r>
        <w:t>The RAN1 agreements on this aspect are captured below.</w:t>
      </w:r>
    </w:p>
    <w:tbl>
      <w:tblPr>
        <w:tblW w:w="9495"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514BE5" w14:paraId="24AA40AF" w14:textId="77777777" w:rsidTr="00514BE5">
        <w:trPr>
          <w:trHeight w:val="3720"/>
        </w:trPr>
        <w:tc>
          <w:tcPr>
            <w:tcW w:w="9495" w:type="dxa"/>
          </w:tcPr>
          <w:p w14:paraId="7F29C565" w14:textId="77777777" w:rsidR="00514BE5" w:rsidRDefault="00514BE5" w:rsidP="00514BE5">
            <w:pPr>
              <w:ind w:left="120"/>
            </w:pPr>
          </w:p>
          <w:p w14:paraId="7C753FC5" w14:textId="77777777" w:rsidR="00514BE5" w:rsidRDefault="00514BE5" w:rsidP="00514BE5">
            <w:pPr>
              <w:ind w:left="120"/>
            </w:pPr>
            <w:r>
              <w:rPr>
                <w:rFonts w:ascii="Times New Roman" w:hAnsi="Times New Roman" w:cs="Times New Roman"/>
                <w:noProof/>
                <w:lang w:val="en-US"/>
              </w:rPr>
              <w:drawing>
                <wp:inline distT="0" distB="0" distL="0" distR="0" wp14:anchorId="391C6E04" wp14:editId="12B56D31">
                  <wp:extent cx="5731510" cy="1132776"/>
                  <wp:effectExtent l="0" t="0" r="2540" b="0"/>
                  <wp:docPr id="5" name="Picture 5" descr="Agreement&#10;On BFRQ procedure for SCell&#10;• Step 1 can be carried by at least a dedicated SR-like PUCCH resource for BFR over PCell or PSCell&#10;o FFS: Details including whether or not it is precluded that MAC CE in step 2 is multiplexed in a PUSCH not triggered by step 1&#10;• (Working Assumption) Step 2 is carried by MAC CE &#10;Above applies at least for SCell with downlink only&#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eement&#10;On BFRQ procedure for SCell&#10;• Step 1 can be carried by at least a dedicated SR-like PUCCH resource for BFR over PCell or PSCell&#10;o FFS: Details including whether or not it is precluded that MAC CE in step 2 is multiplexed in a PUSCH not triggered by step 1&#10;• (Working Assumption) Step 2 is carried by MAC CE &#10;Above applies at least for SCell with downlink only&#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731510" cy="1132776"/>
                          </a:xfrm>
                          <a:prstGeom prst="rect">
                            <a:avLst/>
                          </a:prstGeom>
                          <a:noFill/>
                          <a:ln>
                            <a:noFill/>
                          </a:ln>
                        </pic:spPr>
                      </pic:pic>
                    </a:graphicData>
                  </a:graphic>
                </wp:inline>
              </w:drawing>
            </w:r>
          </w:p>
          <w:p w14:paraId="5D45489A" w14:textId="77777777" w:rsidR="00514BE5" w:rsidRDefault="00514BE5" w:rsidP="00514BE5">
            <w:pPr>
              <w:spacing w:after="120"/>
              <w:ind w:left="120"/>
              <w:rPr>
                <w:rFonts w:ascii="Arial" w:hAnsi="Arial" w:cs="Arial"/>
              </w:rPr>
            </w:pPr>
            <w:r>
              <w:rPr>
                <w:rFonts w:ascii="Arial" w:hAnsi="Arial" w:cs="Arial"/>
              </w:rPr>
              <w:t>The purpose of step 1 is to inform the NW that beam failure occurred, whereas step 2 is used to provide the network with information about a new beam (if present).</w:t>
            </w:r>
          </w:p>
          <w:p w14:paraId="7CEDFED4" w14:textId="77777777" w:rsidR="00514BE5" w:rsidRDefault="00514BE5" w:rsidP="00514BE5">
            <w:pPr>
              <w:spacing w:after="120"/>
              <w:ind w:left="120"/>
              <w:rPr>
                <w:rFonts w:ascii="Arial" w:hAnsi="Arial" w:cs="Arial"/>
              </w:rPr>
            </w:pPr>
            <w:r>
              <w:rPr>
                <w:rFonts w:ascii="Arial" w:hAnsi="Arial" w:cs="Arial"/>
              </w:rPr>
              <w:t xml:space="preserve">The working assumption states that new beam information (if present) would be conveyed using MAC CE. </w:t>
            </w:r>
            <w:r w:rsidRPr="00514BE5">
              <w:rPr>
                <w:rFonts w:ascii="Arial" w:hAnsi="Arial" w:cs="Arial"/>
                <w:highlight w:val="yellow"/>
              </w:rPr>
              <w:t>In the same MAC CE, the UE would convey which SCell(s) failed.</w:t>
            </w:r>
          </w:p>
          <w:p w14:paraId="202E20BA" w14:textId="65EAF214" w:rsidR="00514BE5" w:rsidRDefault="00514BE5" w:rsidP="00514BE5">
            <w:pPr>
              <w:ind w:left="120"/>
            </w:pPr>
          </w:p>
        </w:tc>
      </w:tr>
    </w:tbl>
    <w:p w14:paraId="648AA90F" w14:textId="77777777" w:rsidR="0078751E" w:rsidRDefault="0078751E" w:rsidP="005454E4"/>
    <w:p w14:paraId="723FCB98" w14:textId="77777777" w:rsidR="00514BE5" w:rsidRPr="0078751E" w:rsidRDefault="005454E4" w:rsidP="005454E4">
      <w:pPr>
        <w:rPr>
          <w:b/>
        </w:rPr>
      </w:pPr>
      <w:r w:rsidRPr="0078751E">
        <w:rPr>
          <w:b/>
        </w:rPr>
        <w:t>Observation</w:t>
      </w:r>
      <w:r w:rsidR="00D42DD4" w:rsidRPr="0078751E">
        <w:rPr>
          <w:b/>
        </w:rPr>
        <w:t xml:space="preserve"> 1</w:t>
      </w:r>
      <w:r w:rsidRPr="0078751E">
        <w:rPr>
          <w:b/>
        </w:rPr>
        <w:t xml:space="preserve">: </w:t>
      </w:r>
      <w:r w:rsidR="00514BE5" w:rsidRPr="0078751E">
        <w:rPr>
          <w:b/>
        </w:rPr>
        <w:t xml:space="preserve">Step 1 is intended to inform the NW quickly in the case there is a beam failure on SCell at the UE. </w:t>
      </w:r>
    </w:p>
    <w:p w14:paraId="7A515454" w14:textId="2C371788" w:rsidR="005454E4" w:rsidRPr="0078751E" w:rsidRDefault="005454E4" w:rsidP="005454E4">
      <w:pPr>
        <w:rPr>
          <w:b/>
        </w:rPr>
      </w:pPr>
      <w:r w:rsidRPr="0078751E">
        <w:rPr>
          <w:b/>
        </w:rPr>
        <w:t>Observation</w:t>
      </w:r>
      <w:r w:rsidR="00D42DD4" w:rsidRPr="0078751E">
        <w:rPr>
          <w:b/>
        </w:rPr>
        <w:t xml:space="preserve"> 2</w:t>
      </w:r>
      <w:r w:rsidRPr="0078751E">
        <w:rPr>
          <w:b/>
        </w:rPr>
        <w:t xml:space="preserve">: </w:t>
      </w:r>
      <w:r w:rsidR="00514BE5" w:rsidRPr="0078751E">
        <w:rPr>
          <w:b/>
        </w:rPr>
        <w:t xml:space="preserve"> RAN1’s intention is to have the ID of the SCell where the beam failure happened, be sent in a MAC CE, and not have this information conveyed in step 1.</w:t>
      </w:r>
    </w:p>
    <w:p w14:paraId="5D9670FD" w14:textId="04603B09" w:rsidR="00596342" w:rsidRDefault="00596342" w:rsidP="00596342">
      <w:pPr>
        <w:pStyle w:val="Heading3"/>
      </w:pPr>
      <w:r>
        <w:rPr>
          <w:b/>
        </w:rPr>
        <w:lastRenderedPageBreak/>
        <w:t xml:space="preserve">NW actions after </w:t>
      </w:r>
      <w:r>
        <w:t xml:space="preserve">Step 1 </w:t>
      </w:r>
    </w:p>
    <w:p w14:paraId="539398AF" w14:textId="36D3BE77" w:rsidR="00596342" w:rsidRPr="00D002FE" w:rsidRDefault="00596342" w:rsidP="00596342">
      <w:pPr>
        <w:pStyle w:val="CommentText"/>
        <w:rPr>
          <w:sz w:val="22"/>
          <w:szCs w:val="22"/>
        </w:rPr>
      </w:pPr>
      <w:r w:rsidRPr="00D002FE">
        <w:rPr>
          <w:sz w:val="22"/>
          <w:szCs w:val="22"/>
        </w:rPr>
        <w:t>We are not sure about the advantage of having step 1 when the details are not provided to the network until step 2.</w:t>
      </w:r>
      <w:r w:rsidRPr="00D002FE">
        <w:rPr>
          <w:sz w:val="22"/>
          <w:szCs w:val="22"/>
        </w:rPr>
        <w:t xml:space="preserve"> </w:t>
      </w:r>
      <w:r w:rsidRPr="00D002FE">
        <w:rPr>
          <w:rStyle w:val="CommentReference"/>
          <w:sz w:val="22"/>
          <w:szCs w:val="22"/>
        </w:rPr>
        <w:t/>
      </w:r>
      <w:r w:rsidRPr="00D002FE">
        <w:rPr>
          <w:sz w:val="22"/>
          <w:szCs w:val="22"/>
        </w:rPr>
        <w:t>In some scenarios like PCell FR1 and SCell FR2, knowledge of the SCell is not that important since the used beams are common for all SCells. If the beam failure occurs this would mean that all used beam on all SCells are not usable anymore. On the other hand for the scenarios where some of SCell are in FR1 (e.g. in 3.5GHz), while other SCell are in FR2 (e.g. in 28GHz)</w:t>
      </w:r>
      <w:r>
        <w:rPr>
          <w:sz w:val="22"/>
          <w:szCs w:val="22"/>
        </w:rPr>
        <w:t>, the network would need to know the SCell(s) where the beam failure occurred.</w:t>
      </w:r>
    </w:p>
    <w:p w14:paraId="050EE0B9" w14:textId="6EE08587" w:rsidR="00514BE5" w:rsidRPr="0078751E" w:rsidRDefault="005454E4" w:rsidP="005454E4">
      <w:pPr>
        <w:rPr>
          <w:b/>
        </w:rPr>
      </w:pPr>
      <w:r w:rsidRPr="0078751E">
        <w:rPr>
          <w:b/>
        </w:rPr>
        <w:t>Observation</w:t>
      </w:r>
      <w:r w:rsidR="00D42DD4" w:rsidRPr="0078751E">
        <w:rPr>
          <w:b/>
        </w:rPr>
        <w:t xml:space="preserve"> 3</w:t>
      </w:r>
      <w:r w:rsidRPr="0078751E">
        <w:rPr>
          <w:b/>
        </w:rPr>
        <w:t xml:space="preserve">: </w:t>
      </w:r>
      <w:r w:rsidR="00514BE5" w:rsidRPr="0078751E">
        <w:rPr>
          <w:b/>
        </w:rPr>
        <w:t>Without the knowledge of the SCell where the beam failure happened, the network would not</w:t>
      </w:r>
      <w:r w:rsidR="00E71DB2">
        <w:rPr>
          <w:b/>
        </w:rPr>
        <w:t xml:space="preserve"> have</w:t>
      </w:r>
      <w:r w:rsidR="00514BE5" w:rsidRPr="0078751E">
        <w:rPr>
          <w:b/>
        </w:rPr>
        <w:t xml:space="preserve"> the full knowledge to take further steps until MAC CE is received. </w:t>
      </w:r>
    </w:p>
    <w:p w14:paraId="7051882E" w14:textId="34CCA2ED" w:rsidR="00514BE5" w:rsidRDefault="00514BE5" w:rsidP="005454E4">
      <w:r>
        <w:t>We understand that the SR-like PUCCH resource for each of the SCell might consume resources at the network for the P(S)Cell. However, to make the information at step 1 more effective, we propose that we inform RAN1 that the PUCCH resource can be used to represent the group of SCells.</w:t>
      </w:r>
    </w:p>
    <w:p w14:paraId="42FE3B12" w14:textId="2949D309" w:rsidR="00514BE5" w:rsidRDefault="00514BE5" w:rsidP="005454E4">
      <w:r>
        <w:t>The group can an arbitrary set of SCells (up</w:t>
      </w:r>
      <w:r w:rsidR="00E71DB2">
        <w:t xml:space="preserve"> </w:t>
      </w:r>
      <w:r>
        <w:t xml:space="preserve">to 4 for </w:t>
      </w:r>
      <w:r w:rsidR="00465E0D">
        <w:t>example</w:t>
      </w:r>
      <w:r>
        <w:t xml:space="preserve">), or can be from the same timing advance group, or a cell group, or from the same band etc. The intention is to have a group that </w:t>
      </w:r>
      <w:r w:rsidR="00465E0D">
        <w:t>w</w:t>
      </w:r>
      <w:r>
        <w:t>ould likely b</w:t>
      </w:r>
      <w:r w:rsidR="00465E0D">
        <w:t>e</w:t>
      </w:r>
      <w:r>
        <w:t xml:space="preserve"> effected similarly </w:t>
      </w:r>
      <w:r w:rsidR="00465E0D">
        <w:t xml:space="preserve">by </w:t>
      </w:r>
      <w:r>
        <w:t>a beam failure.</w:t>
      </w:r>
    </w:p>
    <w:p w14:paraId="79F83C21" w14:textId="17C88433" w:rsidR="00514BE5" w:rsidRPr="0078751E" w:rsidRDefault="00514BE5" w:rsidP="005454E4">
      <w:pPr>
        <w:rPr>
          <w:b/>
        </w:rPr>
      </w:pPr>
      <w:r w:rsidRPr="0078751E">
        <w:rPr>
          <w:b/>
        </w:rPr>
        <w:t xml:space="preserve">Proposal 1: </w:t>
      </w:r>
      <w:r w:rsidR="00B037FF" w:rsidRPr="0078751E">
        <w:rPr>
          <w:b/>
        </w:rPr>
        <w:t>Recommend to RAN1 that the SR-like dedicated PUCCH resource for BFR can represent a group of SCells and would be used by the UE to inform if any of the SCells in this group experience a beam failure</w:t>
      </w:r>
      <w:r w:rsidR="009C4753" w:rsidRPr="0078751E">
        <w:rPr>
          <w:b/>
        </w:rPr>
        <w:t>.</w:t>
      </w:r>
    </w:p>
    <w:p w14:paraId="0284572C" w14:textId="2446D15A" w:rsidR="009C4753" w:rsidRPr="0078751E" w:rsidRDefault="009C4753" w:rsidP="005454E4">
      <w:pPr>
        <w:rPr>
          <w:b/>
        </w:rPr>
      </w:pPr>
      <w:r w:rsidRPr="0078751E">
        <w:rPr>
          <w:b/>
        </w:rPr>
        <w:t xml:space="preserve">Proposal 2: Reply to RAN1 that RAN2 can </w:t>
      </w:r>
      <w:r w:rsidR="00465E0D">
        <w:rPr>
          <w:b/>
        </w:rPr>
        <w:t>specify the</w:t>
      </w:r>
      <w:r w:rsidR="00465E0D" w:rsidRPr="0078751E">
        <w:rPr>
          <w:b/>
        </w:rPr>
        <w:t xml:space="preserve"> </w:t>
      </w:r>
      <w:r w:rsidRPr="0078751E">
        <w:rPr>
          <w:b/>
        </w:rPr>
        <w:t xml:space="preserve">signalling </w:t>
      </w:r>
      <w:r w:rsidR="00465E0D">
        <w:rPr>
          <w:b/>
        </w:rPr>
        <w:t xml:space="preserve">to configure the </w:t>
      </w:r>
      <w:r w:rsidRPr="0078751E">
        <w:rPr>
          <w:b/>
        </w:rPr>
        <w:t>grouping</w:t>
      </w:r>
      <w:r w:rsidR="00465E0D">
        <w:rPr>
          <w:b/>
        </w:rPr>
        <w:t xml:space="preserve"> of the SCells. </w:t>
      </w:r>
      <w:r w:rsidRPr="0078751E">
        <w:rPr>
          <w:b/>
        </w:rPr>
        <w:t xml:space="preserve"> </w:t>
      </w:r>
    </w:p>
    <w:p w14:paraId="5B0A4064" w14:textId="77777777" w:rsidR="002071D2" w:rsidRDefault="002071D2" w:rsidP="005454E4">
      <w:r>
        <w:t>Step 2 can provide detailed information about the failure of the specific SCell, as well as any potential recovery beams. And we have enough reserved bits to create a new MAC CE with these details.</w:t>
      </w:r>
    </w:p>
    <w:p w14:paraId="16D4EC6D" w14:textId="793CE5E1" w:rsidR="002071D2" w:rsidRPr="0078751E" w:rsidRDefault="002071D2" w:rsidP="005454E4">
      <w:pPr>
        <w:rPr>
          <w:b/>
        </w:rPr>
      </w:pPr>
      <w:r w:rsidRPr="0078751E">
        <w:rPr>
          <w:b/>
        </w:rPr>
        <w:t>Propos</w:t>
      </w:r>
      <w:r w:rsidR="00324CB1" w:rsidRPr="0078751E">
        <w:rPr>
          <w:b/>
        </w:rPr>
        <w:t>al 3</w:t>
      </w:r>
      <w:r w:rsidRPr="0078751E">
        <w:rPr>
          <w:b/>
        </w:rPr>
        <w:t xml:space="preserve">: Reply to RAN1 that a new MAC CE can be used to provide detailed step 2 information </w:t>
      </w:r>
      <w:r w:rsidR="00596342">
        <w:rPr>
          <w:b/>
        </w:rPr>
        <w:t>about</w:t>
      </w:r>
      <w:r w:rsidR="00596342" w:rsidRPr="0078751E">
        <w:rPr>
          <w:b/>
        </w:rPr>
        <w:t xml:space="preserve"> </w:t>
      </w:r>
      <w:r w:rsidRPr="0078751E">
        <w:rPr>
          <w:b/>
        </w:rPr>
        <w:t>the SCell which experienced beam failure as well as the potential recovery beam.</w:t>
      </w:r>
    </w:p>
    <w:p w14:paraId="695B2CCB" w14:textId="2FEA31A5" w:rsidR="00E42349" w:rsidRDefault="009C4753" w:rsidP="00E42349">
      <w:pPr>
        <w:pStyle w:val="Heading3"/>
      </w:pPr>
      <w:r>
        <w:t>Post step 2 actions</w:t>
      </w:r>
    </w:p>
    <w:p w14:paraId="467F57A4" w14:textId="611F3EEA" w:rsidR="009C4753" w:rsidRDefault="009C4753" w:rsidP="005454E4">
      <w:r>
        <w:t xml:space="preserve">We understand that </w:t>
      </w:r>
      <w:r w:rsidR="00324CB1">
        <w:t>in P(S)Cell BFR, the UE selects the PRACH resources and RA response ends the BFR procedure. In DL-only SCells the mechanism on when and how the procedure ends needs to be discussed.</w:t>
      </w:r>
    </w:p>
    <w:p w14:paraId="1E7C0873" w14:textId="554E89B2" w:rsidR="00596342" w:rsidRDefault="00324CB1" w:rsidP="00596342">
      <w:pPr>
        <w:pStyle w:val="CommentText"/>
      </w:pPr>
      <w:r>
        <w:t xml:space="preserve">If the UE sends a MAC CE on the P(S)Cell with a potential beam, the UE should know when it should start monitoring the CORESET on the new beam. </w:t>
      </w:r>
      <w:r w:rsidR="00596342">
        <w:rPr>
          <w:rStyle w:val="CommentReference"/>
        </w:rPr>
        <w:t/>
      </w:r>
      <w:r w:rsidR="00596342" w:rsidRPr="00D002FE">
        <w:rPr>
          <w:sz w:val="22"/>
          <w:szCs w:val="22"/>
        </w:rPr>
        <w:t xml:space="preserve">There are </w:t>
      </w:r>
      <w:r w:rsidR="00596342">
        <w:rPr>
          <w:sz w:val="22"/>
          <w:szCs w:val="22"/>
        </w:rPr>
        <w:t>multiple</w:t>
      </w:r>
      <w:r w:rsidR="00596342" w:rsidRPr="00D002FE">
        <w:rPr>
          <w:sz w:val="22"/>
          <w:szCs w:val="22"/>
        </w:rPr>
        <w:t xml:space="preserve"> options on post step 2 procedures. In </w:t>
      </w:r>
      <w:r w:rsidR="00596342">
        <w:rPr>
          <w:sz w:val="22"/>
          <w:szCs w:val="22"/>
        </w:rPr>
        <w:t xml:space="preserve">one </w:t>
      </w:r>
      <w:r w:rsidR="00596342" w:rsidRPr="00D002FE">
        <w:rPr>
          <w:sz w:val="22"/>
          <w:szCs w:val="22"/>
        </w:rPr>
        <w:t xml:space="preserve">option </w:t>
      </w:r>
      <w:r w:rsidR="00E2064F">
        <w:rPr>
          <w:sz w:val="22"/>
          <w:szCs w:val="22"/>
        </w:rPr>
        <w:t xml:space="preserve">the </w:t>
      </w:r>
      <w:r w:rsidR="00596342" w:rsidRPr="00D002FE">
        <w:rPr>
          <w:sz w:val="22"/>
          <w:szCs w:val="22"/>
        </w:rPr>
        <w:t>UE ca</w:t>
      </w:r>
      <w:r w:rsidR="00596342" w:rsidRPr="00596342">
        <w:rPr>
          <w:sz w:val="22"/>
          <w:szCs w:val="22"/>
        </w:rPr>
        <w:t xml:space="preserve">n start monitoring CORESET </w:t>
      </w:r>
      <w:r w:rsidR="00596342" w:rsidRPr="00D002FE">
        <w:rPr>
          <w:sz w:val="22"/>
          <w:szCs w:val="22"/>
        </w:rPr>
        <w:t>with new QCL assumption according to new beam</w:t>
      </w:r>
      <w:r w:rsidR="00596342">
        <w:rPr>
          <w:sz w:val="22"/>
          <w:szCs w:val="22"/>
        </w:rPr>
        <w:t xml:space="preserve"> right away</w:t>
      </w:r>
      <w:r w:rsidR="00596342" w:rsidRPr="00D002FE">
        <w:rPr>
          <w:sz w:val="22"/>
          <w:szCs w:val="22"/>
        </w:rPr>
        <w:t>. It is also possible to leverage the existing PCell connections to directly activate new TCI states for SCell</w:t>
      </w:r>
      <w:r w:rsidR="00596342">
        <w:rPr>
          <w:sz w:val="22"/>
          <w:szCs w:val="22"/>
        </w:rPr>
        <w:t xml:space="preserve"> (although this would require such configuration be provided to the UE before).</w:t>
      </w:r>
    </w:p>
    <w:p w14:paraId="3F5D8449" w14:textId="304BF262" w:rsidR="00324CB1" w:rsidRDefault="00324CB1" w:rsidP="005454E4">
      <w:r>
        <w:t>We understand that this is to be decided in RAN1.</w:t>
      </w:r>
    </w:p>
    <w:p w14:paraId="01D53581" w14:textId="024323BB" w:rsidR="00324CB1" w:rsidRDefault="00324CB1" w:rsidP="005454E4">
      <w:r>
        <w:t>We also understand that for SCells which have uplink, the SCell uplink resources (for eg., PRACH) can be used to conclude the BFR procedure, however, we feel that a unified BFR procedure for the SCells would be simpler in the system and recommend that RAN1 take this into consideration.</w:t>
      </w:r>
    </w:p>
    <w:p w14:paraId="06BD78B8" w14:textId="6E1DF3BE" w:rsidR="00324CB1" w:rsidRPr="0078751E" w:rsidRDefault="00324CB1" w:rsidP="005454E4">
      <w:pPr>
        <w:rPr>
          <w:b/>
        </w:rPr>
      </w:pPr>
      <w:r w:rsidRPr="0078751E">
        <w:rPr>
          <w:b/>
        </w:rPr>
        <w:t>Proposal 4:  Reply to RAN1 that the ending of BFR procedure for DL-only SCells in case the UE finds a new beam, are expected to be done by RAN1.</w:t>
      </w:r>
    </w:p>
    <w:p w14:paraId="64BE7DBF" w14:textId="5DB7A37F" w:rsidR="00324CB1" w:rsidRPr="0078751E" w:rsidRDefault="00324CB1" w:rsidP="005454E4">
      <w:pPr>
        <w:rPr>
          <w:b/>
        </w:rPr>
      </w:pPr>
      <w:r w:rsidRPr="0078751E">
        <w:rPr>
          <w:b/>
        </w:rPr>
        <w:lastRenderedPageBreak/>
        <w:t>Proposal 5: Reply to RAN1 that RAN2 request them to design a unified BFR handling for all the SCells (the ones with and without uplink).</w:t>
      </w:r>
    </w:p>
    <w:p w14:paraId="2AE6D99F" w14:textId="77777777" w:rsidR="00FB082B" w:rsidRPr="003A28F3" w:rsidRDefault="00FB082B" w:rsidP="006D66EA">
      <w:pPr>
        <w:pStyle w:val="Heading1"/>
      </w:pPr>
      <w:r w:rsidRPr="003A28F3">
        <w:t xml:space="preserve">Conclusion and </w:t>
      </w:r>
      <w:r w:rsidRPr="006D66EA">
        <w:t>proposals</w:t>
      </w:r>
    </w:p>
    <w:p w14:paraId="7A1041DA" w14:textId="77777777" w:rsidR="00A13D45" w:rsidRPr="0078751E" w:rsidRDefault="00A13D45" w:rsidP="00A13D45">
      <w:pPr>
        <w:rPr>
          <w:b/>
        </w:rPr>
      </w:pPr>
      <w:r w:rsidRPr="0078751E">
        <w:rPr>
          <w:b/>
        </w:rPr>
        <w:t xml:space="preserve">Observation 1: Step 1 is intended to inform the NW quickly in the case there is a beam failure on SCell at the UE. </w:t>
      </w:r>
    </w:p>
    <w:p w14:paraId="5CBB2E9F" w14:textId="77777777" w:rsidR="00A13D45" w:rsidRPr="0078751E" w:rsidRDefault="00A13D45" w:rsidP="00A13D45">
      <w:pPr>
        <w:rPr>
          <w:b/>
        </w:rPr>
      </w:pPr>
      <w:r w:rsidRPr="0078751E">
        <w:rPr>
          <w:b/>
        </w:rPr>
        <w:t>Observation 2:  RAN1’s intention is to have the ID of the SCell where the beam failure happened, be sent in a MAC CE, and not have this information conveyed in step 1.</w:t>
      </w:r>
    </w:p>
    <w:p w14:paraId="2BD2C136" w14:textId="77777777" w:rsidR="00A13D45" w:rsidRPr="0078751E" w:rsidRDefault="00A13D45" w:rsidP="00A13D45">
      <w:pPr>
        <w:rPr>
          <w:b/>
        </w:rPr>
      </w:pPr>
      <w:r w:rsidRPr="0078751E">
        <w:rPr>
          <w:b/>
        </w:rPr>
        <w:t>Observation 3: Without the knowledge of the SCell where the beam failure happened, the network would not</w:t>
      </w:r>
      <w:r>
        <w:rPr>
          <w:b/>
        </w:rPr>
        <w:t xml:space="preserve"> have</w:t>
      </w:r>
      <w:r w:rsidRPr="0078751E">
        <w:rPr>
          <w:b/>
        </w:rPr>
        <w:t xml:space="preserve"> the full knowledge to take further steps until MAC CE is received. </w:t>
      </w:r>
    </w:p>
    <w:p w14:paraId="7CA95CC1" w14:textId="77777777" w:rsidR="00A13D45" w:rsidRPr="0078751E" w:rsidRDefault="00A13D45" w:rsidP="00A13D45">
      <w:pPr>
        <w:rPr>
          <w:b/>
        </w:rPr>
      </w:pPr>
      <w:r w:rsidRPr="0078751E">
        <w:rPr>
          <w:b/>
        </w:rPr>
        <w:t>Proposal 1: Recommend to RAN1 that the SR-like dedicated PUCCH resource for BFR can represent a group of SCells and would be used by the UE to inform if any of the SCells in this group experience a beam failure.</w:t>
      </w:r>
    </w:p>
    <w:p w14:paraId="08584EA7" w14:textId="7E582DE3" w:rsidR="00A13D45" w:rsidRPr="0078751E" w:rsidRDefault="00A13D45" w:rsidP="00A13D45">
      <w:pPr>
        <w:rPr>
          <w:b/>
        </w:rPr>
      </w:pPr>
      <w:r w:rsidRPr="0078751E">
        <w:rPr>
          <w:b/>
        </w:rPr>
        <w:t xml:space="preserve">Proposal 2: Reply to RAN1 that RAN2 can </w:t>
      </w:r>
      <w:r>
        <w:rPr>
          <w:b/>
        </w:rPr>
        <w:t>specify the</w:t>
      </w:r>
      <w:r w:rsidRPr="0078751E">
        <w:rPr>
          <w:b/>
        </w:rPr>
        <w:t xml:space="preserve"> signalling </w:t>
      </w:r>
      <w:r>
        <w:rPr>
          <w:b/>
        </w:rPr>
        <w:t xml:space="preserve">to configure the </w:t>
      </w:r>
      <w:r w:rsidRPr="0078751E">
        <w:rPr>
          <w:b/>
        </w:rPr>
        <w:t>grouping</w:t>
      </w:r>
      <w:r>
        <w:rPr>
          <w:b/>
        </w:rPr>
        <w:t xml:space="preserve"> of the SCells. </w:t>
      </w:r>
      <w:r w:rsidRPr="0078751E">
        <w:rPr>
          <w:b/>
        </w:rPr>
        <w:t xml:space="preserve"> </w:t>
      </w:r>
    </w:p>
    <w:p w14:paraId="045F1552" w14:textId="0323EEBF" w:rsidR="00A13D45" w:rsidRPr="0078751E" w:rsidRDefault="00A13D45" w:rsidP="00A13D45">
      <w:pPr>
        <w:rPr>
          <w:b/>
        </w:rPr>
      </w:pPr>
      <w:r w:rsidRPr="0078751E">
        <w:rPr>
          <w:b/>
        </w:rPr>
        <w:t xml:space="preserve">Proposal 3: Reply to RAN1 that a new MAC CE can be used to provide detailed step 2 information </w:t>
      </w:r>
      <w:r>
        <w:rPr>
          <w:b/>
        </w:rPr>
        <w:t>about</w:t>
      </w:r>
      <w:r w:rsidRPr="0078751E">
        <w:rPr>
          <w:b/>
        </w:rPr>
        <w:t xml:space="preserve"> the SCell which experienced beam failure as well as the potential recovery beam.</w:t>
      </w:r>
    </w:p>
    <w:p w14:paraId="78DD9F2E" w14:textId="7CDB8DED" w:rsidR="00A13D45" w:rsidRPr="0078751E" w:rsidRDefault="00A13D45" w:rsidP="00A13D45">
      <w:pPr>
        <w:rPr>
          <w:b/>
        </w:rPr>
      </w:pPr>
      <w:r w:rsidRPr="0078751E">
        <w:rPr>
          <w:b/>
        </w:rPr>
        <w:t>Proposal 4:  Reply to RAN1 that the ending of BFR procedure for DL-only SCells in case the UE finds a new beam, are expected to be done by RAN1.</w:t>
      </w:r>
    </w:p>
    <w:p w14:paraId="69309EB2" w14:textId="77777777" w:rsidR="00A13D45" w:rsidRPr="0078751E" w:rsidRDefault="00A13D45" w:rsidP="00A13D45">
      <w:pPr>
        <w:rPr>
          <w:b/>
        </w:rPr>
      </w:pPr>
      <w:r w:rsidRPr="0078751E">
        <w:rPr>
          <w:b/>
        </w:rPr>
        <w:t>Proposal 5: Reply to RAN1 that RAN2 request them to design a unified BFR handling for all the SCells (the ones with and without uplink).</w:t>
      </w:r>
    </w:p>
    <w:p w14:paraId="3AEFEB48" w14:textId="77777777" w:rsidR="00B83D17" w:rsidRDefault="00B83D17" w:rsidP="00B83D17">
      <w:pPr>
        <w:rPr>
          <w:b/>
        </w:rPr>
      </w:pPr>
    </w:p>
    <w:p w14:paraId="5BE458C7" w14:textId="37734E26" w:rsidR="0078751E" w:rsidRPr="003A28F3" w:rsidRDefault="0078751E" w:rsidP="0078751E">
      <w:pPr>
        <w:pStyle w:val="Heading1"/>
      </w:pPr>
      <w:r>
        <w:t>References</w:t>
      </w:r>
    </w:p>
    <w:p w14:paraId="1F171D02" w14:textId="44C8853D" w:rsidR="00B83D17" w:rsidRPr="00044FAB" w:rsidRDefault="0078751E" w:rsidP="00B83D17">
      <w:pPr>
        <w:rPr>
          <w:b/>
        </w:rPr>
      </w:pPr>
      <w:r w:rsidRPr="00ED4707">
        <w:t>[1] R2-190</w:t>
      </w:r>
      <w:r w:rsidR="00ED4707" w:rsidRPr="00ED4707">
        <w:t>8484</w:t>
      </w:r>
      <w:r>
        <w:rPr>
          <w:b/>
        </w:rPr>
        <w:t xml:space="preserve"> E</w:t>
      </w:r>
      <w:r>
        <w:t>xtension of BFR procedure to SCell</w:t>
      </w:r>
    </w:p>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A1B83C" w16cid:durableId="204520DB"/>
  <w16cid:commentId w16cid:paraId="2C94C24D" w16cid:durableId="2045210C"/>
  <w16cid:commentId w16cid:paraId="765A622A" w16cid:durableId="2045212E"/>
  <w16cid:commentId w16cid:paraId="5EEAB623" w16cid:durableId="204732F2"/>
  <w16cid:commentId w16cid:paraId="143E0B32" w16cid:durableId="20452141"/>
  <w16cid:commentId w16cid:paraId="50428F92" w16cid:durableId="20473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F6619" w14:textId="77777777" w:rsidR="00090770" w:rsidRDefault="00090770" w:rsidP="00DF7110">
      <w:pPr>
        <w:spacing w:after="0" w:line="240" w:lineRule="auto"/>
      </w:pPr>
      <w:r>
        <w:separator/>
      </w:r>
    </w:p>
  </w:endnote>
  <w:endnote w:type="continuationSeparator" w:id="0">
    <w:p w14:paraId="2CAF1CF7" w14:textId="77777777" w:rsidR="00090770" w:rsidRDefault="00090770" w:rsidP="00DF7110">
      <w:pPr>
        <w:spacing w:after="0" w:line="240" w:lineRule="auto"/>
      </w:pPr>
      <w:r>
        <w:continuationSeparator/>
      </w:r>
    </w:p>
  </w:endnote>
  <w:endnote w:type="continuationNotice" w:id="1">
    <w:p w14:paraId="1FA22C7A" w14:textId="77777777" w:rsidR="00090770" w:rsidRDefault="000907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053F5" w14:textId="77777777" w:rsidR="00090770" w:rsidRDefault="00090770" w:rsidP="00DF7110">
      <w:pPr>
        <w:spacing w:after="0" w:line="240" w:lineRule="auto"/>
      </w:pPr>
      <w:r>
        <w:separator/>
      </w:r>
    </w:p>
  </w:footnote>
  <w:footnote w:type="continuationSeparator" w:id="0">
    <w:p w14:paraId="05A75135" w14:textId="77777777" w:rsidR="00090770" w:rsidRDefault="00090770" w:rsidP="00DF7110">
      <w:pPr>
        <w:spacing w:after="0" w:line="240" w:lineRule="auto"/>
      </w:pPr>
      <w:r>
        <w:continuationSeparator/>
      </w:r>
    </w:p>
  </w:footnote>
  <w:footnote w:type="continuationNotice" w:id="1">
    <w:p w14:paraId="6A7F09D5" w14:textId="77777777" w:rsidR="00090770" w:rsidRDefault="0009077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0A9"/>
    <w:rsid w:val="00033C3E"/>
    <w:rsid w:val="00034A19"/>
    <w:rsid w:val="00035239"/>
    <w:rsid w:val="0003548E"/>
    <w:rsid w:val="00035A0E"/>
    <w:rsid w:val="00035C44"/>
    <w:rsid w:val="0004213C"/>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770"/>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C25"/>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5BF"/>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56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0AB"/>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2674"/>
    <w:rsid w:val="002037E4"/>
    <w:rsid w:val="002047AB"/>
    <w:rsid w:val="00204990"/>
    <w:rsid w:val="00205FF3"/>
    <w:rsid w:val="0020695B"/>
    <w:rsid w:val="00206BC5"/>
    <w:rsid w:val="002071D2"/>
    <w:rsid w:val="0020793F"/>
    <w:rsid w:val="00207C8F"/>
    <w:rsid w:val="00211121"/>
    <w:rsid w:val="00211898"/>
    <w:rsid w:val="00211BE2"/>
    <w:rsid w:val="0021388D"/>
    <w:rsid w:val="00213A2B"/>
    <w:rsid w:val="00214155"/>
    <w:rsid w:val="00214DA0"/>
    <w:rsid w:val="00215A25"/>
    <w:rsid w:val="00215B7B"/>
    <w:rsid w:val="00215D01"/>
    <w:rsid w:val="002163FB"/>
    <w:rsid w:val="0021693F"/>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5920"/>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436A"/>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0E16"/>
    <w:rsid w:val="003210EC"/>
    <w:rsid w:val="0032134E"/>
    <w:rsid w:val="00322459"/>
    <w:rsid w:val="0032260A"/>
    <w:rsid w:val="00324CB1"/>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31DB"/>
    <w:rsid w:val="0035422F"/>
    <w:rsid w:val="003563F8"/>
    <w:rsid w:val="00356420"/>
    <w:rsid w:val="0035643F"/>
    <w:rsid w:val="00356941"/>
    <w:rsid w:val="003601E5"/>
    <w:rsid w:val="003618AB"/>
    <w:rsid w:val="003629C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177"/>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146"/>
    <w:rsid w:val="003F65B5"/>
    <w:rsid w:val="003F72CE"/>
    <w:rsid w:val="003F7B2C"/>
    <w:rsid w:val="00400B33"/>
    <w:rsid w:val="00400DFD"/>
    <w:rsid w:val="00403643"/>
    <w:rsid w:val="00407640"/>
    <w:rsid w:val="00407B1F"/>
    <w:rsid w:val="00407CFD"/>
    <w:rsid w:val="0041071E"/>
    <w:rsid w:val="00411406"/>
    <w:rsid w:val="00411C95"/>
    <w:rsid w:val="00412224"/>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50A"/>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5E0D"/>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09E"/>
    <w:rsid w:val="004A4311"/>
    <w:rsid w:val="004A52F4"/>
    <w:rsid w:val="004A5A97"/>
    <w:rsid w:val="004A6457"/>
    <w:rsid w:val="004A6822"/>
    <w:rsid w:val="004A7411"/>
    <w:rsid w:val="004B0AE6"/>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186"/>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5E98"/>
    <w:rsid w:val="00506276"/>
    <w:rsid w:val="00506880"/>
    <w:rsid w:val="00507F1C"/>
    <w:rsid w:val="00511DDC"/>
    <w:rsid w:val="005128E6"/>
    <w:rsid w:val="00512F80"/>
    <w:rsid w:val="00513EE2"/>
    <w:rsid w:val="005145C5"/>
    <w:rsid w:val="00514BE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54E4"/>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5635"/>
    <w:rsid w:val="0057680F"/>
    <w:rsid w:val="005768D7"/>
    <w:rsid w:val="00577492"/>
    <w:rsid w:val="00580438"/>
    <w:rsid w:val="005818CE"/>
    <w:rsid w:val="00581967"/>
    <w:rsid w:val="00582E32"/>
    <w:rsid w:val="0058431E"/>
    <w:rsid w:val="005855C7"/>
    <w:rsid w:val="00585B50"/>
    <w:rsid w:val="00585B65"/>
    <w:rsid w:val="00586287"/>
    <w:rsid w:val="00590137"/>
    <w:rsid w:val="00590694"/>
    <w:rsid w:val="00590DDE"/>
    <w:rsid w:val="005922E7"/>
    <w:rsid w:val="0059294B"/>
    <w:rsid w:val="00593E32"/>
    <w:rsid w:val="00596342"/>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3956"/>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2A61"/>
    <w:rsid w:val="006A345F"/>
    <w:rsid w:val="006A3D67"/>
    <w:rsid w:val="006A50E6"/>
    <w:rsid w:val="006A52FF"/>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4FA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06775"/>
    <w:rsid w:val="00711251"/>
    <w:rsid w:val="00711BF7"/>
    <w:rsid w:val="00714E6C"/>
    <w:rsid w:val="0071529D"/>
    <w:rsid w:val="007152DF"/>
    <w:rsid w:val="0071661B"/>
    <w:rsid w:val="0071663A"/>
    <w:rsid w:val="007167FD"/>
    <w:rsid w:val="00717D7D"/>
    <w:rsid w:val="00720051"/>
    <w:rsid w:val="00720409"/>
    <w:rsid w:val="007206B0"/>
    <w:rsid w:val="00720F5E"/>
    <w:rsid w:val="00721210"/>
    <w:rsid w:val="0072146B"/>
    <w:rsid w:val="00722243"/>
    <w:rsid w:val="007224DA"/>
    <w:rsid w:val="007225E0"/>
    <w:rsid w:val="00722E48"/>
    <w:rsid w:val="00724710"/>
    <w:rsid w:val="00725B35"/>
    <w:rsid w:val="007268B0"/>
    <w:rsid w:val="00727A3A"/>
    <w:rsid w:val="00730368"/>
    <w:rsid w:val="007304C1"/>
    <w:rsid w:val="0073346C"/>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55D5"/>
    <w:rsid w:val="00776F5F"/>
    <w:rsid w:val="00777CC7"/>
    <w:rsid w:val="00780E29"/>
    <w:rsid w:val="0078185F"/>
    <w:rsid w:val="007820F7"/>
    <w:rsid w:val="00782905"/>
    <w:rsid w:val="00783CAF"/>
    <w:rsid w:val="007844A1"/>
    <w:rsid w:val="00784A45"/>
    <w:rsid w:val="00784D05"/>
    <w:rsid w:val="007850FC"/>
    <w:rsid w:val="007851E4"/>
    <w:rsid w:val="00785A29"/>
    <w:rsid w:val="00786595"/>
    <w:rsid w:val="0078751E"/>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6CC2"/>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E79CF"/>
    <w:rsid w:val="008F0FD3"/>
    <w:rsid w:val="008F1923"/>
    <w:rsid w:val="008F1BF2"/>
    <w:rsid w:val="008F235D"/>
    <w:rsid w:val="008F2B4B"/>
    <w:rsid w:val="008F3876"/>
    <w:rsid w:val="008F3B2E"/>
    <w:rsid w:val="008F4925"/>
    <w:rsid w:val="008F5091"/>
    <w:rsid w:val="008F51AB"/>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10F"/>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1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11C"/>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4753"/>
    <w:rsid w:val="009C57F4"/>
    <w:rsid w:val="009C5833"/>
    <w:rsid w:val="009C6049"/>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4D98"/>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3D45"/>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2E6A"/>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692"/>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D38"/>
    <w:rsid w:val="00AA432E"/>
    <w:rsid w:val="00AA5338"/>
    <w:rsid w:val="00AA58A5"/>
    <w:rsid w:val="00AA5C53"/>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68F"/>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7FF"/>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194B"/>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57B0D"/>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8ED"/>
    <w:rsid w:val="00B80A3D"/>
    <w:rsid w:val="00B80AB0"/>
    <w:rsid w:val="00B80E60"/>
    <w:rsid w:val="00B814F7"/>
    <w:rsid w:val="00B818C2"/>
    <w:rsid w:val="00B8268B"/>
    <w:rsid w:val="00B830DA"/>
    <w:rsid w:val="00B83957"/>
    <w:rsid w:val="00B83D1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9A0"/>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5ED0"/>
    <w:rsid w:val="00C76796"/>
    <w:rsid w:val="00C7767C"/>
    <w:rsid w:val="00C778C1"/>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2FE"/>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2DD4"/>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1E9F"/>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87A"/>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171E9"/>
    <w:rsid w:val="00E2064F"/>
    <w:rsid w:val="00E21E40"/>
    <w:rsid w:val="00E24D86"/>
    <w:rsid w:val="00E2584D"/>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349"/>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DB2"/>
    <w:rsid w:val="00E71E28"/>
    <w:rsid w:val="00E73F62"/>
    <w:rsid w:val="00E74072"/>
    <w:rsid w:val="00E74607"/>
    <w:rsid w:val="00E74753"/>
    <w:rsid w:val="00E747AF"/>
    <w:rsid w:val="00E74B43"/>
    <w:rsid w:val="00E75AAE"/>
    <w:rsid w:val="00E7615D"/>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707"/>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630A"/>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46B5"/>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table" w:styleId="TableGrid">
    <w:name w:val="Table Grid"/>
    <w:basedOn w:val="TableNormal"/>
    <w:uiPriority w:val="39"/>
    <w:rsid w:val="004D1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2926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3C8B.B3637CA0"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284259-A215-40FE-A968-C95694525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1072</Words>
  <Characters>4825</Characters>
  <Application>Microsoft Office Word</Application>
  <DocSecurity>0</DocSecurity>
  <Lines>92</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3</cp:revision>
  <dcterms:created xsi:type="dcterms:W3CDTF">2019-08-15T21:17:00Z</dcterms:created>
  <dcterms:modified xsi:type="dcterms:W3CDTF">2019-08-15T21:17:00Z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28e3deb3-f755-4708-9bb1-9c5b399b3170</vt:lpwstr>
  </property>
  <property fmtid="{D5CDD505-2E9C-101B-9397-08002B2CF9AE}" pid="3" name="CTP_BU">
    <vt:lpwstr>NEXT GEN &amp; STANDARDS GROUP</vt:lpwstr>
  </property>
  <property fmtid="{D5CDD505-2E9C-101B-9397-08002B2CF9AE}" pid="4" name="CTP_TimeStamp">
    <vt:lpwstr>2019-08-15 21:17:36Z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