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B33E6" w14:textId="2D49541E" w:rsidR="005F6D54" w:rsidRPr="00E807F1" w:rsidRDefault="003E72C2"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#107</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-19</w:t>
      </w:r>
      <w:r w:rsidR="00DD6BE0">
        <w:rPr>
          <w:rFonts w:ascii="Arial" w:eastAsia="Batang" w:hAnsi="Arial" w:cs="Arial"/>
          <w:b/>
          <w:bCs/>
          <w:sz w:val="24"/>
          <w:szCs w:val="24"/>
        </w:rPr>
        <w:t>0</w:t>
      </w:r>
      <w:r w:rsidR="00667FC5">
        <w:rPr>
          <w:rFonts w:ascii="Arial" w:eastAsia="Batang" w:hAnsi="Arial" w:cs="Arial"/>
          <w:b/>
          <w:bCs/>
          <w:sz w:val="24"/>
          <w:szCs w:val="24"/>
        </w:rPr>
        <w:t>9568</w:t>
      </w:r>
    </w:p>
    <w:p w14:paraId="7B12D47F" w14:textId="1535E8E7" w:rsidR="005F6D54" w:rsidRDefault="003E72C2"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Prague, Czech, 20</w:t>
      </w:r>
      <w:r w:rsidR="005F6D54" w:rsidRPr="00E807F1">
        <w:rPr>
          <w:rFonts w:ascii="Arial" w:eastAsia="Batang" w:hAnsi="Arial" w:cs="Arial"/>
          <w:b/>
          <w:bCs/>
          <w:sz w:val="24"/>
          <w:szCs w:val="24"/>
        </w:rPr>
        <w:t xml:space="preserve">– </w:t>
      </w:r>
      <w:r>
        <w:rPr>
          <w:rFonts w:ascii="Arial" w:eastAsia="Batang" w:hAnsi="Arial" w:cs="Arial"/>
          <w:b/>
          <w:bCs/>
          <w:sz w:val="24"/>
          <w:szCs w:val="24"/>
        </w:rPr>
        <w:t>23</w:t>
      </w:r>
      <w:r w:rsidR="00A75607" w:rsidRPr="00A75607">
        <w:rPr>
          <w:rFonts w:ascii="Arial" w:eastAsia="Batang" w:hAnsi="Arial" w:cs="Arial"/>
          <w:b/>
          <w:bCs/>
          <w:sz w:val="24"/>
          <w:szCs w:val="24"/>
          <w:vertAlign w:val="superscript"/>
        </w:rPr>
        <w:t>th</w:t>
      </w:r>
      <w:r>
        <w:rPr>
          <w:rFonts w:ascii="Arial" w:eastAsia="Batang" w:hAnsi="Arial" w:cs="Arial"/>
          <w:b/>
          <w:bCs/>
          <w:sz w:val="24"/>
          <w:szCs w:val="24"/>
        </w:rPr>
        <w:t xml:space="preserve"> August</w:t>
      </w:r>
      <w:r w:rsidR="005F6D54" w:rsidRPr="00E807F1">
        <w:rPr>
          <w:rFonts w:ascii="Arial" w:eastAsia="Batang" w:hAnsi="Arial" w:cs="Arial"/>
          <w:b/>
          <w:bCs/>
          <w:sz w:val="24"/>
          <w:szCs w:val="24"/>
        </w:rPr>
        <w:t>,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5CC0AA7"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3E72C2">
        <w:rPr>
          <w:rFonts w:ascii="Arial" w:hAnsi="Arial" w:cs="Arial"/>
          <w:b/>
          <w:sz w:val="24"/>
          <w:szCs w:val="24"/>
        </w:rPr>
        <w:t xml:space="preserve">Further consideration of </w:t>
      </w:r>
      <w:r w:rsidR="006852C0">
        <w:rPr>
          <w:rFonts w:ascii="Arial" w:hAnsi="Arial" w:cs="Arial"/>
          <w:b/>
          <w:sz w:val="24"/>
          <w:szCs w:val="24"/>
        </w:rPr>
        <w:t>MsgB design and reception when C-RNTI is included in MsgA</w:t>
      </w:r>
      <w:r w:rsidR="00A67F51">
        <w:rPr>
          <w:rFonts w:ascii="Arial" w:hAnsi="Arial" w:cs="Arial"/>
          <w:b/>
          <w:sz w:val="24"/>
          <w:szCs w:val="24"/>
        </w:rPr>
        <w:t xml:space="preserve"> </w:t>
      </w:r>
    </w:p>
    <w:p w14:paraId="6AC8B0BF" w14:textId="16D21D3C"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593D24">
        <w:rPr>
          <w:rFonts w:ascii="Arial" w:hAnsi="Arial" w:cs="Arial"/>
          <w:b/>
          <w:sz w:val="24"/>
          <w:szCs w:val="24"/>
        </w:rPr>
        <w:t>11.13</w:t>
      </w:r>
      <w:r w:rsidR="00E75C1E">
        <w:rPr>
          <w:rFonts w:ascii="Arial" w:hAnsi="Arial" w:cs="Arial"/>
          <w:b/>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F0C01A2" w14:textId="77777777" w:rsidR="003E72C2" w:rsidRDefault="003E72C2" w:rsidP="003343DD">
      <w:pPr>
        <w:rPr>
          <w:lang w:eastAsia="zh-CN"/>
        </w:rPr>
      </w:pPr>
      <w:r>
        <w:rPr>
          <w:lang w:eastAsia="zh-CN"/>
        </w:rPr>
        <w:t>In the last meeting, RAN2 agreed to the following on fallback to 4-step RACH:</w:t>
      </w:r>
    </w:p>
    <w:p w14:paraId="35CC5D69" w14:textId="77777777" w:rsidR="00C43A38" w:rsidRPr="006852C0" w:rsidRDefault="004A25BB" w:rsidP="006852C0">
      <w:pPr>
        <w:numPr>
          <w:ilvl w:val="0"/>
          <w:numId w:val="34"/>
        </w:numPr>
        <w:spacing w:after="0"/>
        <w:rPr>
          <w:rFonts w:eastAsiaTheme="minorEastAsia"/>
          <w:bCs/>
          <w:kern w:val="24"/>
          <w:lang w:val="en-GB" w:eastAsia="zh-CN"/>
        </w:rPr>
      </w:pPr>
      <w:r w:rsidRPr="006852C0">
        <w:rPr>
          <w:rFonts w:eastAsiaTheme="minorEastAsia"/>
          <w:bCs/>
          <w:kern w:val="24"/>
          <w:lang w:val="en-GB" w:eastAsia="zh-CN"/>
        </w:rPr>
        <w:t xml:space="preserve">The UE shall monitor the PDCCH addressed to C-RNTI for success response and msgB-RNTI (e.g. RA-RNTI or new RNTI) </w:t>
      </w:r>
    </w:p>
    <w:p w14:paraId="7C285EFB" w14:textId="77777777" w:rsidR="00C43A38" w:rsidRPr="006852C0" w:rsidRDefault="004A25BB" w:rsidP="006852C0">
      <w:pPr>
        <w:numPr>
          <w:ilvl w:val="0"/>
          <w:numId w:val="34"/>
        </w:numPr>
        <w:spacing w:after="0"/>
        <w:rPr>
          <w:rFonts w:eastAsiaTheme="minorEastAsia"/>
          <w:bCs/>
          <w:kern w:val="24"/>
          <w:lang w:val="en-GB" w:eastAsia="zh-CN"/>
        </w:rPr>
      </w:pPr>
      <w:r w:rsidRPr="006852C0">
        <w:rPr>
          <w:rFonts w:eastAsiaTheme="minorEastAsia"/>
          <w:bCs/>
          <w:kern w:val="24"/>
          <w:lang w:val="en-GB" w:eastAsia="zh-CN"/>
        </w:rPr>
        <w:t>Contention resolution:</w:t>
      </w:r>
    </w:p>
    <w:p w14:paraId="33D0BB38" w14:textId="77777777" w:rsidR="00C43A38" w:rsidRPr="006852C0" w:rsidRDefault="004A25BB" w:rsidP="006852C0">
      <w:pPr>
        <w:numPr>
          <w:ilvl w:val="1"/>
          <w:numId w:val="34"/>
        </w:numPr>
        <w:spacing w:after="0"/>
        <w:rPr>
          <w:rFonts w:eastAsiaTheme="minorEastAsia"/>
          <w:bCs/>
          <w:kern w:val="24"/>
          <w:lang w:val="en-GB" w:eastAsia="zh-CN"/>
        </w:rPr>
      </w:pPr>
      <w:r w:rsidRPr="006852C0">
        <w:rPr>
          <w:rFonts w:eastAsiaTheme="minorEastAsia"/>
          <w:bCs/>
          <w:kern w:val="24"/>
          <w:lang w:val="en-GB" w:eastAsia="zh-CN"/>
        </w:rPr>
        <w:t>If the PDU PDCCH addressed to the C-RNTI (i.e. C-RNTI included in MsgA) containing the 12 bit TA command is received, the UE should consider the contention resolution to be successful and stop the reception of MsgB or with UL grant if the UE is synchronized already.</w:t>
      </w:r>
    </w:p>
    <w:p w14:paraId="69AB2CE1" w14:textId="77777777" w:rsidR="00C43A38" w:rsidRPr="006852C0" w:rsidRDefault="004A25BB" w:rsidP="006852C0">
      <w:pPr>
        <w:numPr>
          <w:ilvl w:val="1"/>
          <w:numId w:val="34"/>
        </w:numPr>
        <w:spacing w:after="0"/>
        <w:rPr>
          <w:rFonts w:eastAsiaTheme="minorEastAsia"/>
          <w:bCs/>
          <w:kern w:val="24"/>
          <w:lang w:val="en-GB" w:eastAsia="zh-CN"/>
        </w:rPr>
      </w:pPr>
      <w:r w:rsidRPr="006852C0">
        <w:rPr>
          <w:rFonts w:eastAsiaTheme="minorEastAsia"/>
          <w:bCs/>
          <w:kern w:val="24"/>
          <w:lang w:val="en-GB" w:eastAsia="zh-CN"/>
        </w:rPr>
        <w:t>If the corresponding fallback RAR is detected, the UE should stop the monitoring of PDCCH addressed to the corresponding C-RNTI for success response and process the fallback operation accordingly.</w:t>
      </w:r>
    </w:p>
    <w:p w14:paraId="66E5B643" w14:textId="77777777" w:rsidR="00C43A38" w:rsidRPr="006852C0" w:rsidRDefault="004A25BB" w:rsidP="006852C0">
      <w:pPr>
        <w:numPr>
          <w:ilvl w:val="1"/>
          <w:numId w:val="34"/>
        </w:numPr>
        <w:spacing w:after="0"/>
        <w:rPr>
          <w:rFonts w:eastAsiaTheme="minorEastAsia"/>
          <w:bCs/>
          <w:kern w:val="24"/>
          <w:lang w:val="en-GB" w:eastAsia="zh-CN"/>
        </w:rPr>
      </w:pPr>
      <w:r w:rsidRPr="006852C0">
        <w:rPr>
          <w:rFonts w:eastAsiaTheme="minorEastAsia"/>
          <w:bCs/>
          <w:kern w:val="24"/>
          <w:lang w:val="en-GB" w:eastAsia="zh-CN"/>
        </w:rPr>
        <w:t>If neither corresponding fallback RAR nor PDCCH addressed C-RNTI is detected within the response window, the UE should consider the msgA attempt failed and do back off operation based on the backoff indicator if received in MsgB.</w:t>
      </w:r>
    </w:p>
    <w:p w14:paraId="158E1237" w14:textId="77777777" w:rsidR="00C43A38" w:rsidRPr="006852C0" w:rsidRDefault="004A25BB" w:rsidP="006852C0">
      <w:pPr>
        <w:numPr>
          <w:ilvl w:val="1"/>
          <w:numId w:val="34"/>
        </w:numPr>
        <w:spacing w:after="0"/>
        <w:rPr>
          <w:rFonts w:eastAsiaTheme="minorEastAsia"/>
          <w:bCs/>
          <w:kern w:val="24"/>
          <w:lang w:val="en-GB" w:eastAsia="zh-CN"/>
        </w:rPr>
      </w:pPr>
      <w:r w:rsidRPr="006852C0">
        <w:rPr>
          <w:rFonts w:eastAsiaTheme="minorEastAsia"/>
          <w:bCs/>
          <w:kern w:val="24"/>
          <w:lang w:val="en-GB" w:eastAsia="zh-CN"/>
        </w:rPr>
        <w:t>FFS if a new MAC CE with 12bits Timing Advanced Command shall be introduced</w:t>
      </w:r>
    </w:p>
    <w:p w14:paraId="133A33D5" w14:textId="77777777" w:rsidR="005874A9" w:rsidRDefault="005874A9" w:rsidP="005874A9">
      <w:pPr>
        <w:spacing w:after="0"/>
        <w:rPr>
          <w:lang w:val="en-GB" w:eastAsia="zh-CN"/>
        </w:rPr>
      </w:pPr>
    </w:p>
    <w:p w14:paraId="064C8E72" w14:textId="77777777" w:rsidR="005874A9" w:rsidRDefault="003343DD" w:rsidP="005874A9">
      <w:pPr>
        <w:rPr>
          <w:lang w:val="en-GB" w:eastAsia="zh-CN"/>
        </w:rPr>
      </w:pPr>
      <w:r>
        <w:rPr>
          <w:lang w:val="en-GB" w:eastAsia="zh-CN"/>
        </w:rPr>
        <w:t>In this contribution, the following points are further discussed:</w:t>
      </w:r>
    </w:p>
    <w:p w14:paraId="7FD70C16" w14:textId="77777777" w:rsidR="006852C0" w:rsidRDefault="006852C0" w:rsidP="006852C0">
      <w:pPr>
        <w:numPr>
          <w:ilvl w:val="0"/>
          <w:numId w:val="34"/>
        </w:numPr>
        <w:spacing w:after="0"/>
        <w:rPr>
          <w:rFonts w:eastAsiaTheme="minorEastAsia"/>
          <w:bCs/>
          <w:kern w:val="24"/>
          <w:lang w:val="en-GB" w:eastAsia="zh-CN"/>
        </w:rPr>
      </w:pPr>
      <w:r w:rsidRPr="006852C0">
        <w:rPr>
          <w:rFonts w:eastAsiaTheme="minorEastAsia"/>
          <w:bCs/>
          <w:kern w:val="24"/>
          <w:lang w:val="en-GB" w:eastAsia="zh-CN"/>
        </w:rPr>
        <w:t>FFS if a new MAC CE with 12bits Timing Advanced Command shall be introduced</w:t>
      </w:r>
    </w:p>
    <w:p w14:paraId="77F7A2DF" w14:textId="49DBA5D7" w:rsidR="006852C0" w:rsidRPr="006852C0" w:rsidRDefault="006852C0" w:rsidP="006852C0">
      <w:pPr>
        <w:numPr>
          <w:ilvl w:val="0"/>
          <w:numId w:val="34"/>
        </w:numPr>
        <w:spacing w:after="0"/>
        <w:rPr>
          <w:rFonts w:eastAsiaTheme="minorEastAsia"/>
          <w:bCs/>
          <w:kern w:val="24"/>
          <w:lang w:val="en-GB" w:eastAsia="zh-CN"/>
        </w:rPr>
      </w:pPr>
      <w:r>
        <w:rPr>
          <w:rFonts w:eastAsiaTheme="minorEastAsia"/>
          <w:bCs/>
          <w:kern w:val="24"/>
          <w:lang w:val="en-GB" w:eastAsia="zh-CN"/>
        </w:rPr>
        <w:t xml:space="preserve">HARQ </w:t>
      </w:r>
      <w:r w:rsidR="004C2DC7">
        <w:rPr>
          <w:rFonts w:eastAsiaTheme="minorEastAsia"/>
          <w:bCs/>
          <w:kern w:val="24"/>
          <w:lang w:val="en-GB" w:eastAsia="zh-CN"/>
        </w:rPr>
        <w:t>feedback for MsgB</w:t>
      </w:r>
    </w:p>
    <w:p w14:paraId="37BF4671" w14:textId="77777777" w:rsidR="003343DD" w:rsidRPr="003E72C2" w:rsidRDefault="003343DD" w:rsidP="003343DD">
      <w:pPr>
        <w:rPr>
          <w:lang w:val="en-GB" w:eastAsia="zh-CN"/>
        </w:rPr>
      </w:pPr>
    </w:p>
    <w:p w14:paraId="5B871847" w14:textId="0EFF34C6" w:rsidR="008533E7" w:rsidRDefault="00E5725C" w:rsidP="008533E7">
      <w:pPr>
        <w:pStyle w:val="Heading1"/>
      </w:pPr>
      <w:r>
        <w:t>How to introduce 12-bit TAC in MsgB when C-RNTI is included in MsgA</w:t>
      </w:r>
    </w:p>
    <w:p w14:paraId="42585D25" w14:textId="24D9F836" w:rsidR="0089471C" w:rsidRDefault="00E5725C" w:rsidP="005B7EC0">
      <w:pPr>
        <w:spacing w:before="120"/>
        <w:rPr>
          <w:lang w:val="en-GB" w:eastAsia="zh-CN"/>
        </w:rPr>
      </w:pPr>
      <w:r>
        <w:rPr>
          <w:lang w:val="en-GB" w:eastAsia="zh-CN"/>
        </w:rPr>
        <w:t>If UE does not have a valid TA, it is agreed that network needs to provide a 12-</w:t>
      </w:r>
      <w:r w:rsidR="00AD0BA5">
        <w:rPr>
          <w:lang w:val="en-GB" w:eastAsia="zh-CN"/>
        </w:rPr>
        <w:t>bit T</w:t>
      </w:r>
      <w:r>
        <w:rPr>
          <w:lang w:val="en-GB" w:eastAsia="zh-CN"/>
        </w:rPr>
        <w:t>A command to the UE</w:t>
      </w:r>
      <w:r w:rsidR="00AD0BA5">
        <w:rPr>
          <w:lang w:val="en-GB" w:eastAsia="zh-CN"/>
        </w:rPr>
        <w:t xml:space="preserve"> in the response to MsgA. However, it is FFS on how the 12-bit TAC can be provided. One simple way which aligns with the current convention is to introduce a new MAC CE with 12-bits TAC. Alternatively, if UE does not have a valid TA, </w:t>
      </w:r>
      <w:r w:rsidR="009620E4">
        <w:rPr>
          <w:lang w:val="en-GB" w:eastAsia="zh-CN"/>
        </w:rPr>
        <w:t>UE</w:t>
      </w:r>
      <w:r w:rsidR="00AD0BA5">
        <w:rPr>
          <w:lang w:val="en-GB" w:eastAsia="zh-CN"/>
        </w:rPr>
        <w:t xml:space="preserve"> consider</w:t>
      </w:r>
      <w:r w:rsidR="0034392E">
        <w:rPr>
          <w:lang w:val="en-GB" w:eastAsia="zh-CN"/>
        </w:rPr>
        <w:t>s</w:t>
      </w:r>
      <w:r w:rsidR="00AD0BA5">
        <w:rPr>
          <w:lang w:val="en-GB" w:eastAsia="zh-CN"/>
        </w:rPr>
        <w:t xml:space="preserve"> </w:t>
      </w:r>
      <w:r w:rsidR="0034392E">
        <w:rPr>
          <w:lang w:val="en-GB" w:eastAsia="zh-CN"/>
        </w:rPr>
        <w:t xml:space="preserve">that </w:t>
      </w:r>
      <w:r w:rsidR="00AD0BA5">
        <w:rPr>
          <w:lang w:val="en-GB" w:eastAsia="zh-CN"/>
        </w:rPr>
        <w:t xml:space="preserve">the </w:t>
      </w:r>
      <w:r w:rsidR="009620E4">
        <w:rPr>
          <w:lang w:val="en-GB" w:eastAsia="zh-CN"/>
        </w:rPr>
        <w:t>DL assignment of MsgB for the successRAR</w:t>
      </w:r>
      <w:r w:rsidR="00AD0BA5">
        <w:rPr>
          <w:lang w:val="en-GB" w:eastAsia="zh-CN"/>
        </w:rPr>
        <w:t xml:space="preserve"> </w:t>
      </w:r>
      <w:r w:rsidR="009620E4">
        <w:rPr>
          <w:lang w:val="en-GB" w:eastAsia="zh-CN"/>
        </w:rPr>
        <w:t xml:space="preserve">always </w:t>
      </w:r>
      <w:r w:rsidR="00AD0BA5">
        <w:rPr>
          <w:lang w:val="en-GB" w:eastAsia="zh-CN"/>
        </w:rPr>
        <w:t xml:space="preserve">contains a MAC PDU which </w:t>
      </w:r>
      <w:r w:rsidR="009620E4">
        <w:rPr>
          <w:lang w:val="en-GB" w:eastAsia="zh-CN"/>
        </w:rPr>
        <w:t>includes</w:t>
      </w:r>
      <w:r w:rsidR="00AD0BA5">
        <w:rPr>
          <w:lang w:val="en-GB" w:eastAsia="zh-CN"/>
        </w:rPr>
        <w:t xml:space="preserve"> the 12-bits TAC in </w:t>
      </w:r>
      <w:r w:rsidR="009620E4">
        <w:rPr>
          <w:lang w:val="en-GB" w:eastAsia="zh-CN"/>
        </w:rPr>
        <w:t xml:space="preserve">the </w:t>
      </w:r>
      <w:r w:rsidR="00AD0BA5">
        <w:rPr>
          <w:lang w:val="en-GB" w:eastAsia="zh-CN"/>
        </w:rPr>
        <w:t>first 2 octets of the MAC PD</w:t>
      </w:r>
      <w:r w:rsidR="009620E4">
        <w:rPr>
          <w:lang w:val="en-GB" w:eastAsia="zh-CN"/>
        </w:rPr>
        <w:t>U before any further MAC subPDU.</w:t>
      </w:r>
      <w:r w:rsidR="00AD0BA5">
        <w:rPr>
          <w:lang w:val="en-GB" w:eastAsia="zh-CN"/>
        </w:rPr>
        <w:t xml:space="preserve"> Both</w:t>
      </w:r>
      <w:r w:rsidR="009620E4">
        <w:rPr>
          <w:lang w:val="en-GB" w:eastAsia="zh-CN"/>
        </w:rPr>
        <w:t xml:space="preserve"> approaches</w:t>
      </w:r>
      <w:r w:rsidR="00AD0BA5">
        <w:rPr>
          <w:lang w:val="en-GB" w:eastAsia="zh-CN"/>
        </w:rPr>
        <w:t xml:space="preserve"> can be made to work. However we think that introducing a new MAC CE with 12-bits TAC </w:t>
      </w:r>
      <w:r w:rsidR="0034392E">
        <w:rPr>
          <w:lang w:val="en-GB" w:eastAsia="zh-CN"/>
        </w:rPr>
        <w:t>is</w:t>
      </w:r>
      <w:r w:rsidR="00AD0BA5">
        <w:rPr>
          <w:lang w:val="en-GB" w:eastAsia="zh-CN"/>
        </w:rPr>
        <w:t xml:space="preserve"> more straightforward.</w:t>
      </w:r>
      <w:r>
        <w:rPr>
          <w:lang w:val="en-GB" w:eastAsia="zh-CN"/>
        </w:rPr>
        <w:t xml:space="preserve"> </w:t>
      </w:r>
    </w:p>
    <w:p w14:paraId="5ADAEFD5" w14:textId="6EC3CB15" w:rsidR="00DC50B3" w:rsidRDefault="0089471C" w:rsidP="00953675">
      <w:pPr>
        <w:rPr>
          <w:lang w:val="en-GB" w:eastAsia="zh-CN"/>
        </w:rPr>
      </w:pPr>
      <w:r w:rsidRPr="0089471C">
        <w:rPr>
          <w:b/>
          <w:lang w:val="en-GB" w:eastAsia="zh-CN"/>
        </w:rPr>
        <w:t>Proposal#1</w:t>
      </w:r>
      <w:r>
        <w:rPr>
          <w:lang w:val="en-GB" w:eastAsia="zh-CN"/>
        </w:rPr>
        <w:t xml:space="preserve">: </w:t>
      </w:r>
      <w:r w:rsidR="004C2DC7">
        <w:rPr>
          <w:lang w:val="en-GB" w:eastAsia="zh-CN"/>
        </w:rPr>
        <w:t xml:space="preserve">Introduce a new MAC CE with 12bits Timing Advanced Command to be used for </w:t>
      </w:r>
      <w:r w:rsidR="009620E4">
        <w:rPr>
          <w:lang w:val="en-GB" w:eastAsia="zh-CN"/>
        </w:rPr>
        <w:t xml:space="preserve">successRAR of </w:t>
      </w:r>
      <w:r w:rsidR="004C2DC7">
        <w:rPr>
          <w:lang w:val="en-GB" w:eastAsia="zh-CN"/>
        </w:rPr>
        <w:t>MsgB for the case when the C-RNTI is included in MsgA</w:t>
      </w:r>
    </w:p>
    <w:p w14:paraId="3862A469" w14:textId="2AB55C72" w:rsidR="0089471C" w:rsidRDefault="004C2DC7" w:rsidP="00DE588B">
      <w:pPr>
        <w:pStyle w:val="Heading1"/>
        <w:textAlignment w:val="auto"/>
        <w:rPr>
          <w:lang w:val="en-US"/>
        </w:rPr>
      </w:pPr>
      <w:r>
        <w:rPr>
          <w:lang w:val="en-US"/>
        </w:rPr>
        <w:t>HARQ feedback for MsgB</w:t>
      </w:r>
    </w:p>
    <w:p w14:paraId="4A9D7A27" w14:textId="7F36E9A2" w:rsidR="004C2DC7" w:rsidRPr="004C2DC7" w:rsidRDefault="004C2DC7" w:rsidP="004C2DC7">
      <w:pPr>
        <w:pStyle w:val="N1"/>
        <w:ind w:left="0"/>
        <w:jc w:val="both"/>
        <w:rPr>
          <w:rFonts w:ascii="Times New Roman" w:hAnsi="Times New Roman" w:cs="Times New Roman"/>
          <w:sz w:val="20"/>
          <w:szCs w:val="20"/>
        </w:rPr>
      </w:pPr>
      <w:r w:rsidRPr="004C2DC7">
        <w:rPr>
          <w:rFonts w:ascii="Times New Roman" w:hAnsi="Times New Roman" w:cs="Times New Roman"/>
          <w:sz w:val="20"/>
          <w:szCs w:val="20"/>
        </w:rPr>
        <w:t>In Rel-15 NR, a PUCCH resource set, which consists of 256 PUCCH resources, is predefined in the specification. Further, a 4-bit field (</w:t>
      </w:r>
      <w:r w:rsidRPr="004C2DC7">
        <w:rPr>
          <w:rFonts w:ascii="Times New Roman" w:hAnsi="Times New Roman" w:cs="Times New Roman"/>
          <w:i/>
          <w:sz w:val="20"/>
          <w:szCs w:val="20"/>
        </w:rPr>
        <w:t>pucch-ResourceCommon</w:t>
      </w:r>
      <w:r w:rsidRPr="004C2DC7">
        <w:rPr>
          <w:rFonts w:ascii="Times New Roman" w:hAnsi="Times New Roman" w:cs="Times New Roman"/>
          <w:sz w:val="20"/>
          <w:szCs w:val="20"/>
        </w:rPr>
        <w:t>) in NR RMSI is used to indicate 16 cell specific PUCCH resources.</w:t>
      </w:r>
    </w:p>
    <w:p w14:paraId="452CED2C" w14:textId="77777777" w:rsidR="00B41A13" w:rsidRDefault="00B41A13" w:rsidP="004C2DC7"/>
    <w:p w14:paraId="205463B2" w14:textId="44D719C8" w:rsidR="00EF7C8C" w:rsidRDefault="004C2DC7" w:rsidP="004C2DC7">
      <w:r w:rsidRPr="004C2DC7">
        <w:lastRenderedPageBreak/>
        <w:t>For initial access, (e.g., HARQ-ACK feedback for the corresponding Msg4 transmission in conventional 4-step RACH procedure) or for UE which is not provided with dedicated PUCCH resource configuration, PUCCH resource indicator (PRI) in DCI and starting CCE of corresponding PDCCH are used to determine a PUCCH resource from the 16</w:t>
      </w:r>
      <w:r>
        <w:t xml:space="preserve"> cell specific PUCCH</w:t>
      </w:r>
      <w:r w:rsidRPr="004C2DC7">
        <w:t xml:space="preserve"> resources for carrying 1-bit HARQ-ACK feedback.</w:t>
      </w:r>
    </w:p>
    <w:p w14:paraId="470E9C74" w14:textId="32687A12" w:rsidR="008E4327" w:rsidRDefault="008E4327" w:rsidP="008E4327">
      <w:r>
        <w:rPr>
          <w:lang w:eastAsia="zh-CN"/>
        </w:rPr>
        <w:t>As agreed in the last meeting, in the case where UE decodes the PDCCH addressed to the C-RNTI sent in MsgA during the MsgB reception window and the DCI contains UL grant (the UE has valid TA), the UE considers contention resolution successful and random access procedure is successfully completed.</w:t>
      </w:r>
    </w:p>
    <w:p w14:paraId="055E0310" w14:textId="77777777" w:rsidR="00B359B5" w:rsidRDefault="00BF50CE" w:rsidP="00BF50CE">
      <w:pPr>
        <w:pStyle w:val="N1"/>
        <w:ind w:left="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In the case TA is not valid, it is agreed that contention resolution is successful only</w:t>
      </w:r>
      <w:r w:rsidRPr="00BF50CE">
        <w:rPr>
          <w:rFonts w:ascii="Times New Roman" w:eastAsia="SimSun" w:hAnsi="Times New Roman" w:cs="Times New Roman"/>
          <w:sz w:val="20"/>
          <w:szCs w:val="20"/>
          <w:lang w:eastAsia="zh-CN"/>
        </w:rPr>
        <w:t xml:space="preserve"> </w:t>
      </w:r>
      <w:r>
        <w:rPr>
          <w:rFonts w:ascii="Times New Roman" w:hAnsi="Times New Roman" w:cs="Times New Roman"/>
          <w:bCs/>
          <w:kern w:val="24"/>
          <w:sz w:val="20"/>
          <w:szCs w:val="20"/>
          <w:lang w:val="en-GB" w:eastAsia="zh-CN"/>
        </w:rPr>
        <w:t>if</w:t>
      </w:r>
      <w:r w:rsidRPr="00BF50CE">
        <w:rPr>
          <w:rFonts w:ascii="Times New Roman" w:hAnsi="Times New Roman" w:cs="Times New Roman"/>
          <w:bCs/>
          <w:kern w:val="24"/>
          <w:sz w:val="20"/>
          <w:szCs w:val="20"/>
          <w:lang w:val="en-GB" w:eastAsia="zh-CN"/>
        </w:rPr>
        <w:t xml:space="preserve"> the PDU PDCCH addressed to the C-RNTI (i.e. C-RNTI included in MsgA) containing the 12 bit TA command is </w:t>
      </w:r>
      <w:r w:rsidR="00017612">
        <w:rPr>
          <w:rFonts w:ascii="Times New Roman" w:hAnsi="Times New Roman" w:cs="Times New Roman"/>
          <w:bCs/>
          <w:kern w:val="24"/>
          <w:sz w:val="20"/>
          <w:szCs w:val="20"/>
          <w:lang w:val="en-GB" w:eastAsia="zh-CN"/>
        </w:rPr>
        <w:t xml:space="preserve">also </w:t>
      </w:r>
      <w:r w:rsidRPr="00BF50CE">
        <w:rPr>
          <w:rFonts w:ascii="Times New Roman" w:hAnsi="Times New Roman" w:cs="Times New Roman"/>
          <w:bCs/>
          <w:kern w:val="24"/>
          <w:sz w:val="20"/>
          <w:szCs w:val="20"/>
          <w:lang w:val="en-GB" w:eastAsia="zh-CN"/>
        </w:rPr>
        <w:t>received</w:t>
      </w:r>
      <w:r w:rsidR="008E4327">
        <w:rPr>
          <w:rFonts w:ascii="Times New Roman" w:hAnsi="Times New Roman" w:cs="Times New Roman"/>
          <w:bCs/>
          <w:kern w:val="24"/>
          <w:sz w:val="20"/>
          <w:szCs w:val="20"/>
          <w:lang w:val="en-GB" w:eastAsia="zh-CN"/>
        </w:rPr>
        <w:t xml:space="preserve">. So there is possibility that </w:t>
      </w:r>
      <w:r w:rsidRPr="00BF50CE">
        <w:rPr>
          <w:rFonts w:ascii="Times New Roman" w:eastAsia="SimSun" w:hAnsi="Times New Roman" w:cs="Times New Roman"/>
          <w:sz w:val="20"/>
          <w:szCs w:val="20"/>
          <w:lang w:eastAsia="zh-CN"/>
        </w:rPr>
        <w:t xml:space="preserve">UE </w:t>
      </w:r>
      <w:r w:rsidR="008E4327">
        <w:rPr>
          <w:rFonts w:ascii="Times New Roman" w:eastAsia="SimSun" w:hAnsi="Times New Roman" w:cs="Times New Roman"/>
          <w:sz w:val="20"/>
          <w:szCs w:val="20"/>
          <w:lang w:eastAsia="zh-CN"/>
        </w:rPr>
        <w:t>may decode</w:t>
      </w:r>
      <w:r w:rsidRPr="00BF50CE">
        <w:rPr>
          <w:rFonts w:ascii="Times New Roman" w:eastAsia="SimSun" w:hAnsi="Times New Roman" w:cs="Times New Roman"/>
          <w:sz w:val="20"/>
          <w:szCs w:val="20"/>
          <w:lang w:eastAsia="zh-CN"/>
        </w:rPr>
        <w:t xml:space="preserve"> the PDCCH addressed to the C-RNTI sent in MsgA during the MsgB reception timer window</w:t>
      </w:r>
      <w:r w:rsidR="006222E0">
        <w:rPr>
          <w:rFonts w:ascii="Times New Roman" w:eastAsia="SimSun" w:hAnsi="Times New Roman" w:cs="Times New Roman"/>
          <w:sz w:val="20"/>
          <w:szCs w:val="20"/>
          <w:lang w:eastAsia="zh-CN"/>
        </w:rPr>
        <w:t xml:space="preserve"> su</w:t>
      </w:r>
      <w:r w:rsidR="008E4327">
        <w:rPr>
          <w:rFonts w:ascii="Times New Roman" w:eastAsia="SimSun" w:hAnsi="Times New Roman" w:cs="Times New Roman"/>
          <w:sz w:val="20"/>
          <w:szCs w:val="20"/>
          <w:lang w:eastAsia="zh-CN"/>
        </w:rPr>
        <w:t>ccessfully</w:t>
      </w:r>
      <w:r w:rsidRPr="00BF50CE">
        <w:rPr>
          <w:rFonts w:ascii="Times New Roman" w:eastAsia="SimSun" w:hAnsi="Times New Roman" w:cs="Times New Roman"/>
          <w:sz w:val="20"/>
          <w:szCs w:val="20"/>
          <w:lang w:eastAsia="zh-CN"/>
        </w:rPr>
        <w:t xml:space="preserve"> but </w:t>
      </w:r>
      <w:r w:rsidR="007B1391">
        <w:rPr>
          <w:rFonts w:ascii="Times New Roman" w:eastAsia="SimSun" w:hAnsi="Times New Roman" w:cs="Times New Roman"/>
          <w:sz w:val="20"/>
          <w:szCs w:val="20"/>
          <w:lang w:eastAsia="zh-CN"/>
        </w:rPr>
        <w:t xml:space="preserve">is </w:t>
      </w:r>
      <w:r w:rsidRPr="00BF50CE">
        <w:rPr>
          <w:rFonts w:ascii="Times New Roman" w:eastAsia="SimSun" w:hAnsi="Times New Roman" w:cs="Times New Roman"/>
          <w:sz w:val="20"/>
          <w:szCs w:val="20"/>
          <w:lang w:eastAsia="zh-CN"/>
        </w:rPr>
        <w:t>unable to decode the corresponding allocated PDSCH (containing TAC etc.)</w:t>
      </w:r>
      <w:r w:rsidR="008E4327">
        <w:rPr>
          <w:rFonts w:ascii="Times New Roman" w:eastAsia="SimSun" w:hAnsi="Times New Roman" w:cs="Times New Roman"/>
          <w:sz w:val="20"/>
          <w:szCs w:val="20"/>
          <w:lang w:eastAsia="zh-CN"/>
        </w:rPr>
        <w:t>.  In this case, one approach is that</w:t>
      </w:r>
      <w:r w:rsidRPr="00BF50CE">
        <w:rPr>
          <w:rFonts w:ascii="Times New Roman" w:eastAsia="SimSun" w:hAnsi="Times New Roman" w:cs="Times New Roman"/>
          <w:sz w:val="20"/>
          <w:szCs w:val="20"/>
          <w:lang w:eastAsia="zh-CN"/>
        </w:rPr>
        <w:t xml:space="preserve"> the UE responds with NACK </w:t>
      </w:r>
      <w:r w:rsidR="008E4327">
        <w:rPr>
          <w:rFonts w:ascii="Times New Roman" w:eastAsia="SimSun" w:hAnsi="Times New Roman" w:cs="Times New Roman"/>
          <w:sz w:val="20"/>
          <w:szCs w:val="20"/>
          <w:lang w:eastAsia="zh-CN"/>
        </w:rPr>
        <w:t>(e.g.</w:t>
      </w:r>
      <w:r w:rsidR="00017612">
        <w:rPr>
          <w:rFonts w:ascii="Times New Roman" w:eastAsia="SimSun" w:hAnsi="Times New Roman" w:cs="Times New Roman"/>
          <w:sz w:val="20"/>
          <w:szCs w:val="20"/>
          <w:lang w:eastAsia="zh-CN"/>
        </w:rPr>
        <w:t xml:space="preserve"> using</w:t>
      </w:r>
      <w:r w:rsidR="008E4327">
        <w:rPr>
          <w:rFonts w:ascii="Times New Roman" w:eastAsia="SimSun" w:hAnsi="Times New Roman" w:cs="Times New Roman"/>
          <w:sz w:val="20"/>
          <w:szCs w:val="20"/>
          <w:lang w:eastAsia="zh-CN"/>
        </w:rPr>
        <w:t xml:space="preserve"> </w:t>
      </w:r>
      <w:r w:rsidR="00B359B5">
        <w:rPr>
          <w:rFonts w:ascii="Times New Roman" w:eastAsia="SimSun" w:hAnsi="Times New Roman" w:cs="Times New Roman"/>
          <w:sz w:val="20"/>
          <w:szCs w:val="20"/>
          <w:lang w:eastAsia="zh-CN"/>
        </w:rPr>
        <w:t>DTX for the NACK feedback</w:t>
      </w:r>
      <w:r w:rsidR="006222E0">
        <w:rPr>
          <w:rFonts w:ascii="Times New Roman" w:eastAsia="SimSun" w:hAnsi="Times New Roman" w:cs="Times New Roman"/>
          <w:sz w:val="20"/>
          <w:szCs w:val="20"/>
          <w:lang w:eastAsia="zh-CN"/>
        </w:rPr>
        <w:t>)</w:t>
      </w:r>
      <w:r w:rsidRPr="00BF50CE">
        <w:rPr>
          <w:rFonts w:ascii="Times New Roman" w:eastAsia="SimSun" w:hAnsi="Times New Roman" w:cs="Times New Roman"/>
          <w:sz w:val="20"/>
          <w:szCs w:val="20"/>
          <w:lang w:eastAsia="zh-CN"/>
        </w:rPr>
        <w:t xml:space="preserve">. The UE continues to monitor for PDCCH addressed to the C-RNTI sent in MsgA for the resource allocation of the PDSCH. </w:t>
      </w:r>
    </w:p>
    <w:p w14:paraId="08EF9CF5" w14:textId="77777777" w:rsidR="00B359B5" w:rsidRDefault="00B359B5" w:rsidP="00BF50CE">
      <w:pPr>
        <w:pStyle w:val="N1"/>
        <w:ind w:left="0"/>
        <w:jc w:val="both"/>
        <w:rPr>
          <w:rFonts w:ascii="Times New Roman" w:eastAsia="SimSun" w:hAnsi="Times New Roman" w:cs="Times New Roman"/>
          <w:sz w:val="20"/>
          <w:szCs w:val="20"/>
          <w:lang w:eastAsia="zh-CN"/>
        </w:rPr>
      </w:pPr>
    </w:p>
    <w:p w14:paraId="2276B35E" w14:textId="6B6508B1" w:rsidR="00BF50CE" w:rsidRPr="00BF50CE" w:rsidRDefault="00BF50CE" w:rsidP="00BF50CE">
      <w:pPr>
        <w:pStyle w:val="N1"/>
        <w:ind w:left="0"/>
        <w:jc w:val="both"/>
        <w:rPr>
          <w:rFonts w:ascii="Times New Roman" w:eastAsia="SimSun" w:hAnsi="Times New Roman" w:cs="Times New Roman"/>
          <w:sz w:val="20"/>
          <w:szCs w:val="20"/>
          <w:lang w:eastAsia="zh-CN"/>
        </w:rPr>
      </w:pPr>
      <w:r w:rsidRPr="00BF50CE">
        <w:rPr>
          <w:rFonts w:ascii="Times New Roman" w:eastAsia="SimSun" w:hAnsi="Times New Roman" w:cs="Times New Roman"/>
          <w:sz w:val="20"/>
          <w:szCs w:val="20"/>
          <w:lang w:eastAsia="zh-CN"/>
        </w:rPr>
        <w:t xml:space="preserve">For every subsequent failure to decode the PDSCH, the UE responds with NACK and restarts the MsgB reception timer. </w:t>
      </w:r>
    </w:p>
    <w:p w14:paraId="3ECBDB1D" w14:textId="77777777" w:rsidR="00BF50CE" w:rsidRPr="00BF50CE" w:rsidRDefault="00BF50CE" w:rsidP="00BF50CE">
      <w:pPr>
        <w:pStyle w:val="N1"/>
        <w:ind w:left="0"/>
        <w:jc w:val="both"/>
        <w:rPr>
          <w:rFonts w:ascii="Times New Roman" w:eastAsia="SimSun" w:hAnsi="Times New Roman" w:cs="Times New Roman"/>
          <w:sz w:val="20"/>
          <w:szCs w:val="20"/>
          <w:lang w:eastAsia="zh-CN"/>
        </w:rPr>
      </w:pPr>
    </w:p>
    <w:p w14:paraId="2DA1C9B1" w14:textId="3871A543" w:rsidR="00BF50CE" w:rsidRPr="00BF50CE" w:rsidRDefault="00BF50CE" w:rsidP="00BF50CE">
      <w:pPr>
        <w:pStyle w:val="N1"/>
        <w:ind w:left="0"/>
        <w:jc w:val="both"/>
        <w:rPr>
          <w:rFonts w:ascii="Times New Roman" w:eastAsia="SimSun" w:hAnsi="Times New Roman" w:cs="Times New Roman"/>
          <w:sz w:val="20"/>
          <w:szCs w:val="20"/>
          <w:lang w:eastAsia="zh-CN"/>
        </w:rPr>
      </w:pPr>
      <w:r w:rsidRPr="00BF50CE">
        <w:rPr>
          <w:rFonts w:ascii="Times New Roman" w:eastAsia="SimSun" w:hAnsi="Times New Roman" w:cs="Times New Roman"/>
          <w:sz w:val="20"/>
          <w:szCs w:val="20"/>
          <w:lang w:eastAsia="zh-CN"/>
        </w:rPr>
        <w:t>Alternatively, instead of restarting the MsgB reception timer window, the UE continues monitoring for PDCCH addressed to the C-RNTI sent in MsgA</w:t>
      </w:r>
      <w:r w:rsidR="00635EE9">
        <w:rPr>
          <w:rFonts w:ascii="Times New Roman" w:eastAsia="SimSun" w:hAnsi="Times New Roman" w:cs="Times New Roman"/>
          <w:sz w:val="20"/>
          <w:szCs w:val="20"/>
          <w:lang w:eastAsia="zh-CN"/>
        </w:rPr>
        <w:t xml:space="preserve"> </w:t>
      </w:r>
      <w:r w:rsidRPr="00BF50CE">
        <w:rPr>
          <w:rFonts w:ascii="Times New Roman" w:eastAsia="SimSun" w:hAnsi="Times New Roman" w:cs="Times New Roman"/>
          <w:sz w:val="20"/>
          <w:szCs w:val="20"/>
          <w:lang w:eastAsia="zh-CN"/>
        </w:rPr>
        <w:t>in the existing MsgB reception timer window</w:t>
      </w:r>
      <w:r w:rsidR="00D22A01">
        <w:rPr>
          <w:rFonts w:ascii="Times New Roman" w:eastAsia="SimSun" w:hAnsi="Times New Roman" w:cs="Times New Roman"/>
          <w:sz w:val="20"/>
          <w:szCs w:val="20"/>
          <w:lang w:eastAsia="zh-CN"/>
        </w:rPr>
        <w:t>, upon sending the NACK feedback</w:t>
      </w:r>
      <w:r w:rsidRPr="00BF50CE">
        <w:rPr>
          <w:rFonts w:ascii="Times New Roman" w:eastAsia="SimSun" w:hAnsi="Times New Roman" w:cs="Times New Roman"/>
          <w:sz w:val="20"/>
          <w:szCs w:val="20"/>
          <w:lang w:eastAsia="zh-CN"/>
        </w:rPr>
        <w:t xml:space="preserve">.  This means that the MsgB reception timer has to take into consideration also retransmission of MsgB. </w:t>
      </w:r>
    </w:p>
    <w:p w14:paraId="32C36331" w14:textId="77777777" w:rsidR="00BF50CE" w:rsidRDefault="00BF50CE" w:rsidP="00BF50CE">
      <w:pPr>
        <w:pStyle w:val="N1"/>
        <w:jc w:val="both"/>
        <w:rPr>
          <w:rFonts w:eastAsia="SimSun"/>
          <w:lang w:eastAsia="zh-CN"/>
        </w:rPr>
      </w:pPr>
    </w:p>
    <w:p w14:paraId="4DA733B0" w14:textId="2583CE6C" w:rsidR="00BF50CE" w:rsidRPr="004C2DC7" w:rsidRDefault="00D22A01" w:rsidP="004C2DC7">
      <w:r>
        <w:t xml:space="preserve">The latter seems to be more aligned to the existing Msg4 reception (based on the </w:t>
      </w:r>
      <w:r w:rsidRPr="002B27A2">
        <w:rPr>
          <w:i/>
        </w:rPr>
        <w:t>contentionResolutionTimer</w:t>
      </w:r>
      <w:r>
        <w:t>) where the retransmission for Msg4 is taken into consideration.  Hence it is proposed to follow the latter.</w:t>
      </w:r>
    </w:p>
    <w:p w14:paraId="1F218748" w14:textId="4726242F" w:rsidR="00CB26FA" w:rsidRPr="00B41A13" w:rsidRDefault="00095964" w:rsidP="00953675">
      <w:r w:rsidRPr="00B41A13">
        <w:rPr>
          <w:b/>
        </w:rPr>
        <w:t>Proposal#2:</w:t>
      </w:r>
      <w:r w:rsidRPr="00B41A13">
        <w:t xml:space="preserve"> </w:t>
      </w:r>
      <w:r w:rsidR="002B27A2" w:rsidRPr="00B41A13">
        <w:t xml:space="preserve">In the case when UE fails to decode the PDU corresponding to PDCCH addressed to the C-RNTI included in MsgA and the TA is not valid, UE </w:t>
      </w:r>
      <w:r w:rsidR="002B27A2" w:rsidRPr="00B41A13">
        <w:rPr>
          <w:lang w:eastAsia="zh-CN"/>
        </w:rPr>
        <w:t xml:space="preserve">sends a NACK feedback (e.g. using DTX over the PUCCH) and then continues monitoring the remaining of the existing MsgB reception timer window for PDCCH addressed to the C-RNTI previously sent in MsgA </w:t>
      </w:r>
      <w:r w:rsidR="00CB26FA" w:rsidRPr="00B41A13">
        <w:t xml:space="preserve">If Proposal#2 is agreed, the following changes </w:t>
      </w:r>
      <w:r w:rsidR="006F44BD" w:rsidRPr="00B41A13">
        <w:t xml:space="preserve">are also </w:t>
      </w:r>
      <w:r w:rsidR="00CB26FA" w:rsidRPr="00B41A13">
        <w:t>needed to the contention resolution</w:t>
      </w:r>
      <w:r w:rsidR="004907F2" w:rsidRPr="00B41A13">
        <w:t xml:space="preserve"> (new parts </w:t>
      </w:r>
      <w:r w:rsidR="004907F2" w:rsidRPr="00B41A13">
        <w:rPr>
          <w:u w:val="single"/>
        </w:rPr>
        <w:t>underline</w:t>
      </w:r>
      <w:r w:rsidR="004907F2" w:rsidRPr="00B41A13">
        <w:t xml:space="preserve"> on top of current text)</w:t>
      </w:r>
      <w:r w:rsidR="00CB26FA" w:rsidRPr="00B41A13">
        <w:t>:</w:t>
      </w:r>
    </w:p>
    <w:p w14:paraId="4BA126F1" w14:textId="17117B77" w:rsidR="00CB26FA" w:rsidRPr="00CB26FA" w:rsidRDefault="00CB26FA" w:rsidP="00CB26FA">
      <w:pPr>
        <w:numPr>
          <w:ilvl w:val="1"/>
          <w:numId w:val="34"/>
        </w:numPr>
        <w:spacing w:after="0"/>
        <w:rPr>
          <w:rFonts w:eastAsiaTheme="minorEastAsia"/>
          <w:bCs/>
          <w:kern w:val="24"/>
          <w:lang w:val="en-GB" w:eastAsia="zh-CN"/>
        </w:rPr>
      </w:pPr>
      <w:r w:rsidRPr="006852C0">
        <w:rPr>
          <w:rFonts w:eastAsiaTheme="minorEastAsia"/>
          <w:bCs/>
          <w:kern w:val="24"/>
          <w:lang w:val="en-GB" w:eastAsia="zh-CN"/>
        </w:rPr>
        <w:t>If the PDU</w:t>
      </w:r>
      <w:r w:rsidR="007B1391">
        <w:rPr>
          <w:rFonts w:eastAsiaTheme="minorEastAsia"/>
          <w:bCs/>
          <w:kern w:val="24"/>
          <w:lang w:val="en-GB" w:eastAsia="zh-CN"/>
        </w:rPr>
        <w:t xml:space="preserve"> corresponding to</w:t>
      </w:r>
      <w:r w:rsidRPr="006852C0">
        <w:rPr>
          <w:rFonts w:eastAsiaTheme="minorEastAsia"/>
          <w:bCs/>
          <w:kern w:val="24"/>
          <w:lang w:val="en-GB" w:eastAsia="zh-CN"/>
        </w:rPr>
        <w:t xml:space="preserve"> PDCCH addressed to the C-RNTI (i.e. C-RNTI included in MsgA) containing the 12 bit TA command is received, the UE should consider the contention resolution to be successful and stop the reception of MsgB or with UL grant if the UE is synchronized already.</w:t>
      </w:r>
      <w:r>
        <w:rPr>
          <w:rFonts w:eastAsiaTheme="minorEastAsia"/>
          <w:bCs/>
          <w:kern w:val="24"/>
          <w:lang w:val="en-GB" w:eastAsia="zh-CN"/>
        </w:rPr>
        <w:t xml:space="preserve"> </w:t>
      </w:r>
      <w:r w:rsidRPr="00CB26FA">
        <w:rPr>
          <w:u w:val="single"/>
          <w:lang w:val="en-GB" w:eastAsia="zh-CN"/>
        </w:rPr>
        <w:t xml:space="preserve">The UE should use the corresponding </w:t>
      </w:r>
      <w:r>
        <w:rPr>
          <w:u w:val="single"/>
          <w:lang w:val="en-GB" w:eastAsia="zh-CN"/>
        </w:rPr>
        <w:t>PUCCH</w:t>
      </w:r>
      <w:r w:rsidRPr="00CB26FA">
        <w:rPr>
          <w:u w:val="single"/>
          <w:lang w:val="en-GB" w:eastAsia="zh-CN"/>
        </w:rPr>
        <w:t xml:space="preserve"> to acknowledge the reception of its MsgB.</w:t>
      </w:r>
    </w:p>
    <w:p w14:paraId="143AFF7B" w14:textId="066541B5" w:rsidR="00CB26FA" w:rsidRPr="00CB26FA" w:rsidRDefault="00B359B5" w:rsidP="00CB26FA">
      <w:pPr>
        <w:numPr>
          <w:ilvl w:val="1"/>
          <w:numId w:val="34"/>
        </w:numPr>
        <w:spacing w:after="0"/>
        <w:rPr>
          <w:rFonts w:eastAsiaTheme="minorEastAsia"/>
          <w:bCs/>
          <w:kern w:val="24"/>
          <w:u w:val="single"/>
          <w:lang w:val="en-GB" w:eastAsia="zh-CN"/>
        </w:rPr>
      </w:pPr>
      <w:r>
        <w:rPr>
          <w:rFonts w:eastAsiaTheme="minorEastAsia"/>
          <w:bCs/>
          <w:kern w:val="24"/>
          <w:u w:val="single"/>
          <w:lang w:val="en-GB" w:eastAsia="zh-CN"/>
        </w:rPr>
        <w:t xml:space="preserve">If the </w:t>
      </w:r>
      <w:r w:rsidR="00CB26FA" w:rsidRPr="00CB26FA">
        <w:rPr>
          <w:rFonts w:eastAsiaTheme="minorEastAsia"/>
          <w:bCs/>
          <w:kern w:val="24"/>
          <w:u w:val="single"/>
          <w:lang w:val="en-GB" w:eastAsia="zh-CN"/>
        </w:rPr>
        <w:t>PDCCH addressed to the C-RNTI (i.e. C-RNTI included in MsgA) is received</w:t>
      </w:r>
      <w:r>
        <w:rPr>
          <w:rFonts w:eastAsiaTheme="minorEastAsia"/>
          <w:bCs/>
          <w:kern w:val="24"/>
          <w:u w:val="single"/>
          <w:lang w:val="en-GB" w:eastAsia="zh-CN"/>
        </w:rPr>
        <w:t xml:space="preserve"> and it contains a DL grant</w:t>
      </w:r>
      <w:r w:rsidR="00CB26FA" w:rsidRPr="00CB26FA">
        <w:rPr>
          <w:rFonts w:eastAsiaTheme="minorEastAsia"/>
          <w:bCs/>
          <w:kern w:val="24"/>
          <w:u w:val="single"/>
          <w:lang w:val="en-GB" w:eastAsia="zh-CN"/>
        </w:rPr>
        <w:t xml:space="preserve"> but </w:t>
      </w:r>
      <w:r w:rsidR="007B1391">
        <w:rPr>
          <w:rFonts w:eastAsiaTheme="minorEastAsia"/>
          <w:bCs/>
          <w:kern w:val="24"/>
          <w:u w:val="single"/>
          <w:lang w:val="en-GB" w:eastAsia="zh-CN"/>
        </w:rPr>
        <w:t xml:space="preserve">the UE </w:t>
      </w:r>
      <w:r w:rsidR="00CB26FA" w:rsidRPr="00CB26FA">
        <w:rPr>
          <w:rFonts w:eastAsiaTheme="minorEastAsia"/>
          <w:bCs/>
          <w:kern w:val="24"/>
          <w:u w:val="single"/>
          <w:lang w:val="en-GB" w:eastAsia="zh-CN"/>
        </w:rPr>
        <w:t>is una</w:t>
      </w:r>
      <w:r>
        <w:rPr>
          <w:rFonts w:eastAsiaTheme="minorEastAsia"/>
          <w:bCs/>
          <w:kern w:val="24"/>
          <w:u w:val="single"/>
          <w:lang w:val="en-GB" w:eastAsia="zh-CN"/>
        </w:rPr>
        <w:t xml:space="preserve">ble to decode the </w:t>
      </w:r>
      <w:r w:rsidR="00CB26FA" w:rsidRPr="00CB26FA">
        <w:rPr>
          <w:rFonts w:eastAsiaTheme="minorEastAsia"/>
          <w:bCs/>
          <w:kern w:val="24"/>
          <w:u w:val="single"/>
          <w:lang w:val="en-GB" w:eastAsia="zh-CN"/>
        </w:rPr>
        <w:t>PDU</w:t>
      </w:r>
      <w:r>
        <w:rPr>
          <w:rFonts w:eastAsiaTheme="minorEastAsia"/>
          <w:bCs/>
          <w:kern w:val="24"/>
          <w:u w:val="single"/>
          <w:lang w:val="en-GB" w:eastAsia="zh-CN"/>
        </w:rPr>
        <w:t xml:space="preserve"> corresponding to the DL grant</w:t>
      </w:r>
      <w:r w:rsidR="00CB26FA" w:rsidRPr="00CB26FA">
        <w:rPr>
          <w:rFonts w:eastAsiaTheme="minorEastAsia"/>
          <w:bCs/>
          <w:kern w:val="24"/>
          <w:u w:val="single"/>
          <w:lang w:val="en-GB" w:eastAsia="zh-CN"/>
        </w:rPr>
        <w:t xml:space="preserve"> and the UE is not synchronized</w:t>
      </w:r>
      <w:r>
        <w:rPr>
          <w:rFonts w:eastAsiaTheme="minorEastAsia"/>
          <w:bCs/>
          <w:kern w:val="24"/>
          <w:u w:val="single"/>
          <w:lang w:val="en-GB" w:eastAsia="zh-CN"/>
        </w:rPr>
        <w:t xml:space="preserve"> already</w:t>
      </w:r>
      <w:r w:rsidR="00CB26FA" w:rsidRPr="00CB26FA">
        <w:rPr>
          <w:rFonts w:eastAsiaTheme="minorEastAsia"/>
          <w:bCs/>
          <w:kern w:val="24"/>
          <w:u w:val="single"/>
          <w:lang w:val="en-GB" w:eastAsia="zh-CN"/>
        </w:rPr>
        <w:t>, the UE should use the corresponding PUCCH to NACK</w:t>
      </w:r>
      <w:r>
        <w:rPr>
          <w:rFonts w:eastAsiaTheme="minorEastAsia"/>
          <w:bCs/>
          <w:kern w:val="24"/>
          <w:u w:val="single"/>
          <w:lang w:val="en-GB" w:eastAsia="zh-CN"/>
        </w:rPr>
        <w:t xml:space="preserve"> (e.g. DTX</w:t>
      </w:r>
      <w:r w:rsidR="005665AE">
        <w:rPr>
          <w:rFonts w:eastAsiaTheme="minorEastAsia"/>
          <w:bCs/>
          <w:kern w:val="24"/>
          <w:u w:val="single"/>
          <w:lang w:val="en-GB" w:eastAsia="zh-CN"/>
        </w:rPr>
        <w:t xml:space="preserve"> over PUCCH</w:t>
      </w:r>
      <w:r>
        <w:rPr>
          <w:rFonts w:eastAsiaTheme="minorEastAsia"/>
          <w:bCs/>
          <w:kern w:val="24"/>
          <w:u w:val="single"/>
          <w:lang w:val="en-GB" w:eastAsia="zh-CN"/>
        </w:rPr>
        <w:t>)</w:t>
      </w:r>
      <w:r w:rsidR="005665AE">
        <w:rPr>
          <w:rFonts w:eastAsiaTheme="minorEastAsia"/>
          <w:bCs/>
          <w:kern w:val="24"/>
          <w:u w:val="single"/>
          <w:lang w:val="en-GB" w:eastAsia="zh-CN"/>
        </w:rPr>
        <w:t xml:space="preserve"> </w:t>
      </w:r>
      <w:r w:rsidR="00CB26FA" w:rsidRPr="00CB26FA">
        <w:rPr>
          <w:rFonts w:eastAsiaTheme="minorEastAsia"/>
          <w:bCs/>
          <w:kern w:val="24"/>
          <w:u w:val="single"/>
          <w:lang w:val="en-GB" w:eastAsia="zh-CN"/>
        </w:rPr>
        <w:t>the reception of its MsgB and continue monitoring the response window.</w:t>
      </w:r>
    </w:p>
    <w:p w14:paraId="005FB6C8" w14:textId="77777777" w:rsidR="00CB26FA" w:rsidRPr="006852C0" w:rsidRDefault="00CB26FA" w:rsidP="00CB26FA">
      <w:pPr>
        <w:numPr>
          <w:ilvl w:val="1"/>
          <w:numId w:val="34"/>
        </w:numPr>
        <w:spacing w:after="0"/>
        <w:rPr>
          <w:rFonts w:eastAsiaTheme="minorEastAsia"/>
          <w:bCs/>
          <w:kern w:val="24"/>
          <w:lang w:val="en-GB" w:eastAsia="zh-CN"/>
        </w:rPr>
      </w:pPr>
      <w:r w:rsidRPr="006852C0">
        <w:rPr>
          <w:rFonts w:eastAsiaTheme="minorEastAsia"/>
          <w:bCs/>
          <w:kern w:val="24"/>
          <w:lang w:val="en-GB" w:eastAsia="zh-CN"/>
        </w:rPr>
        <w:t>If the corresponding fallback RAR is detected, the UE should stop the monitoring of PDCCH addressed to the corresponding C-RNTI for success response and process the fallback operation accordingly.</w:t>
      </w:r>
    </w:p>
    <w:p w14:paraId="72F3D837" w14:textId="77777777" w:rsidR="00CB26FA" w:rsidRPr="006852C0" w:rsidRDefault="00CB26FA" w:rsidP="00CB26FA">
      <w:pPr>
        <w:numPr>
          <w:ilvl w:val="1"/>
          <w:numId w:val="34"/>
        </w:numPr>
        <w:spacing w:after="0"/>
        <w:rPr>
          <w:rFonts w:eastAsiaTheme="minorEastAsia"/>
          <w:bCs/>
          <w:kern w:val="24"/>
          <w:lang w:val="en-GB" w:eastAsia="zh-CN"/>
        </w:rPr>
      </w:pPr>
      <w:r w:rsidRPr="006852C0">
        <w:rPr>
          <w:rFonts w:eastAsiaTheme="minorEastAsia"/>
          <w:bCs/>
          <w:kern w:val="24"/>
          <w:lang w:val="en-GB" w:eastAsia="zh-CN"/>
        </w:rPr>
        <w:t>If neither corresponding fallback RAR nor PDCCH addressed C-RNTI is detected within the response window, the UE should consider the msgA attempt failed and do back off operation based on the backoff indicator if received in MsgB.</w:t>
      </w:r>
    </w:p>
    <w:p w14:paraId="0FBAB3B7" w14:textId="77777777" w:rsidR="00CB26FA" w:rsidRPr="006852C0" w:rsidRDefault="00CB26FA" w:rsidP="00CB26FA">
      <w:pPr>
        <w:numPr>
          <w:ilvl w:val="1"/>
          <w:numId w:val="34"/>
        </w:numPr>
        <w:spacing w:after="0"/>
        <w:rPr>
          <w:rFonts w:eastAsiaTheme="minorEastAsia"/>
          <w:bCs/>
          <w:kern w:val="24"/>
          <w:lang w:val="en-GB" w:eastAsia="zh-CN"/>
        </w:rPr>
      </w:pPr>
      <w:r w:rsidRPr="006852C0">
        <w:rPr>
          <w:rFonts w:eastAsiaTheme="minorEastAsia"/>
          <w:bCs/>
          <w:kern w:val="24"/>
          <w:lang w:val="en-GB" w:eastAsia="zh-CN"/>
        </w:rPr>
        <w:t>FFS if a new MAC CE with 12bits Timing Advanced Command shall be introduced</w:t>
      </w:r>
    </w:p>
    <w:p w14:paraId="457877CF" w14:textId="77777777" w:rsidR="00CB26FA" w:rsidRDefault="00CB26FA" w:rsidP="00953675">
      <w:pPr>
        <w:rPr>
          <w:lang w:val="en-GB"/>
        </w:rPr>
      </w:pPr>
    </w:p>
    <w:p w14:paraId="182885F0" w14:textId="115796F4" w:rsidR="00B21B1F" w:rsidRDefault="00B21B1F" w:rsidP="00953675">
      <w:pPr>
        <w:rPr>
          <w:lang w:val="en-GB"/>
        </w:rPr>
      </w:pPr>
      <w:r>
        <w:rPr>
          <w:lang w:val="en-GB"/>
        </w:rPr>
        <w:t>During MsgB reception timer is running, even if the UE receives the PDCCH corresponding to its C-RNTI but fail</w:t>
      </w:r>
      <w:r w:rsidR="002340A0">
        <w:rPr>
          <w:lang w:val="en-GB"/>
        </w:rPr>
        <w:t>s</w:t>
      </w:r>
      <w:r>
        <w:rPr>
          <w:lang w:val="en-GB"/>
        </w:rPr>
        <w:t xml:space="preserve"> to decode the corresponding PDU containing</w:t>
      </w:r>
      <w:r w:rsidR="00B41A13">
        <w:rPr>
          <w:lang w:val="en-GB"/>
        </w:rPr>
        <w:t xml:space="preserve"> the TAC MAC CE, the network may</w:t>
      </w:r>
      <w:r>
        <w:rPr>
          <w:lang w:val="en-GB"/>
        </w:rPr>
        <w:t xml:space="preserve"> still </w:t>
      </w:r>
      <w:r w:rsidR="00B41A13">
        <w:rPr>
          <w:lang w:val="en-GB"/>
        </w:rPr>
        <w:t xml:space="preserve">be able to </w:t>
      </w:r>
      <w:bookmarkStart w:id="1" w:name="_GoBack"/>
      <w:bookmarkEnd w:id="1"/>
      <w:r>
        <w:rPr>
          <w:lang w:val="en-GB"/>
        </w:rPr>
        <w:t xml:space="preserve">send a FallbackRAR/BI using the MsgB-RNTI. If this is the case, there is a need to ensure that the MsgB-RNTI is unique.  How to ensure this can be further discussed. </w:t>
      </w:r>
    </w:p>
    <w:p w14:paraId="09D8566E" w14:textId="68445694" w:rsidR="00DE588B" w:rsidRPr="00443753" w:rsidRDefault="00DE588B" w:rsidP="00DE588B">
      <w:pPr>
        <w:pStyle w:val="Heading1"/>
        <w:textAlignment w:val="auto"/>
        <w:rPr>
          <w:lang w:val="en-US"/>
        </w:rPr>
      </w:pPr>
      <w:r w:rsidRPr="00443753">
        <w:rPr>
          <w:lang w:val="en-US"/>
        </w:rPr>
        <w:t>Conclusions</w:t>
      </w:r>
    </w:p>
    <w:p w14:paraId="4B787C32" w14:textId="00F462D7" w:rsidR="004D0737" w:rsidRDefault="00A807B7" w:rsidP="00E06BA7">
      <w:pPr>
        <w:jc w:val="both"/>
      </w:pPr>
      <w:r>
        <w:t>In this contribution</w:t>
      </w:r>
      <w:r w:rsidR="00883548">
        <w:t>,</w:t>
      </w:r>
      <w:r>
        <w:t xml:space="preserve"> we</w:t>
      </w:r>
      <w:r w:rsidR="00123E3F">
        <w:rPr>
          <w:lang w:eastAsia="zh-CN"/>
        </w:rPr>
        <w:t xml:space="preserve"> further discussed the MsgB reception for the case the C-RNTI is included in MsgA</w:t>
      </w:r>
      <w:r w:rsidR="004B56F4">
        <w:rPr>
          <w:lang w:eastAsia="zh-CN"/>
        </w:rPr>
        <w:t xml:space="preserve"> and s</w:t>
      </w:r>
      <w:r w:rsidR="00B16C5A">
        <w:t>ummarize the proposals as follows:</w:t>
      </w:r>
    </w:p>
    <w:p w14:paraId="31535FB5" w14:textId="77777777" w:rsidR="00017612" w:rsidRDefault="00017612" w:rsidP="00017612">
      <w:pPr>
        <w:rPr>
          <w:lang w:val="en-GB" w:eastAsia="zh-CN"/>
        </w:rPr>
      </w:pPr>
      <w:r w:rsidRPr="0089471C">
        <w:rPr>
          <w:b/>
          <w:lang w:val="en-GB" w:eastAsia="zh-CN"/>
        </w:rPr>
        <w:lastRenderedPageBreak/>
        <w:t>Proposal#1</w:t>
      </w:r>
      <w:r>
        <w:rPr>
          <w:lang w:val="en-GB" w:eastAsia="zh-CN"/>
        </w:rPr>
        <w:t>: Introduce a new MAC CE with 12bits Timing Advanced Command to be used for successRAR of MsgB for the case when the C-RNTI is included in MsgA</w:t>
      </w:r>
    </w:p>
    <w:p w14:paraId="09246FEF" w14:textId="603024F5" w:rsidR="00635EE9" w:rsidRPr="00B41A13" w:rsidRDefault="00635EE9" w:rsidP="00635EE9">
      <w:r w:rsidRPr="00B41A13">
        <w:rPr>
          <w:b/>
        </w:rPr>
        <w:t>Proposal#2:</w:t>
      </w:r>
      <w:r w:rsidRPr="00B41A13">
        <w:t xml:space="preserve"> </w:t>
      </w:r>
      <w:r w:rsidR="00BF2CE2" w:rsidRPr="00B41A13">
        <w:t xml:space="preserve">In the case when UE fails to decode the PDU corresponding to PDCCH addressed to the C-RNTI included in MsgA and the TA is not valid, UE </w:t>
      </w:r>
      <w:r w:rsidR="00BF2CE2" w:rsidRPr="00B41A13">
        <w:rPr>
          <w:lang w:eastAsia="zh-CN"/>
        </w:rPr>
        <w:t>sends a NACK feedback (e.g. using DTX over the PUCCH) and then continues monitoring the remaining of the existing MsgB reception timer window for PDCCH addressed to the C-RNTI previously sent in MsgA.</w:t>
      </w:r>
      <w:r w:rsidRPr="00B41A13">
        <w:t xml:space="preserve"> </w:t>
      </w:r>
    </w:p>
    <w:sectPr w:rsidR="00635EE9" w:rsidRPr="00B41A13"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3CCC8" w14:textId="77777777" w:rsidR="00C25ED8" w:rsidRDefault="00C25ED8">
      <w:r>
        <w:separator/>
      </w:r>
    </w:p>
  </w:endnote>
  <w:endnote w:type="continuationSeparator" w:id="0">
    <w:p w14:paraId="6804447B" w14:textId="77777777" w:rsidR="00C25ED8" w:rsidRDefault="00C25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5EAF7" w14:textId="77777777" w:rsidR="00A62E01" w:rsidRDefault="00A62E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A62E01" w:rsidRDefault="00A62E0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D8B7A" w14:textId="77777777" w:rsidR="00A62E01" w:rsidRDefault="00A62E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41A1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1A1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2257B" w14:textId="77777777" w:rsidR="00C25ED8" w:rsidRDefault="00C25ED8">
      <w:r>
        <w:separator/>
      </w:r>
    </w:p>
  </w:footnote>
  <w:footnote w:type="continuationSeparator" w:id="0">
    <w:p w14:paraId="652BD8F7" w14:textId="77777777" w:rsidR="00C25ED8" w:rsidRDefault="00C25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9958" w14:textId="77777777" w:rsidR="00A62E01" w:rsidRDefault="00A62E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 w15:restartNumberingAfterBreak="0">
    <w:nsid w:val="0BA036DB"/>
    <w:multiLevelType w:val="hybridMultilevel"/>
    <w:tmpl w:val="EE38A3C6"/>
    <w:lvl w:ilvl="0" w:tplc="06D695D0">
      <w:numFmt w:val="bullet"/>
      <w:lvlText w:val="-"/>
      <w:lvlJc w:val="left"/>
      <w:pPr>
        <w:ind w:left="720" w:hanging="360"/>
      </w:pPr>
      <w:rPr>
        <w:rFonts w:ascii="Times" w:eastAsia="SimSun"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5"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6"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9" w15:restartNumberingAfterBreak="0">
    <w:nsid w:val="29253246"/>
    <w:multiLevelType w:val="hybridMultilevel"/>
    <w:tmpl w:val="58A8B514"/>
    <w:lvl w:ilvl="0" w:tplc="9BBAC3B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2" w15:restartNumberingAfterBreak="0">
    <w:nsid w:val="306B35A2"/>
    <w:multiLevelType w:val="hybridMultilevel"/>
    <w:tmpl w:val="68609A2C"/>
    <w:lvl w:ilvl="0" w:tplc="F3A0E5D2">
      <w:start w:val="1"/>
      <w:numFmt w:val="bullet"/>
      <w:lvlText w:val="–"/>
      <w:lvlJc w:val="left"/>
      <w:pPr>
        <w:tabs>
          <w:tab w:val="num" w:pos="720"/>
        </w:tabs>
        <w:ind w:left="720" w:hanging="360"/>
      </w:pPr>
      <w:rPr>
        <w:rFonts w:ascii="Intel Clear" w:hAnsi="Intel Clear" w:hint="default"/>
      </w:rPr>
    </w:lvl>
    <w:lvl w:ilvl="1" w:tplc="47A28780">
      <w:start w:val="1"/>
      <w:numFmt w:val="bullet"/>
      <w:lvlText w:val="–"/>
      <w:lvlJc w:val="left"/>
      <w:pPr>
        <w:tabs>
          <w:tab w:val="num" w:pos="1440"/>
        </w:tabs>
        <w:ind w:left="1440" w:hanging="360"/>
      </w:pPr>
      <w:rPr>
        <w:rFonts w:ascii="Intel Clear" w:hAnsi="Intel Clear" w:hint="default"/>
      </w:rPr>
    </w:lvl>
    <w:lvl w:ilvl="2" w:tplc="E0FCD1CE">
      <w:start w:val="1"/>
      <w:numFmt w:val="bullet"/>
      <w:lvlText w:val="–"/>
      <w:lvlJc w:val="left"/>
      <w:pPr>
        <w:tabs>
          <w:tab w:val="num" w:pos="2160"/>
        </w:tabs>
        <w:ind w:left="2160" w:hanging="360"/>
      </w:pPr>
      <w:rPr>
        <w:rFonts w:ascii="Intel Clear" w:hAnsi="Intel Clear" w:hint="default"/>
      </w:rPr>
    </w:lvl>
    <w:lvl w:ilvl="3" w:tplc="481E14BA">
      <w:start w:val="142"/>
      <w:numFmt w:val="bullet"/>
      <w:lvlText w:val="–"/>
      <w:lvlJc w:val="left"/>
      <w:pPr>
        <w:tabs>
          <w:tab w:val="num" w:pos="2880"/>
        </w:tabs>
        <w:ind w:left="2880" w:hanging="360"/>
      </w:pPr>
      <w:rPr>
        <w:rFonts w:ascii="Arial" w:hAnsi="Arial" w:hint="default"/>
      </w:rPr>
    </w:lvl>
    <w:lvl w:ilvl="4" w:tplc="92B00DCA" w:tentative="1">
      <w:start w:val="1"/>
      <w:numFmt w:val="bullet"/>
      <w:lvlText w:val="–"/>
      <w:lvlJc w:val="left"/>
      <w:pPr>
        <w:tabs>
          <w:tab w:val="num" w:pos="3600"/>
        </w:tabs>
        <w:ind w:left="3600" w:hanging="360"/>
      </w:pPr>
      <w:rPr>
        <w:rFonts w:ascii="Intel Clear" w:hAnsi="Intel Clear" w:hint="default"/>
      </w:rPr>
    </w:lvl>
    <w:lvl w:ilvl="5" w:tplc="60FC360E" w:tentative="1">
      <w:start w:val="1"/>
      <w:numFmt w:val="bullet"/>
      <w:lvlText w:val="–"/>
      <w:lvlJc w:val="left"/>
      <w:pPr>
        <w:tabs>
          <w:tab w:val="num" w:pos="4320"/>
        </w:tabs>
        <w:ind w:left="4320" w:hanging="360"/>
      </w:pPr>
      <w:rPr>
        <w:rFonts w:ascii="Intel Clear" w:hAnsi="Intel Clear" w:hint="default"/>
      </w:rPr>
    </w:lvl>
    <w:lvl w:ilvl="6" w:tplc="27DC7384" w:tentative="1">
      <w:start w:val="1"/>
      <w:numFmt w:val="bullet"/>
      <w:lvlText w:val="–"/>
      <w:lvlJc w:val="left"/>
      <w:pPr>
        <w:tabs>
          <w:tab w:val="num" w:pos="5040"/>
        </w:tabs>
        <w:ind w:left="5040" w:hanging="360"/>
      </w:pPr>
      <w:rPr>
        <w:rFonts w:ascii="Intel Clear" w:hAnsi="Intel Clear" w:hint="default"/>
      </w:rPr>
    </w:lvl>
    <w:lvl w:ilvl="7" w:tplc="14FECAC4" w:tentative="1">
      <w:start w:val="1"/>
      <w:numFmt w:val="bullet"/>
      <w:lvlText w:val="–"/>
      <w:lvlJc w:val="left"/>
      <w:pPr>
        <w:tabs>
          <w:tab w:val="num" w:pos="5760"/>
        </w:tabs>
        <w:ind w:left="5760" w:hanging="360"/>
      </w:pPr>
      <w:rPr>
        <w:rFonts w:ascii="Intel Clear" w:hAnsi="Intel Clear" w:hint="default"/>
      </w:rPr>
    </w:lvl>
    <w:lvl w:ilvl="8" w:tplc="7FE011C6" w:tentative="1">
      <w:start w:val="1"/>
      <w:numFmt w:val="bullet"/>
      <w:lvlText w:val="–"/>
      <w:lvlJc w:val="left"/>
      <w:pPr>
        <w:tabs>
          <w:tab w:val="num" w:pos="6480"/>
        </w:tabs>
        <w:ind w:left="6480" w:hanging="360"/>
      </w:pPr>
      <w:rPr>
        <w:rFonts w:ascii="Intel Clear" w:hAnsi="Intel Clear" w:hint="default"/>
      </w:rPr>
    </w:lvl>
  </w:abstractNum>
  <w:abstractNum w:abstractNumId="13"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4"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7"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1"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2"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3"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5"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6"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7"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8"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C85D44"/>
    <w:multiLevelType w:val="hybridMultilevel"/>
    <w:tmpl w:val="7786EF7E"/>
    <w:lvl w:ilvl="0" w:tplc="336AD280">
      <w:start w:val="1"/>
      <w:numFmt w:val="bullet"/>
      <w:lvlText w:val="–"/>
      <w:lvlJc w:val="left"/>
      <w:pPr>
        <w:tabs>
          <w:tab w:val="num" w:pos="720"/>
        </w:tabs>
        <w:ind w:left="720" w:hanging="360"/>
      </w:pPr>
      <w:rPr>
        <w:rFonts w:ascii="Intel Clear" w:hAnsi="Intel Clear" w:hint="default"/>
      </w:rPr>
    </w:lvl>
    <w:lvl w:ilvl="1" w:tplc="EFF08744">
      <w:start w:val="1"/>
      <w:numFmt w:val="bullet"/>
      <w:lvlText w:val="–"/>
      <w:lvlJc w:val="left"/>
      <w:pPr>
        <w:tabs>
          <w:tab w:val="num" w:pos="1440"/>
        </w:tabs>
        <w:ind w:left="1440" w:hanging="360"/>
      </w:pPr>
      <w:rPr>
        <w:rFonts w:ascii="Intel Clear" w:hAnsi="Intel Clear" w:hint="default"/>
      </w:rPr>
    </w:lvl>
    <w:lvl w:ilvl="2" w:tplc="E13C6A84">
      <w:start w:val="1"/>
      <w:numFmt w:val="bullet"/>
      <w:lvlText w:val="–"/>
      <w:lvlJc w:val="left"/>
      <w:pPr>
        <w:tabs>
          <w:tab w:val="num" w:pos="2160"/>
        </w:tabs>
        <w:ind w:left="2160" w:hanging="360"/>
      </w:pPr>
      <w:rPr>
        <w:rFonts w:ascii="Intel Clear" w:hAnsi="Intel Clear" w:hint="default"/>
      </w:rPr>
    </w:lvl>
    <w:lvl w:ilvl="3" w:tplc="CD360E58">
      <w:start w:val="206"/>
      <w:numFmt w:val="bullet"/>
      <w:lvlText w:val="–"/>
      <w:lvlJc w:val="left"/>
      <w:pPr>
        <w:tabs>
          <w:tab w:val="num" w:pos="2880"/>
        </w:tabs>
        <w:ind w:left="2880" w:hanging="360"/>
      </w:pPr>
      <w:rPr>
        <w:rFonts w:ascii="Arial" w:hAnsi="Arial" w:hint="default"/>
      </w:rPr>
    </w:lvl>
    <w:lvl w:ilvl="4" w:tplc="A7F017A6" w:tentative="1">
      <w:start w:val="1"/>
      <w:numFmt w:val="bullet"/>
      <w:lvlText w:val="–"/>
      <w:lvlJc w:val="left"/>
      <w:pPr>
        <w:tabs>
          <w:tab w:val="num" w:pos="3600"/>
        </w:tabs>
        <w:ind w:left="3600" w:hanging="360"/>
      </w:pPr>
      <w:rPr>
        <w:rFonts w:ascii="Intel Clear" w:hAnsi="Intel Clear" w:hint="default"/>
      </w:rPr>
    </w:lvl>
    <w:lvl w:ilvl="5" w:tplc="BC1CFFDA" w:tentative="1">
      <w:start w:val="1"/>
      <w:numFmt w:val="bullet"/>
      <w:lvlText w:val="–"/>
      <w:lvlJc w:val="left"/>
      <w:pPr>
        <w:tabs>
          <w:tab w:val="num" w:pos="4320"/>
        </w:tabs>
        <w:ind w:left="4320" w:hanging="360"/>
      </w:pPr>
      <w:rPr>
        <w:rFonts w:ascii="Intel Clear" w:hAnsi="Intel Clear" w:hint="default"/>
      </w:rPr>
    </w:lvl>
    <w:lvl w:ilvl="6" w:tplc="198A2768" w:tentative="1">
      <w:start w:val="1"/>
      <w:numFmt w:val="bullet"/>
      <w:lvlText w:val="–"/>
      <w:lvlJc w:val="left"/>
      <w:pPr>
        <w:tabs>
          <w:tab w:val="num" w:pos="5040"/>
        </w:tabs>
        <w:ind w:left="5040" w:hanging="360"/>
      </w:pPr>
      <w:rPr>
        <w:rFonts w:ascii="Intel Clear" w:hAnsi="Intel Clear" w:hint="default"/>
      </w:rPr>
    </w:lvl>
    <w:lvl w:ilvl="7" w:tplc="27AA31CA" w:tentative="1">
      <w:start w:val="1"/>
      <w:numFmt w:val="bullet"/>
      <w:lvlText w:val="–"/>
      <w:lvlJc w:val="left"/>
      <w:pPr>
        <w:tabs>
          <w:tab w:val="num" w:pos="5760"/>
        </w:tabs>
        <w:ind w:left="5760" w:hanging="360"/>
      </w:pPr>
      <w:rPr>
        <w:rFonts w:ascii="Intel Clear" w:hAnsi="Intel Clear" w:hint="default"/>
      </w:rPr>
    </w:lvl>
    <w:lvl w:ilvl="8" w:tplc="6884FF00" w:tentative="1">
      <w:start w:val="1"/>
      <w:numFmt w:val="bullet"/>
      <w:lvlText w:val="–"/>
      <w:lvlJc w:val="left"/>
      <w:pPr>
        <w:tabs>
          <w:tab w:val="num" w:pos="6480"/>
        </w:tabs>
        <w:ind w:left="6480" w:hanging="360"/>
      </w:pPr>
      <w:rPr>
        <w:rFonts w:ascii="Intel Clear" w:hAnsi="Intel Clear" w:hint="default"/>
      </w:rPr>
    </w:lvl>
  </w:abstractNum>
  <w:abstractNum w:abstractNumId="30"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1"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num>
  <w:num w:numId="2">
    <w:abstractNumId w:val="15"/>
  </w:num>
  <w:num w:numId="3">
    <w:abstractNumId w:val="32"/>
  </w:num>
  <w:num w:numId="4">
    <w:abstractNumId w:val="7"/>
  </w:num>
  <w:num w:numId="5">
    <w:abstractNumId w:val="19"/>
  </w:num>
  <w:num w:numId="6">
    <w:abstractNumId w:val="23"/>
  </w:num>
  <w:num w:numId="7">
    <w:abstractNumId w:val="17"/>
  </w:num>
  <w:num w:numId="8">
    <w:abstractNumId w:val="18"/>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26"/>
  </w:num>
  <w:num w:numId="15">
    <w:abstractNumId w:val="28"/>
  </w:num>
  <w:num w:numId="16">
    <w:abstractNumId w:val="4"/>
  </w:num>
  <w:num w:numId="17">
    <w:abstractNumId w:val="31"/>
  </w:num>
  <w:num w:numId="18">
    <w:abstractNumId w:val="2"/>
  </w:num>
  <w:num w:numId="19">
    <w:abstractNumId w:val="22"/>
  </w:num>
  <w:num w:numId="20">
    <w:abstractNumId w:val="25"/>
  </w:num>
  <w:num w:numId="21">
    <w:abstractNumId w:val="11"/>
  </w:num>
  <w:num w:numId="22">
    <w:abstractNumId w:val="16"/>
  </w:num>
  <w:num w:numId="23">
    <w:abstractNumId w:val="8"/>
  </w:num>
  <w:num w:numId="24">
    <w:abstractNumId w:val="13"/>
  </w:num>
  <w:num w:numId="25">
    <w:abstractNumId w:val="24"/>
  </w:num>
  <w:num w:numId="26">
    <w:abstractNumId w:val="1"/>
  </w:num>
  <w:num w:numId="27">
    <w:abstractNumId w:val="20"/>
  </w:num>
  <w:num w:numId="28">
    <w:abstractNumId w:val="30"/>
  </w:num>
  <w:num w:numId="29">
    <w:abstractNumId w:val="27"/>
  </w:num>
  <w:num w:numId="30">
    <w:abstractNumId w:val="14"/>
  </w:num>
  <w:num w:numId="31">
    <w:abstractNumId w:val="12"/>
  </w:num>
  <w:num w:numId="32">
    <w:abstractNumId w:val="3"/>
  </w:num>
  <w:num w:numId="33">
    <w:abstractNumId w:val="9"/>
  </w:num>
  <w:num w:numId="34">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612"/>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4EEC"/>
    <w:rsid w:val="000350B6"/>
    <w:rsid w:val="0003540B"/>
    <w:rsid w:val="000355FA"/>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964"/>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304"/>
    <w:rsid w:val="000C0680"/>
    <w:rsid w:val="000C09A5"/>
    <w:rsid w:val="000C0E39"/>
    <w:rsid w:val="000C133A"/>
    <w:rsid w:val="000C134E"/>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E11"/>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3E3F"/>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AF"/>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0B"/>
    <w:rsid w:val="00187290"/>
    <w:rsid w:val="0018748A"/>
    <w:rsid w:val="0018767B"/>
    <w:rsid w:val="00190205"/>
    <w:rsid w:val="00190307"/>
    <w:rsid w:val="00190705"/>
    <w:rsid w:val="00190927"/>
    <w:rsid w:val="0019099B"/>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0F"/>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59"/>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0A0"/>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7A2"/>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994"/>
    <w:rsid w:val="002C3AE4"/>
    <w:rsid w:val="002C3C99"/>
    <w:rsid w:val="002C3E89"/>
    <w:rsid w:val="002C3FE2"/>
    <w:rsid w:val="002C403F"/>
    <w:rsid w:val="002C4758"/>
    <w:rsid w:val="002C4950"/>
    <w:rsid w:val="002C4FE1"/>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43D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A80"/>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92E"/>
    <w:rsid w:val="00343C24"/>
    <w:rsid w:val="00343EC7"/>
    <w:rsid w:val="00344118"/>
    <w:rsid w:val="0034413D"/>
    <w:rsid w:val="0034414A"/>
    <w:rsid w:val="003442E4"/>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D41"/>
    <w:rsid w:val="00370E3D"/>
    <w:rsid w:val="00370EFD"/>
    <w:rsid w:val="00370FBB"/>
    <w:rsid w:val="00371137"/>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5F17"/>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016"/>
    <w:rsid w:val="003E6592"/>
    <w:rsid w:val="003E67B0"/>
    <w:rsid w:val="003E7016"/>
    <w:rsid w:val="003E703E"/>
    <w:rsid w:val="003E7055"/>
    <w:rsid w:val="003E72C2"/>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3E"/>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83F"/>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40"/>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5F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7C6"/>
    <w:rsid w:val="004907F2"/>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831"/>
    <w:rsid w:val="00493D08"/>
    <w:rsid w:val="00493D31"/>
    <w:rsid w:val="00493DE6"/>
    <w:rsid w:val="004943C6"/>
    <w:rsid w:val="0049454F"/>
    <w:rsid w:val="0049457E"/>
    <w:rsid w:val="00494961"/>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5BB"/>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6F4"/>
    <w:rsid w:val="004B57FB"/>
    <w:rsid w:val="004B58C9"/>
    <w:rsid w:val="004B6301"/>
    <w:rsid w:val="004B68B3"/>
    <w:rsid w:val="004B6D95"/>
    <w:rsid w:val="004B6EC5"/>
    <w:rsid w:val="004B6FFB"/>
    <w:rsid w:val="004B795F"/>
    <w:rsid w:val="004B7BA5"/>
    <w:rsid w:val="004C029A"/>
    <w:rsid w:val="004C0346"/>
    <w:rsid w:val="004C03CC"/>
    <w:rsid w:val="004C0426"/>
    <w:rsid w:val="004C0627"/>
    <w:rsid w:val="004C0B5B"/>
    <w:rsid w:val="004C0E75"/>
    <w:rsid w:val="004C0F99"/>
    <w:rsid w:val="004C0FB1"/>
    <w:rsid w:val="004C130D"/>
    <w:rsid w:val="004C1329"/>
    <w:rsid w:val="004C1624"/>
    <w:rsid w:val="004C1DB8"/>
    <w:rsid w:val="004C1F0E"/>
    <w:rsid w:val="004C2371"/>
    <w:rsid w:val="004C2A1F"/>
    <w:rsid w:val="004C2C4E"/>
    <w:rsid w:val="004C2DC7"/>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5F95"/>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33F"/>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355"/>
    <w:rsid w:val="005347FB"/>
    <w:rsid w:val="00534869"/>
    <w:rsid w:val="005348B0"/>
    <w:rsid w:val="005349EB"/>
    <w:rsid w:val="00534AA6"/>
    <w:rsid w:val="00534C83"/>
    <w:rsid w:val="00535635"/>
    <w:rsid w:val="00535A27"/>
    <w:rsid w:val="00535EC8"/>
    <w:rsid w:val="005362D4"/>
    <w:rsid w:val="0053637E"/>
    <w:rsid w:val="00536578"/>
    <w:rsid w:val="005368D1"/>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57E50"/>
    <w:rsid w:val="005600E7"/>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5AE"/>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4A9"/>
    <w:rsid w:val="0058759B"/>
    <w:rsid w:val="0058764D"/>
    <w:rsid w:val="00587995"/>
    <w:rsid w:val="00587A26"/>
    <w:rsid w:val="0059002C"/>
    <w:rsid w:val="00590203"/>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541"/>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B7EC0"/>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2E0"/>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EE9"/>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67FC5"/>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2D6"/>
    <w:rsid w:val="00681464"/>
    <w:rsid w:val="006814D8"/>
    <w:rsid w:val="006819F6"/>
    <w:rsid w:val="006819F8"/>
    <w:rsid w:val="00681C23"/>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C0"/>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2F4D"/>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52"/>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4BD"/>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23A"/>
    <w:rsid w:val="007003E6"/>
    <w:rsid w:val="007006EE"/>
    <w:rsid w:val="0070152A"/>
    <w:rsid w:val="007017EA"/>
    <w:rsid w:val="0070181F"/>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576"/>
    <w:rsid w:val="0071059B"/>
    <w:rsid w:val="007107AB"/>
    <w:rsid w:val="00710994"/>
    <w:rsid w:val="007109CD"/>
    <w:rsid w:val="00710A3E"/>
    <w:rsid w:val="00710D33"/>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6B2"/>
    <w:rsid w:val="00770856"/>
    <w:rsid w:val="00770CEE"/>
    <w:rsid w:val="00770E21"/>
    <w:rsid w:val="00771081"/>
    <w:rsid w:val="007710DA"/>
    <w:rsid w:val="007715F7"/>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39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51E"/>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23A"/>
    <w:rsid w:val="00823277"/>
    <w:rsid w:val="00823335"/>
    <w:rsid w:val="008237B2"/>
    <w:rsid w:val="00823AE0"/>
    <w:rsid w:val="00823F61"/>
    <w:rsid w:val="008240CA"/>
    <w:rsid w:val="0082449E"/>
    <w:rsid w:val="008249FF"/>
    <w:rsid w:val="00824CEE"/>
    <w:rsid w:val="00824D7C"/>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A9B"/>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991"/>
    <w:rsid w:val="00851B22"/>
    <w:rsid w:val="0085202C"/>
    <w:rsid w:val="008521C5"/>
    <w:rsid w:val="00852338"/>
    <w:rsid w:val="00852772"/>
    <w:rsid w:val="00852D96"/>
    <w:rsid w:val="00852F3B"/>
    <w:rsid w:val="00853382"/>
    <w:rsid w:val="008533E7"/>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471C"/>
    <w:rsid w:val="00895243"/>
    <w:rsid w:val="0089550A"/>
    <w:rsid w:val="0089563D"/>
    <w:rsid w:val="00895A0C"/>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461"/>
    <w:rsid w:val="008D279A"/>
    <w:rsid w:val="008D28B3"/>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327"/>
    <w:rsid w:val="008E451A"/>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899"/>
    <w:rsid w:val="0092698B"/>
    <w:rsid w:val="009269EB"/>
    <w:rsid w:val="00926DE9"/>
    <w:rsid w:val="00927211"/>
    <w:rsid w:val="00927752"/>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ACA"/>
    <w:rsid w:val="00952FFA"/>
    <w:rsid w:val="009531BD"/>
    <w:rsid w:val="009532CD"/>
    <w:rsid w:val="00953675"/>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0E4"/>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509"/>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0B86"/>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8CB"/>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2AE"/>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37EC5"/>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2E01"/>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A5F"/>
    <w:rsid w:val="00A71D6B"/>
    <w:rsid w:val="00A72302"/>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0BA5"/>
    <w:rsid w:val="00AD12BD"/>
    <w:rsid w:val="00AD15F0"/>
    <w:rsid w:val="00AD163D"/>
    <w:rsid w:val="00AD1DFE"/>
    <w:rsid w:val="00AD1F06"/>
    <w:rsid w:val="00AD1F4E"/>
    <w:rsid w:val="00AD214B"/>
    <w:rsid w:val="00AD2574"/>
    <w:rsid w:val="00AD2579"/>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B1F"/>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9B5"/>
    <w:rsid w:val="00B35B58"/>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A13"/>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AC3"/>
    <w:rsid w:val="00B83DF6"/>
    <w:rsid w:val="00B83EC6"/>
    <w:rsid w:val="00B8408E"/>
    <w:rsid w:val="00B848A5"/>
    <w:rsid w:val="00B84B57"/>
    <w:rsid w:val="00B84BE8"/>
    <w:rsid w:val="00B84F2D"/>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6E"/>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5E3E"/>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2CE2"/>
    <w:rsid w:val="00BF31CB"/>
    <w:rsid w:val="00BF3202"/>
    <w:rsid w:val="00BF3292"/>
    <w:rsid w:val="00BF3697"/>
    <w:rsid w:val="00BF3B91"/>
    <w:rsid w:val="00BF3C10"/>
    <w:rsid w:val="00BF3F2F"/>
    <w:rsid w:val="00BF3FFA"/>
    <w:rsid w:val="00BF46F1"/>
    <w:rsid w:val="00BF4842"/>
    <w:rsid w:val="00BF4B69"/>
    <w:rsid w:val="00BF4E32"/>
    <w:rsid w:val="00BF50CE"/>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5ED8"/>
    <w:rsid w:val="00C261C5"/>
    <w:rsid w:val="00C263AE"/>
    <w:rsid w:val="00C26871"/>
    <w:rsid w:val="00C2695A"/>
    <w:rsid w:val="00C26998"/>
    <w:rsid w:val="00C27258"/>
    <w:rsid w:val="00C274BE"/>
    <w:rsid w:val="00C27F39"/>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6D3"/>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A38"/>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6F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E025E"/>
    <w:rsid w:val="00CE02B5"/>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A01"/>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3B93"/>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48"/>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D49"/>
    <w:rsid w:val="00DC3DE6"/>
    <w:rsid w:val="00DC3E1F"/>
    <w:rsid w:val="00DC3E9F"/>
    <w:rsid w:val="00DC4155"/>
    <w:rsid w:val="00DC44BA"/>
    <w:rsid w:val="00DC48F4"/>
    <w:rsid w:val="00DC4B72"/>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F49"/>
    <w:rsid w:val="00E2614A"/>
    <w:rsid w:val="00E2617B"/>
    <w:rsid w:val="00E261C8"/>
    <w:rsid w:val="00E26692"/>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25C"/>
    <w:rsid w:val="00E57482"/>
    <w:rsid w:val="00E5762B"/>
    <w:rsid w:val="00E5765B"/>
    <w:rsid w:val="00E578A1"/>
    <w:rsid w:val="00E57D5A"/>
    <w:rsid w:val="00E6000E"/>
    <w:rsid w:val="00E602C9"/>
    <w:rsid w:val="00E605A1"/>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B77"/>
    <w:rsid w:val="00E82D7F"/>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B70"/>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E6E"/>
    <w:rsid w:val="00EF5FA2"/>
    <w:rsid w:val="00EF6141"/>
    <w:rsid w:val="00EF63B9"/>
    <w:rsid w:val="00EF6513"/>
    <w:rsid w:val="00EF6645"/>
    <w:rsid w:val="00EF6A07"/>
    <w:rsid w:val="00EF6E38"/>
    <w:rsid w:val="00EF6EF5"/>
    <w:rsid w:val="00EF7614"/>
    <w:rsid w:val="00EF7878"/>
    <w:rsid w:val="00EF7C70"/>
    <w:rsid w:val="00EF7C8C"/>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0EC2"/>
    <w:rsid w:val="00FE125E"/>
    <w:rsid w:val="00FE1729"/>
    <w:rsid w:val="00FE20AB"/>
    <w:rsid w:val="00FE22FE"/>
    <w:rsid w:val="00FE257D"/>
    <w:rsid w:val="00FE2B7B"/>
    <w:rsid w:val="00FE2BCC"/>
    <w:rsid w:val="00FE2FBC"/>
    <w:rsid w:val="00FE3100"/>
    <w:rsid w:val="00FE3439"/>
    <w:rsid w:val="00FE34D4"/>
    <w:rsid w:val="00FE3768"/>
    <w:rsid w:val="00FE383C"/>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946D918B-2870-41FC-B18E-39DCE1E4E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007906">
      <w:bodyDiv w:val="1"/>
      <w:marLeft w:val="0"/>
      <w:marRight w:val="0"/>
      <w:marTop w:val="0"/>
      <w:marBottom w:val="0"/>
      <w:divBdr>
        <w:top w:val="none" w:sz="0" w:space="0" w:color="auto"/>
        <w:left w:val="none" w:sz="0" w:space="0" w:color="auto"/>
        <w:bottom w:val="none" w:sz="0" w:space="0" w:color="auto"/>
        <w:right w:val="none" w:sz="0" w:space="0" w:color="auto"/>
      </w:divBdr>
      <w:divsChild>
        <w:div w:id="89467542">
          <w:marLeft w:val="1526"/>
          <w:marRight w:val="0"/>
          <w:marTop w:val="48"/>
          <w:marBottom w:val="0"/>
          <w:divBdr>
            <w:top w:val="none" w:sz="0" w:space="0" w:color="auto"/>
            <w:left w:val="none" w:sz="0" w:space="0" w:color="auto"/>
            <w:bottom w:val="none" w:sz="0" w:space="0" w:color="auto"/>
            <w:right w:val="none" w:sz="0" w:space="0" w:color="auto"/>
          </w:divBdr>
        </w:div>
        <w:div w:id="144781556">
          <w:marLeft w:val="1526"/>
          <w:marRight w:val="0"/>
          <w:marTop w:val="48"/>
          <w:marBottom w:val="0"/>
          <w:divBdr>
            <w:top w:val="none" w:sz="0" w:space="0" w:color="auto"/>
            <w:left w:val="none" w:sz="0" w:space="0" w:color="auto"/>
            <w:bottom w:val="none" w:sz="0" w:space="0" w:color="auto"/>
            <w:right w:val="none" w:sz="0" w:space="0" w:color="auto"/>
          </w:divBdr>
        </w:div>
        <w:div w:id="1040208335">
          <w:marLeft w:val="907"/>
          <w:marRight w:val="0"/>
          <w:marTop w:val="160"/>
          <w:marBottom w:val="0"/>
          <w:divBdr>
            <w:top w:val="none" w:sz="0" w:space="0" w:color="auto"/>
            <w:left w:val="none" w:sz="0" w:space="0" w:color="auto"/>
            <w:bottom w:val="none" w:sz="0" w:space="0" w:color="auto"/>
            <w:right w:val="none" w:sz="0" w:space="0" w:color="auto"/>
          </w:divBdr>
        </w:div>
        <w:div w:id="1199120286">
          <w:marLeft w:val="907"/>
          <w:marRight w:val="0"/>
          <w:marTop w:val="160"/>
          <w:marBottom w:val="0"/>
          <w:divBdr>
            <w:top w:val="none" w:sz="0" w:space="0" w:color="auto"/>
            <w:left w:val="none" w:sz="0" w:space="0" w:color="auto"/>
            <w:bottom w:val="none" w:sz="0" w:space="0" w:color="auto"/>
            <w:right w:val="none" w:sz="0" w:space="0" w:color="auto"/>
          </w:divBdr>
        </w:div>
        <w:div w:id="1702243125">
          <w:marLeft w:val="1526"/>
          <w:marRight w:val="0"/>
          <w:marTop w:val="48"/>
          <w:marBottom w:val="0"/>
          <w:divBdr>
            <w:top w:val="none" w:sz="0" w:space="0" w:color="auto"/>
            <w:left w:val="none" w:sz="0" w:space="0" w:color="auto"/>
            <w:bottom w:val="none" w:sz="0" w:space="0" w:color="auto"/>
            <w:right w:val="none" w:sz="0" w:space="0" w:color="auto"/>
          </w:divBdr>
        </w:div>
        <w:div w:id="1867525956">
          <w:marLeft w:val="1526"/>
          <w:marRight w:val="0"/>
          <w:marTop w:val="48"/>
          <w:marBottom w:val="0"/>
          <w:divBdr>
            <w:top w:val="none" w:sz="0" w:space="0" w:color="auto"/>
            <w:left w:val="none" w:sz="0" w:space="0" w:color="auto"/>
            <w:bottom w:val="none" w:sz="0" w:space="0" w:color="auto"/>
            <w:right w:val="none" w:sz="0" w:space="0" w:color="auto"/>
          </w:divBdr>
        </w:div>
      </w:divsChild>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66542678">
      <w:bodyDiv w:val="1"/>
      <w:marLeft w:val="0"/>
      <w:marRight w:val="0"/>
      <w:marTop w:val="0"/>
      <w:marBottom w:val="0"/>
      <w:divBdr>
        <w:top w:val="none" w:sz="0" w:space="0" w:color="auto"/>
        <w:left w:val="none" w:sz="0" w:space="0" w:color="auto"/>
        <w:bottom w:val="none" w:sz="0" w:space="0" w:color="auto"/>
        <w:right w:val="none" w:sz="0" w:space="0" w:color="auto"/>
      </w:divBdr>
      <w:divsChild>
        <w:div w:id="205871995">
          <w:marLeft w:val="907"/>
          <w:marRight w:val="0"/>
          <w:marTop w:val="160"/>
          <w:marBottom w:val="0"/>
          <w:divBdr>
            <w:top w:val="none" w:sz="0" w:space="0" w:color="auto"/>
            <w:left w:val="none" w:sz="0" w:space="0" w:color="auto"/>
            <w:bottom w:val="none" w:sz="0" w:space="0" w:color="auto"/>
            <w:right w:val="none" w:sz="0" w:space="0" w:color="auto"/>
          </w:divBdr>
        </w:div>
        <w:div w:id="1300376877">
          <w:marLeft w:val="907"/>
          <w:marRight w:val="0"/>
          <w:marTop w:val="160"/>
          <w:marBottom w:val="0"/>
          <w:divBdr>
            <w:top w:val="none" w:sz="0" w:space="0" w:color="auto"/>
            <w:left w:val="none" w:sz="0" w:space="0" w:color="auto"/>
            <w:bottom w:val="none" w:sz="0" w:space="0" w:color="auto"/>
            <w:right w:val="none" w:sz="0" w:space="0" w:color="auto"/>
          </w:divBdr>
        </w:div>
        <w:div w:id="336546172">
          <w:marLeft w:val="1526"/>
          <w:marRight w:val="0"/>
          <w:marTop w:val="43"/>
          <w:marBottom w:val="0"/>
          <w:divBdr>
            <w:top w:val="none" w:sz="0" w:space="0" w:color="auto"/>
            <w:left w:val="none" w:sz="0" w:space="0" w:color="auto"/>
            <w:bottom w:val="none" w:sz="0" w:space="0" w:color="auto"/>
            <w:right w:val="none" w:sz="0" w:space="0" w:color="auto"/>
          </w:divBdr>
        </w:div>
        <w:div w:id="370155849">
          <w:marLeft w:val="1526"/>
          <w:marRight w:val="0"/>
          <w:marTop w:val="43"/>
          <w:marBottom w:val="0"/>
          <w:divBdr>
            <w:top w:val="none" w:sz="0" w:space="0" w:color="auto"/>
            <w:left w:val="none" w:sz="0" w:space="0" w:color="auto"/>
            <w:bottom w:val="none" w:sz="0" w:space="0" w:color="auto"/>
            <w:right w:val="none" w:sz="0" w:space="0" w:color="auto"/>
          </w:divBdr>
        </w:div>
        <w:div w:id="992484137">
          <w:marLeft w:val="1526"/>
          <w:marRight w:val="0"/>
          <w:marTop w:val="43"/>
          <w:marBottom w:val="0"/>
          <w:divBdr>
            <w:top w:val="none" w:sz="0" w:space="0" w:color="auto"/>
            <w:left w:val="none" w:sz="0" w:space="0" w:color="auto"/>
            <w:bottom w:val="none" w:sz="0" w:space="0" w:color="auto"/>
            <w:right w:val="none" w:sz="0" w:space="0" w:color="auto"/>
          </w:divBdr>
        </w:div>
        <w:div w:id="553664674">
          <w:marLeft w:val="1526"/>
          <w:marRight w:val="0"/>
          <w:marTop w:val="43"/>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038315">
      <w:bodyDiv w:val="1"/>
      <w:marLeft w:val="0"/>
      <w:marRight w:val="0"/>
      <w:marTop w:val="0"/>
      <w:marBottom w:val="0"/>
      <w:divBdr>
        <w:top w:val="none" w:sz="0" w:space="0" w:color="auto"/>
        <w:left w:val="none" w:sz="0" w:space="0" w:color="auto"/>
        <w:bottom w:val="none" w:sz="0" w:space="0" w:color="auto"/>
        <w:right w:val="none" w:sz="0" w:space="0" w:color="auto"/>
      </w:divBdr>
      <w:divsChild>
        <w:div w:id="180703496">
          <w:marLeft w:val="1526"/>
          <w:marRight w:val="0"/>
          <w:marTop w:val="48"/>
          <w:marBottom w:val="0"/>
          <w:divBdr>
            <w:top w:val="none" w:sz="0" w:space="0" w:color="auto"/>
            <w:left w:val="none" w:sz="0" w:space="0" w:color="auto"/>
            <w:bottom w:val="none" w:sz="0" w:space="0" w:color="auto"/>
            <w:right w:val="none" w:sz="0" w:space="0" w:color="auto"/>
          </w:divBdr>
        </w:div>
        <w:div w:id="1101993600">
          <w:marLeft w:val="907"/>
          <w:marRight w:val="0"/>
          <w:marTop w:val="160"/>
          <w:marBottom w:val="0"/>
          <w:divBdr>
            <w:top w:val="none" w:sz="0" w:space="0" w:color="auto"/>
            <w:left w:val="none" w:sz="0" w:space="0" w:color="auto"/>
            <w:bottom w:val="none" w:sz="0" w:space="0" w:color="auto"/>
            <w:right w:val="none" w:sz="0" w:space="0" w:color="auto"/>
          </w:divBdr>
        </w:div>
        <w:div w:id="1160196577">
          <w:marLeft w:val="1526"/>
          <w:marRight w:val="0"/>
          <w:marTop w:val="48"/>
          <w:marBottom w:val="0"/>
          <w:divBdr>
            <w:top w:val="none" w:sz="0" w:space="0" w:color="auto"/>
            <w:left w:val="none" w:sz="0" w:space="0" w:color="auto"/>
            <w:bottom w:val="none" w:sz="0" w:space="0" w:color="auto"/>
            <w:right w:val="none" w:sz="0" w:space="0" w:color="auto"/>
          </w:divBdr>
        </w:div>
        <w:div w:id="1180659497">
          <w:marLeft w:val="907"/>
          <w:marRight w:val="0"/>
          <w:marTop w:val="160"/>
          <w:marBottom w:val="0"/>
          <w:divBdr>
            <w:top w:val="none" w:sz="0" w:space="0" w:color="auto"/>
            <w:left w:val="none" w:sz="0" w:space="0" w:color="auto"/>
            <w:bottom w:val="none" w:sz="0" w:space="0" w:color="auto"/>
            <w:right w:val="none" w:sz="0" w:space="0" w:color="auto"/>
          </w:divBdr>
        </w:div>
        <w:div w:id="1766268120">
          <w:marLeft w:val="1526"/>
          <w:marRight w:val="0"/>
          <w:marTop w:val="48"/>
          <w:marBottom w:val="0"/>
          <w:divBdr>
            <w:top w:val="none" w:sz="0" w:space="0" w:color="auto"/>
            <w:left w:val="none" w:sz="0" w:space="0" w:color="auto"/>
            <w:bottom w:val="none" w:sz="0" w:space="0" w:color="auto"/>
            <w:right w:val="none" w:sz="0" w:space="0" w:color="auto"/>
          </w:divBdr>
        </w:div>
        <w:div w:id="1808011379">
          <w:marLeft w:val="1526"/>
          <w:marRight w:val="0"/>
          <w:marTop w:val="48"/>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2934088">
      <w:bodyDiv w:val="1"/>
      <w:marLeft w:val="0"/>
      <w:marRight w:val="0"/>
      <w:marTop w:val="0"/>
      <w:marBottom w:val="0"/>
      <w:divBdr>
        <w:top w:val="none" w:sz="0" w:space="0" w:color="auto"/>
        <w:left w:val="none" w:sz="0" w:space="0" w:color="auto"/>
        <w:bottom w:val="none" w:sz="0" w:space="0" w:color="auto"/>
        <w:right w:val="none" w:sz="0" w:space="0" w:color="auto"/>
      </w:divBdr>
      <w:divsChild>
        <w:div w:id="13386145">
          <w:marLeft w:val="1526"/>
          <w:marRight w:val="0"/>
          <w:marTop w:val="48"/>
          <w:marBottom w:val="0"/>
          <w:divBdr>
            <w:top w:val="none" w:sz="0" w:space="0" w:color="auto"/>
            <w:left w:val="none" w:sz="0" w:space="0" w:color="auto"/>
            <w:bottom w:val="none" w:sz="0" w:space="0" w:color="auto"/>
            <w:right w:val="none" w:sz="0" w:space="0" w:color="auto"/>
          </w:divBdr>
        </w:div>
        <w:div w:id="393433746">
          <w:marLeft w:val="1526"/>
          <w:marRight w:val="0"/>
          <w:marTop w:val="48"/>
          <w:marBottom w:val="0"/>
          <w:divBdr>
            <w:top w:val="none" w:sz="0" w:space="0" w:color="auto"/>
            <w:left w:val="none" w:sz="0" w:space="0" w:color="auto"/>
            <w:bottom w:val="none" w:sz="0" w:space="0" w:color="auto"/>
            <w:right w:val="none" w:sz="0" w:space="0" w:color="auto"/>
          </w:divBdr>
        </w:div>
        <w:div w:id="1209874528">
          <w:marLeft w:val="1526"/>
          <w:marRight w:val="0"/>
          <w:marTop w:val="48"/>
          <w:marBottom w:val="0"/>
          <w:divBdr>
            <w:top w:val="none" w:sz="0" w:space="0" w:color="auto"/>
            <w:left w:val="none" w:sz="0" w:space="0" w:color="auto"/>
            <w:bottom w:val="none" w:sz="0" w:space="0" w:color="auto"/>
            <w:right w:val="none" w:sz="0" w:space="0" w:color="auto"/>
          </w:divBdr>
        </w:div>
        <w:div w:id="1398431799">
          <w:marLeft w:val="1526"/>
          <w:marRight w:val="0"/>
          <w:marTop w:val="48"/>
          <w:marBottom w:val="0"/>
          <w:divBdr>
            <w:top w:val="none" w:sz="0" w:space="0" w:color="auto"/>
            <w:left w:val="none" w:sz="0" w:space="0" w:color="auto"/>
            <w:bottom w:val="none" w:sz="0" w:space="0" w:color="auto"/>
            <w:right w:val="none" w:sz="0" w:space="0" w:color="auto"/>
          </w:divBdr>
        </w:div>
        <w:div w:id="1784613689">
          <w:marLeft w:val="907"/>
          <w:marRight w:val="0"/>
          <w:marTop w:val="160"/>
          <w:marBottom w:val="0"/>
          <w:divBdr>
            <w:top w:val="none" w:sz="0" w:space="0" w:color="auto"/>
            <w:left w:val="none" w:sz="0" w:space="0" w:color="auto"/>
            <w:bottom w:val="none" w:sz="0" w:space="0" w:color="auto"/>
            <w:right w:val="none" w:sz="0" w:space="0" w:color="auto"/>
          </w:divBdr>
        </w:div>
        <w:div w:id="2007323992">
          <w:marLeft w:val="907"/>
          <w:marRight w:val="0"/>
          <w:marTop w:val="160"/>
          <w:marBottom w:val="0"/>
          <w:divBdr>
            <w:top w:val="none" w:sz="0" w:space="0" w:color="auto"/>
            <w:left w:val="none" w:sz="0" w:space="0" w:color="auto"/>
            <w:bottom w:val="none" w:sz="0" w:space="0" w:color="auto"/>
            <w:right w:val="none" w:sz="0" w:space="0" w:color="auto"/>
          </w:divBdr>
        </w:div>
      </w:divsChild>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2F737F-617D-499D-8299-59BD2D1F3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04652A4-0DF0-4700-A4B3-77694D85ADB7}">
  <ds:schemaRefs>
    <ds:schemaRef ds:uri="http://schemas.openxmlformats.org/officeDocument/2006/bibliography"/>
  </ds:schemaRefs>
</ds:datastoreItem>
</file>

<file path=customXml/itemProps5.xml><?xml version="1.0" encoding="utf-8"?>
<ds:datastoreItem xmlns:ds="http://schemas.openxmlformats.org/officeDocument/2006/customXml" ds:itemID="{2036A4F8-52E1-4B87-8196-5103E6B11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7353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Intel (Seau Sian)</cp:lastModifiedBy>
  <cp:revision>3</cp:revision>
  <cp:lastPrinted>2011-11-10T21:49:00Z</cp:lastPrinted>
  <dcterms:created xsi:type="dcterms:W3CDTF">2019-08-15T19:41:00Z</dcterms:created>
  <dcterms:modified xsi:type="dcterms:W3CDTF">2019-08-15T19:43:00Z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2019-08-15 06:21:42Z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