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F06" w:rsidRDefault="005A73DE" w:rsidP="00673D43">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7</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R2-1</w:t>
      </w:r>
      <w:r w:rsidR="0063263F">
        <w:rPr>
          <w:rFonts w:ascii="Arial" w:hAnsi="Arial" w:cs="Arial"/>
          <w:b/>
          <w:bCs/>
          <w:snapToGrid w:val="0"/>
          <w:kern w:val="0"/>
          <w:sz w:val="24"/>
        </w:rPr>
        <w:t>909270</w:t>
      </w:r>
    </w:p>
    <w:p w:rsidR="00A60F06" w:rsidRDefault="005A73DE" w:rsidP="00673D43">
      <w:pPr>
        <w:overflowPunct w:val="0"/>
        <w:autoSpaceDE w:val="0"/>
        <w:autoSpaceDN w:val="0"/>
        <w:adjustRightInd w:val="0"/>
        <w:snapToGrid w:val="0"/>
        <w:spacing w:line="240" w:lineRule="auto"/>
        <w:textAlignment w:val="baseline"/>
        <w:rPr>
          <w:rFonts w:ascii="Arial" w:hAnsi="Arial" w:cs="Arial"/>
          <w:b/>
          <w:bCs/>
          <w:kern w:val="0"/>
          <w:sz w:val="24"/>
          <w:lang w:val="en-GB"/>
        </w:rPr>
      </w:pPr>
      <w:r>
        <w:rPr>
          <w:rFonts w:ascii="Arial" w:hAnsi="Arial" w:cs="Arial" w:hint="eastAsia"/>
          <w:b/>
          <w:bCs/>
          <w:kern w:val="0"/>
          <w:sz w:val="24"/>
        </w:rPr>
        <w:t>Prague</w:t>
      </w:r>
      <w:r>
        <w:rPr>
          <w:rFonts w:ascii="Arial" w:hAnsi="Arial" w:cs="Arial"/>
          <w:b/>
          <w:bCs/>
          <w:kern w:val="0"/>
          <w:sz w:val="24"/>
          <w:lang w:val="en-GB"/>
        </w:rPr>
        <w:t xml:space="preserve">, </w:t>
      </w:r>
      <w:r>
        <w:rPr>
          <w:rFonts w:ascii="Arial" w:hAnsi="Arial" w:cs="Arial" w:hint="eastAsia"/>
          <w:b/>
          <w:bCs/>
          <w:kern w:val="0"/>
          <w:sz w:val="24"/>
        </w:rPr>
        <w:t>Czech</w:t>
      </w:r>
      <w:r>
        <w:rPr>
          <w:rFonts w:ascii="Arial" w:hAnsi="Arial" w:cs="Arial"/>
          <w:b/>
          <w:bCs/>
          <w:kern w:val="0"/>
          <w:sz w:val="24"/>
          <w:lang w:val="en-GB"/>
        </w:rPr>
        <w:t xml:space="preserve">, </w:t>
      </w:r>
      <w:r>
        <w:rPr>
          <w:rFonts w:ascii="Arial" w:hAnsi="Arial" w:cs="Arial" w:hint="eastAsia"/>
          <w:b/>
          <w:bCs/>
          <w:kern w:val="0"/>
          <w:sz w:val="24"/>
        </w:rPr>
        <w:t>26</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30</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Aug</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p>
    <w:p w:rsidR="00A60F06" w:rsidRDefault="005A73DE" w:rsidP="00673D43">
      <w:pPr>
        <w:overflowPunct w:val="0"/>
        <w:autoSpaceDE w:val="0"/>
        <w:autoSpaceDN w:val="0"/>
        <w:adjustRightInd w:val="0"/>
        <w:snapToGrid w:val="0"/>
        <w:spacing w:line="240" w:lineRule="auto"/>
        <w:textAlignment w:val="baseline"/>
        <w:rPr>
          <w:rFonts w:ascii="Arial" w:hAnsi="Arial" w:cs="Arial"/>
          <w:b/>
          <w:bCs/>
          <w:kern w:val="0"/>
          <w:sz w:val="24"/>
        </w:rPr>
      </w:pPr>
      <w:r>
        <w:rPr>
          <w:rFonts w:ascii="Arial" w:hAnsi="Arial" w:cs="Arial"/>
          <w:b/>
          <w:bCs/>
          <w:kern w:val="0"/>
          <w:sz w:val="24"/>
          <w:lang w:val="en-GB"/>
        </w:rPr>
        <w:t xml:space="preserve"> </w:t>
      </w:r>
    </w:p>
    <w:p w:rsidR="00A60F06" w:rsidRDefault="005A73DE" w:rsidP="00673D43">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A60F06" w:rsidRDefault="005A73DE" w:rsidP="00673D43">
      <w:pPr>
        <w:overflowPunct w:val="0"/>
        <w:autoSpaceDE w:val="0"/>
        <w:autoSpaceDN w:val="0"/>
        <w:adjustRightInd w:val="0"/>
        <w:snapToGrid w:val="0"/>
        <w:spacing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PCI split for the Private Network</w:t>
      </w:r>
    </w:p>
    <w:p w:rsidR="00A60F06" w:rsidRDefault="005A73DE" w:rsidP="00673D43">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w:t>
      </w:r>
      <w:r w:rsidR="00BC248F">
        <w:rPr>
          <w:rFonts w:ascii="Arial" w:hAnsi="Arial" w:cs="Arial"/>
          <w:b/>
          <w:bCs/>
          <w:snapToGrid w:val="0"/>
          <w:kern w:val="0"/>
          <w:sz w:val="24"/>
        </w:rPr>
        <w:t>1</w:t>
      </w:r>
      <w:r>
        <w:rPr>
          <w:rFonts w:ascii="Arial" w:hAnsi="Arial" w:cs="Arial" w:hint="eastAsia"/>
          <w:b/>
          <w:bCs/>
          <w:snapToGrid w:val="0"/>
          <w:kern w:val="0"/>
          <w:sz w:val="24"/>
        </w:rPr>
        <w:t>8</w:t>
      </w:r>
    </w:p>
    <w:p w:rsidR="00A60F06" w:rsidRDefault="005A73DE" w:rsidP="00673D43">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A60F06" w:rsidRDefault="005A73DE" w:rsidP="00673D4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85662" w:rsidRDefault="00185662" w:rsidP="00673D43">
      <w:pPr>
        <w:rPr>
          <w:rFonts w:cstheme="minorHAnsi"/>
        </w:rPr>
      </w:pPr>
      <w:r>
        <w:rPr>
          <w:rFonts w:cstheme="minorHAnsi"/>
          <w:lang w:val="en-GB"/>
        </w:rPr>
        <w:t>In RAN Plenary #83,</w:t>
      </w:r>
      <w:r>
        <w:rPr>
          <w:rFonts w:cstheme="minorHAnsi" w:hint="eastAsia"/>
        </w:rPr>
        <w:t xml:space="preserve"> a new Work Item on private network was approved [1] with the following objectives:</w:t>
      </w:r>
    </w:p>
    <w:tbl>
      <w:tblPr>
        <w:tblStyle w:val="afd"/>
        <w:tblW w:w="8363" w:type="dxa"/>
        <w:tblInd w:w="704" w:type="dxa"/>
        <w:tblLayout w:type="fixed"/>
        <w:tblLook w:val="04A0" w:firstRow="1" w:lastRow="0" w:firstColumn="1" w:lastColumn="0" w:noHBand="0" w:noVBand="1"/>
      </w:tblPr>
      <w:tblGrid>
        <w:gridCol w:w="8363"/>
      </w:tblGrid>
      <w:tr w:rsidR="00AE728A" w:rsidTr="006E4FB8">
        <w:tc>
          <w:tcPr>
            <w:tcW w:w="8363" w:type="dxa"/>
          </w:tcPr>
          <w:p w:rsidR="00AE728A" w:rsidRDefault="00AE728A" w:rsidP="006E4FB8">
            <w:pPr>
              <w:numPr>
                <w:ilvl w:val="0"/>
                <w:numId w:val="5"/>
              </w:numPr>
              <w:ind w:right="-99"/>
              <w:rPr>
                <w:rFonts w:eastAsia="Malgun Gothic"/>
                <w:i/>
                <w:iCs/>
                <w:sz w:val="18"/>
                <w:szCs w:val="18"/>
              </w:rPr>
            </w:pPr>
            <w:r>
              <w:rPr>
                <w:rFonts w:eastAsia="Malgun Gothic"/>
                <w:i/>
                <w:iCs/>
                <w:sz w:val="18"/>
                <w:szCs w:val="18"/>
              </w:rPr>
              <w:t>Support NPN functionality in NG-RAN:</w:t>
            </w:r>
          </w:p>
          <w:p w:rsidR="00AE728A" w:rsidRDefault="00AE728A" w:rsidP="006E4FB8">
            <w:pPr>
              <w:numPr>
                <w:ilvl w:val="1"/>
                <w:numId w:val="5"/>
              </w:numPr>
              <w:ind w:right="-99"/>
              <w:rPr>
                <w:rFonts w:eastAsia="Malgun Gothic"/>
                <w:i/>
                <w:iCs/>
                <w:sz w:val="18"/>
                <w:szCs w:val="18"/>
              </w:rPr>
            </w:pPr>
            <w:r>
              <w:rPr>
                <w:rFonts w:eastAsia="Malgun Gothic"/>
                <w:i/>
                <w:iCs/>
                <w:sz w:val="18"/>
                <w:szCs w:val="18"/>
              </w:rPr>
              <w:t>CAG/SNPN relevant parameter broadcast from SIB</w:t>
            </w:r>
            <w:r>
              <w:rPr>
                <w:rFonts w:eastAsia="Malgun Gothic" w:hint="eastAsia"/>
                <w:i/>
                <w:iCs/>
                <w:sz w:val="18"/>
                <w:szCs w:val="18"/>
              </w:rPr>
              <w:t xml:space="preserve"> </w:t>
            </w:r>
            <w:r>
              <w:rPr>
                <w:rFonts w:eastAsia="Malgun Gothic"/>
                <w:i/>
                <w:iCs/>
                <w:sz w:val="18"/>
                <w:szCs w:val="18"/>
              </w:rPr>
              <w:t>[RAN2]</w:t>
            </w:r>
          </w:p>
          <w:p w:rsidR="00AE728A" w:rsidRDefault="00AE728A" w:rsidP="006E4FB8">
            <w:pPr>
              <w:numPr>
                <w:ilvl w:val="1"/>
                <w:numId w:val="5"/>
              </w:numPr>
              <w:ind w:right="-99"/>
              <w:rPr>
                <w:rFonts w:eastAsia="Malgun Gothic"/>
                <w:i/>
                <w:iCs/>
                <w:sz w:val="18"/>
                <w:szCs w:val="18"/>
              </w:rPr>
            </w:pPr>
            <w:r>
              <w:rPr>
                <w:rFonts w:eastAsia="Malgun Gothic"/>
                <w:i/>
                <w:iCs/>
                <w:sz w:val="18"/>
                <w:szCs w:val="18"/>
              </w:rPr>
              <w:t>CAG/SNPN cell selection/reselection [RAN2]</w:t>
            </w:r>
          </w:p>
          <w:p w:rsidR="00AE728A" w:rsidRDefault="00AE728A" w:rsidP="006E4FB8">
            <w:pPr>
              <w:numPr>
                <w:ilvl w:val="1"/>
                <w:numId w:val="5"/>
              </w:numPr>
              <w:ind w:right="-99"/>
              <w:rPr>
                <w:rFonts w:eastAsia="Malgun Gothic"/>
                <w:i/>
                <w:iCs/>
                <w:sz w:val="18"/>
                <w:szCs w:val="18"/>
              </w:rPr>
            </w:pPr>
            <w:r>
              <w:rPr>
                <w:rFonts w:eastAsia="Malgun Gothic"/>
                <w:i/>
                <w:iCs/>
                <w:sz w:val="18"/>
                <w:szCs w:val="18"/>
              </w:rPr>
              <w:t>CAG/SNPN cell access control [RAN2/3]</w:t>
            </w:r>
          </w:p>
          <w:p w:rsidR="00AE728A" w:rsidRDefault="00AE728A" w:rsidP="006E4FB8">
            <w:pPr>
              <w:numPr>
                <w:ilvl w:val="1"/>
                <w:numId w:val="5"/>
              </w:numPr>
              <w:ind w:right="-99"/>
              <w:rPr>
                <w:rFonts w:eastAsia="Malgun Gothic"/>
                <w:i/>
                <w:iCs/>
                <w:sz w:val="18"/>
                <w:szCs w:val="18"/>
              </w:rPr>
            </w:pPr>
            <w:r>
              <w:rPr>
                <w:rFonts w:eastAsia="Malgun Gothic"/>
                <w:i/>
                <w:iCs/>
                <w:sz w:val="18"/>
                <w:szCs w:val="18"/>
              </w:rPr>
              <w:t xml:space="preserve">For CAG, in the case of Intra-RAT intra-system and inter-RAT intra-system, the connected mode mobility support [RAN2/3] </w:t>
            </w:r>
          </w:p>
          <w:p w:rsidR="00AE728A" w:rsidRDefault="00AE728A" w:rsidP="006E4FB8">
            <w:pPr>
              <w:numPr>
                <w:ilvl w:val="1"/>
                <w:numId w:val="5"/>
              </w:numPr>
              <w:ind w:right="-99"/>
              <w:rPr>
                <w:rFonts w:eastAsia="Malgun Gothic" w:cstheme="minorHAnsi"/>
              </w:rPr>
            </w:pPr>
            <w:r>
              <w:rPr>
                <w:rFonts w:eastAsia="Malgun Gothic"/>
                <w:i/>
                <w:iCs/>
                <w:sz w:val="18"/>
                <w:szCs w:val="18"/>
              </w:rPr>
              <w:t>The connected mode mobility support within SNPN[RAN2/3]</w:t>
            </w:r>
          </w:p>
        </w:tc>
      </w:tr>
    </w:tbl>
    <w:p w:rsidR="00185662" w:rsidRPr="00593F68" w:rsidRDefault="00185662" w:rsidP="00593F68">
      <w:pPr>
        <w:rPr>
          <w:rFonts w:cstheme="minorHAnsi"/>
          <w:lang w:val="en-GB"/>
        </w:rPr>
      </w:pPr>
      <w:r w:rsidRPr="00593F68">
        <w:rPr>
          <w:rFonts w:cstheme="minorHAnsi"/>
          <w:lang w:val="en-GB"/>
        </w:rPr>
        <w:t xml:space="preserve">During the CSG discussion, the PCI split function was proposed to assist cell selection and reselection. </w:t>
      </w:r>
      <w:r w:rsidRPr="00593F68">
        <w:rPr>
          <w:rFonts w:cstheme="minorHAnsi" w:hint="eastAsia"/>
          <w:lang w:val="en-GB"/>
        </w:rPr>
        <w:t>I</w:t>
      </w:r>
      <w:r w:rsidRPr="00593F68">
        <w:rPr>
          <w:rFonts w:cstheme="minorHAnsi"/>
          <w:lang w:val="en-GB"/>
        </w:rPr>
        <w:t>n this contribution, we discuss PCI split related issues for the SNPN and CAG.</w:t>
      </w:r>
    </w:p>
    <w:p w:rsidR="00A60F06" w:rsidRDefault="005A73DE" w:rsidP="00673D4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78254E" w:rsidRPr="00593F68" w:rsidRDefault="0078254E" w:rsidP="00673D43">
      <w:pPr>
        <w:rPr>
          <w:rFonts w:cstheme="minorHAnsi"/>
          <w:lang w:val="en-GB"/>
        </w:rPr>
      </w:pPr>
      <w:r w:rsidRPr="00593F68">
        <w:rPr>
          <w:rFonts w:cstheme="minorHAnsi" w:hint="eastAsia"/>
          <w:lang w:val="en-GB"/>
        </w:rPr>
        <w:t xml:space="preserve">In this chapter, we first give a short </w:t>
      </w:r>
      <w:r w:rsidRPr="00593F68">
        <w:rPr>
          <w:rFonts w:cstheme="minorHAnsi"/>
          <w:lang w:val="en-GB"/>
        </w:rPr>
        <w:t>description</w:t>
      </w:r>
      <w:r w:rsidRPr="00593F68">
        <w:rPr>
          <w:rFonts w:cstheme="minorHAnsi" w:hint="eastAsia"/>
          <w:lang w:val="en-GB"/>
        </w:rPr>
        <w:t xml:space="preserve"> of the PCI split function in the CSG, and then </w:t>
      </w:r>
      <w:r w:rsidRPr="00593F68">
        <w:rPr>
          <w:rFonts w:cstheme="minorHAnsi"/>
          <w:lang w:val="en-GB"/>
        </w:rPr>
        <w:t>analyze</w:t>
      </w:r>
      <w:r w:rsidRPr="00593F68">
        <w:rPr>
          <w:rFonts w:cstheme="minorHAnsi" w:hint="eastAsia"/>
          <w:lang w:val="en-GB"/>
        </w:rPr>
        <w:t xml:space="preserve"> it</w:t>
      </w:r>
      <w:r w:rsidRPr="00593F68">
        <w:rPr>
          <w:rFonts w:cstheme="minorHAnsi"/>
          <w:lang w:val="en-GB"/>
        </w:rPr>
        <w:t>s benefits for the SNPN/CAG networks, at last we discuss whether some enhancement are needed for the private networks</w:t>
      </w:r>
      <w:r w:rsidR="00B54BC9" w:rsidRPr="00593F68">
        <w:rPr>
          <w:rFonts w:cstheme="minorHAnsi"/>
          <w:lang w:val="en-GB"/>
        </w:rPr>
        <w:t>.</w:t>
      </w:r>
    </w:p>
    <w:p w:rsidR="0078254E" w:rsidRPr="00B54BC9" w:rsidRDefault="0078254E" w:rsidP="00673D43">
      <w:pPr>
        <w:rPr>
          <w:rFonts w:ascii="Arial" w:eastAsia="Arial Unicode MS" w:hAnsi="Arial" w:cs="Arial"/>
          <w:sz w:val="28"/>
          <w:szCs w:val="28"/>
        </w:rPr>
      </w:pPr>
      <w:r w:rsidRPr="00B54BC9">
        <w:rPr>
          <w:rFonts w:ascii="Arial" w:eastAsia="Arial Unicode MS" w:hAnsi="Arial" w:cs="Arial"/>
          <w:sz w:val="28"/>
          <w:szCs w:val="28"/>
        </w:rPr>
        <w:t>2.1 PCI split function in the CSG</w:t>
      </w:r>
    </w:p>
    <w:p w:rsidR="008462A5" w:rsidRPr="00593F68" w:rsidRDefault="00DE7E91" w:rsidP="00593F68">
      <w:pPr>
        <w:rPr>
          <w:rFonts w:cstheme="minorHAnsi"/>
          <w:lang w:val="en-GB"/>
        </w:rPr>
      </w:pPr>
      <w:r w:rsidRPr="00593F68">
        <w:rPr>
          <w:rFonts w:cstheme="minorHAnsi" w:hint="eastAsia"/>
          <w:lang w:val="en-GB"/>
        </w:rPr>
        <w:t xml:space="preserve">In the CSG, according to the 36.300, </w:t>
      </w:r>
      <w:r w:rsidR="008462A5" w:rsidRPr="00593F68">
        <w:rPr>
          <w:rFonts w:cstheme="minorHAnsi"/>
          <w:lang w:val="en-GB"/>
        </w:rPr>
        <w:t>a range of PCI values are reserved for all of the CSG cells.</w:t>
      </w:r>
    </w:p>
    <w:p w:rsidR="000F3A1F" w:rsidRDefault="00DE7E91" w:rsidP="00673D43">
      <w:pPr>
        <w:rPr>
          <w:i/>
          <w:sz w:val="18"/>
          <w:szCs w:val="18"/>
        </w:rPr>
      </w:pPr>
      <w:r w:rsidRPr="008462A5">
        <w:rPr>
          <w:i/>
          <w:sz w:val="18"/>
          <w:szCs w:val="18"/>
        </w:rPr>
        <w:t>“</w:t>
      </w:r>
      <w:r w:rsidRPr="008462A5">
        <w:rPr>
          <w:rFonts w:hint="eastAsia"/>
          <w:i/>
          <w:sz w:val="18"/>
          <w:szCs w:val="18"/>
        </w:rPr>
        <w:t>t</w:t>
      </w:r>
      <w:r w:rsidRPr="008462A5">
        <w:rPr>
          <w:i/>
          <w:sz w:val="18"/>
          <w:szCs w:val="18"/>
        </w:rPr>
        <w:t xml:space="preserve">o assist the search function on mixed carriers, all CSG cells on mixed carriers broadcast in system information a range of PCI values </w:t>
      </w:r>
      <w:r w:rsidR="00DA5F43">
        <w:rPr>
          <w:i/>
          <w:sz w:val="18"/>
          <w:szCs w:val="18"/>
        </w:rPr>
        <w:t>re</w:t>
      </w:r>
      <w:r w:rsidR="00DA5F43" w:rsidRPr="008462A5">
        <w:rPr>
          <w:i/>
          <w:sz w:val="18"/>
          <w:szCs w:val="18"/>
        </w:rPr>
        <w:t>served</w:t>
      </w:r>
      <w:r w:rsidRPr="008462A5">
        <w:rPr>
          <w:i/>
          <w:sz w:val="18"/>
          <w:szCs w:val="18"/>
        </w:rPr>
        <w:t xml:space="preserve"> by the network for use by CSG cells.</w:t>
      </w:r>
      <w:r w:rsidR="00670DED" w:rsidRPr="00670DED">
        <w:rPr>
          <w:rFonts w:hint="eastAsia"/>
          <w:i/>
          <w:sz w:val="18"/>
          <w:szCs w:val="18"/>
        </w:rPr>
        <w:t xml:space="preserve"> </w:t>
      </w:r>
      <w:r w:rsidR="00670DED" w:rsidRPr="00670DED">
        <w:rPr>
          <w:i/>
          <w:sz w:val="18"/>
          <w:szCs w:val="18"/>
        </w:rPr>
        <w:t>Optionally also non-CSG cells on the mixed carrier can send this information in system information. The reserved PCI range is only applicable to the frequency of the PLMN where the UE received this information. The UE considers the last received reserved range of PCI values for CSG cells to be valid for a maximum of 24 hours within the entire PLMN. UE's use of the received PCI split information is UE implementation dependent.</w:t>
      </w:r>
      <w:r w:rsidRPr="008462A5">
        <w:rPr>
          <w:i/>
          <w:sz w:val="18"/>
          <w:szCs w:val="18"/>
        </w:rPr>
        <w:t>”</w:t>
      </w:r>
    </w:p>
    <w:p w:rsidR="00670DED" w:rsidRPr="00593F68" w:rsidRDefault="0078254E" w:rsidP="00673D43">
      <w:pPr>
        <w:rPr>
          <w:rFonts w:cstheme="minorHAnsi"/>
          <w:lang w:val="en-GB"/>
        </w:rPr>
      </w:pPr>
      <w:r w:rsidRPr="00593F68">
        <w:rPr>
          <w:rFonts w:cstheme="minorHAnsi"/>
          <w:lang w:val="en-GB"/>
        </w:rPr>
        <w:t>Normally, w</w:t>
      </w:r>
      <w:r w:rsidR="00670DED" w:rsidRPr="00593F68">
        <w:rPr>
          <w:rFonts w:cstheme="minorHAnsi"/>
          <w:lang w:val="en-GB"/>
        </w:rPr>
        <w:t>ith</w:t>
      </w:r>
      <w:r w:rsidR="00670DED" w:rsidRPr="00593F68">
        <w:rPr>
          <w:rFonts w:cstheme="minorHAnsi" w:hint="eastAsia"/>
          <w:lang w:val="en-GB"/>
        </w:rPr>
        <w:t xml:space="preserve"> </w:t>
      </w:r>
      <w:r w:rsidR="00670DED" w:rsidRPr="00593F68">
        <w:rPr>
          <w:rFonts w:cstheme="minorHAnsi"/>
          <w:lang w:val="en-GB"/>
        </w:rPr>
        <w:t>the reserved PCI range, the UE can ignore the cells that</w:t>
      </w:r>
      <w:r w:rsidRPr="00593F68">
        <w:rPr>
          <w:rFonts w:cstheme="minorHAnsi"/>
          <w:lang w:val="en-GB"/>
        </w:rPr>
        <w:t xml:space="preserve"> are</w:t>
      </w:r>
      <w:r w:rsidR="00670DED" w:rsidRPr="00593F68">
        <w:rPr>
          <w:rFonts w:cstheme="minorHAnsi"/>
          <w:lang w:val="en-GB"/>
        </w:rPr>
        <w:t xml:space="preserve"> out of </w:t>
      </w:r>
      <w:r w:rsidRPr="00593F68">
        <w:rPr>
          <w:rFonts w:cstheme="minorHAnsi"/>
          <w:lang w:val="en-GB"/>
        </w:rPr>
        <w:t xml:space="preserve">the PCI range when reselection, </w:t>
      </w:r>
      <w:r w:rsidRPr="00593F68">
        <w:rPr>
          <w:rFonts w:cstheme="minorHAnsi"/>
          <w:lang w:val="en-GB"/>
        </w:rPr>
        <w:lastRenderedPageBreak/>
        <w:t xml:space="preserve">and </w:t>
      </w:r>
      <w:r w:rsidR="00670DED" w:rsidRPr="00593F68">
        <w:rPr>
          <w:rFonts w:cstheme="minorHAnsi"/>
          <w:lang w:val="en-GB"/>
        </w:rPr>
        <w:t xml:space="preserve">in the 36.304, it further </w:t>
      </w:r>
      <w:r w:rsidRPr="00593F68">
        <w:rPr>
          <w:rFonts w:cstheme="minorHAnsi"/>
          <w:lang w:val="en-GB"/>
        </w:rPr>
        <w:t>said that:</w:t>
      </w:r>
    </w:p>
    <w:p w:rsidR="0078254E" w:rsidRPr="0078254E" w:rsidRDefault="0078254E" w:rsidP="00673D43">
      <w:pPr>
        <w:rPr>
          <w:i/>
          <w:sz w:val="18"/>
          <w:szCs w:val="18"/>
        </w:rPr>
      </w:pPr>
      <w:r>
        <w:rPr>
          <w:i/>
          <w:sz w:val="18"/>
          <w:szCs w:val="18"/>
        </w:rPr>
        <w:t>“</w:t>
      </w:r>
      <w:r w:rsidRPr="0078254E">
        <w:rPr>
          <w:i/>
          <w:sz w:val="18"/>
          <w:szCs w:val="18"/>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r>
        <w:rPr>
          <w:i/>
          <w:sz w:val="18"/>
          <w:szCs w:val="18"/>
        </w:rPr>
        <w:t>”</w:t>
      </w:r>
    </w:p>
    <w:p w:rsidR="0078254E" w:rsidRPr="00593F68" w:rsidRDefault="00577646" w:rsidP="00673D43">
      <w:pPr>
        <w:rPr>
          <w:rFonts w:cstheme="minorHAnsi"/>
          <w:lang w:val="en-GB"/>
        </w:rPr>
      </w:pPr>
      <w:r w:rsidRPr="00593F68">
        <w:rPr>
          <w:rFonts w:cstheme="minorHAnsi" w:hint="eastAsia"/>
          <w:lang w:val="en-GB"/>
        </w:rPr>
        <w:t xml:space="preserve">Thus, there are two steps for the reselection, the UE filter the cells that out of </w:t>
      </w:r>
      <w:r w:rsidRPr="00593F68">
        <w:rPr>
          <w:rFonts w:cstheme="minorHAnsi"/>
          <w:lang w:val="en-GB"/>
        </w:rPr>
        <w:t>the</w:t>
      </w:r>
      <w:r w:rsidRPr="00593F68">
        <w:rPr>
          <w:rFonts w:cstheme="minorHAnsi" w:hint="eastAsia"/>
          <w:lang w:val="en-GB"/>
        </w:rPr>
        <w:t xml:space="preserve"> </w:t>
      </w:r>
      <w:r w:rsidRPr="00593F68">
        <w:rPr>
          <w:rFonts w:cstheme="minorHAnsi"/>
          <w:lang w:val="en-GB"/>
        </w:rPr>
        <w:t>PCI range at the first step, and then ignore the cells that doesn’t broadcast the matched CSG-ID at the second step.</w:t>
      </w:r>
    </w:p>
    <w:p w:rsidR="00577646" w:rsidRPr="00B54BC9" w:rsidRDefault="00577646" w:rsidP="00673D43">
      <w:pPr>
        <w:rPr>
          <w:rFonts w:ascii="Arial" w:eastAsia="Arial Unicode MS" w:hAnsi="Arial" w:cs="Arial"/>
          <w:sz w:val="28"/>
          <w:szCs w:val="28"/>
        </w:rPr>
      </w:pPr>
      <w:r>
        <w:rPr>
          <w:rFonts w:ascii="Arial" w:eastAsia="Arial Unicode MS" w:hAnsi="Arial" w:cs="Arial"/>
          <w:sz w:val="28"/>
          <w:szCs w:val="28"/>
        </w:rPr>
        <w:t>2.2</w:t>
      </w:r>
      <w:r w:rsidRPr="00B54BC9">
        <w:rPr>
          <w:rFonts w:ascii="Arial" w:eastAsia="Arial Unicode MS" w:hAnsi="Arial" w:cs="Arial"/>
          <w:sz w:val="28"/>
          <w:szCs w:val="28"/>
        </w:rPr>
        <w:t xml:space="preserve"> PCI split function </w:t>
      </w:r>
      <w:r w:rsidR="006A008B">
        <w:rPr>
          <w:rFonts w:ascii="Arial" w:eastAsia="Arial Unicode MS" w:hAnsi="Arial" w:cs="Arial"/>
          <w:sz w:val="28"/>
          <w:szCs w:val="28"/>
        </w:rPr>
        <w:t>for the private network</w:t>
      </w:r>
    </w:p>
    <w:p w:rsidR="00593F68" w:rsidRDefault="00AC4CDD" w:rsidP="00673D43">
      <w:pPr>
        <w:rPr>
          <w:rFonts w:cstheme="minorHAnsi"/>
          <w:lang w:val="en-GB"/>
        </w:rPr>
      </w:pPr>
      <w:r w:rsidRPr="00593F68">
        <w:rPr>
          <w:rFonts w:cstheme="minorHAnsi"/>
          <w:lang w:val="en-GB"/>
        </w:rPr>
        <w:t>In</w:t>
      </w:r>
      <w:r w:rsidRPr="00593F68">
        <w:rPr>
          <w:rFonts w:cstheme="minorHAnsi" w:hint="eastAsia"/>
          <w:lang w:val="en-GB"/>
        </w:rPr>
        <w:t xml:space="preserve"> </w:t>
      </w:r>
      <w:r w:rsidRPr="00593F68">
        <w:rPr>
          <w:rFonts w:cstheme="minorHAnsi"/>
          <w:lang w:val="en-GB"/>
        </w:rPr>
        <w:t xml:space="preserve">this chapter we discuss the benefits of </w:t>
      </w:r>
      <w:r w:rsidR="006A008B" w:rsidRPr="00593F68">
        <w:rPr>
          <w:rFonts w:cstheme="minorHAnsi"/>
          <w:lang w:val="en-GB"/>
        </w:rPr>
        <w:t xml:space="preserve">introducing </w:t>
      </w:r>
      <w:r w:rsidRPr="00593F68">
        <w:rPr>
          <w:rFonts w:cstheme="minorHAnsi"/>
          <w:lang w:val="en-GB"/>
        </w:rPr>
        <w:t xml:space="preserve">the PCI split function for the private network. </w:t>
      </w:r>
      <w:r w:rsidR="00593F68" w:rsidRPr="00593F68">
        <w:rPr>
          <w:rFonts w:cstheme="minorHAnsi"/>
          <w:lang w:val="en-GB"/>
        </w:rPr>
        <w:t>For</w:t>
      </w:r>
      <w:r w:rsidR="00593F68" w:rsidRPr="00593F68">
        <w:rPr>
          <w:rFonts w:cstheme="minorHAnsi" w:hint="eastAsia"/>
          <w:lang w:val="en-GB"/>
        </w:rPr>
        <w:t xml:space="preserve"> the SNPN scenario, the UE can only access the SNPN cell with the matched ID.</w:t>
      </w:r>
      <w:r w:rsidR="00593F68" w:rsidRPr="00593F68">
        <w:rPr>
          <w:rFonts w:cstheme="minorHAnsi"/>
          <w:lang w:val="en-GB"/>
        </w:rPr>
        <w:t xml:space="preserve"> </w:t>
      </w:r>
      <w:r w:rsidR="00593F68" w:rsidRPr="00593F68">
        <w:rPr>
          <w:rFonts w:cstheme="minorHAnsi" w:hint="eastAsia"/>
          <w:lang w:val="en-GB"/>
        </w:rPr>
        <w:t>If we also reserve the part of PCI to</w:t>
      </w:r>
      <w:r w:rsidR="00593F68">
        <w:rPr>
          <w:rFonts w:cstheme="minorHAnsi"/>
          <w:lang w:val="en-GB"/>
        </w:rPr>
        <w:t xml:space="preserve"> all of</w:t>
      </w:r>
      <w:r w:rsidR="00593F68" w:rsidRPr="00593F68">
        <w:rPr>
          <w:rFonts w:cstheme="minorHAnsi" w:hint="eastAsia"/>
          <w:lang w:val="en-GB"/>
        </w:rPr>
        <w:t xml:space="preserve"> the SNPN cell, the SNPN UEs can ignore the PCIs that out of the Reserved PCI range. Then the UE execute the cell reselection among the cells with the matched PCI, and read the system information to check accessibility, if it</w:t>
      </w:r>
      <w:r w:rsidR="00593F68" w:rsidRPr="00593F68">
        <w:rPr>
          <w:rFonts w:cstheme="minorHAnsi"/>
          <w:lang w:val="en-GB"/>
        </w:rPr>
        <w:t>’</w:t>
      </w:r>
      <w:r w:rsidR="00593F68" w:rsidRPr="00593F68">
        <w:rPr>
          <w:rFonts w:cstheme="minorHAnsi" w:hint="eastAsia"/>
          <w:lang w:val="en-GB"/>
        </w:rPr>
        <w:t>s a SNPN cell withou</w:t>
      </w:r>
      <w:r w:rsidR="00593F68">
        <w:rPr>
          <w:rFonts w:cstheme="minorHAnsi" w:hint="eastAsia"/>
          <w:lang w:val="en-GB"/>
        </w:rPr>
        <w:t xml:space="preserve">t matched SNPN ID, </w:t>
      </w:r>
      <w:r w:rsidR="00593F68" w:rsidRPr="00593F68">
        <w:rPr>
          <w:rFonts w:cstheme="minorHAnsi"/>
          <w:lang w:val="en-GB"/>
        </w:rPr>
        <w:t>the UE shall not consider this cell as candidate for cell reselection but shall continue considering other cells on the same frequency for cell reselection</w:t>
      </w:r>
      <w:r w:rsidR="00593F68">
        <w:rPr>
          <w:rFonts w:cstheme="minorHAnsi"/>
          <w:lang w:val="en-GB"/>
        </w:rPr>
        <w:t xml:space="preserve">. </w:t>
      </w:r>
      <w:r w:rsidR="00CF57E6">
        <w:rPr>
          <w:rFonts w:cstheme="minorHAnsi"/>
          <w:lang w:val="en-GB"/>
        </w:rPr>
        <w:t xml:space="preserve">In the CSG of LTE, once the PCI range were reserved for the CSG cell, it will not be used by the Macro cells. </w:t>
      </w:r>
      <w:r w:rsidR="00593F68">
        <w:rPr>
          <w:rFonts w:cstheme="minorHAnsi"/>
          <w:lang w:val="en-GB"/>
        </w:rPr>
        <w:t>However, for that the SNPN is deployed by the operator individually, the RAN2 shall first discuss whether it’s practical to</w:t>
      </w:r>
      <w:r w:rsidR="00CF57E6">
        <w:rPr>
          <w:rFonts w:cstheme="minorHAnsi"/>
          <w:lang w:val="en-GB"/>
        </w:rPr>
        <w:t xml:space="preserve"> reserve a separate PCI range that only used by the SNPN cells</w:t>
      </w:r>
      <w:r w:rsidR="00593F68">
        <w:rPr>
          <w:rFonts w:cstheme="minorHAnsi"/>
          <w:lang w:val="en-GB"/>
        </w:rPr>
        <w:t>.</w:t>
      </w:r>
    </w:p>
    <w:p w:rsidR="006A008B" w:rsidRPr="007067C1" w:rsidRDefault="006A008B" w:rsidP="00673D43">
      <w:pPr>
        <w:rPr>
          <w:b/>
          <w:szCs w:val="20"/>
        </w:rPr>
      </w:pPr>
      <w:r w:rsidRPr="007067C1">
        <w:rPr>
          <w:rFonts w:hint="eastAsia"/>
          <w:b/>
          <w:szCs w:val="20"/>
        </w:rPr>
        <w:t>Proposal 1:</w:t>
      </w:r>
      <w:r w:rsidRPr="007067C1">
        <w:rPr>
          <w:b/>
          <w:szCs w:val="20"/>
        </w:rPr>
        <w:t xml:space="preserve"> RAN2 to discuss whether it’s available to reserve a PCI range</w:t>
      </w:r>
      <w:r w:rsidR="00CF57E6" w:rsidRPr="007067C1">
        <w:rPr>
          <w:b/>
          <w:szCs w:val="20"/>
        </w:rPr>
        <w:t xml:space="preserve"> only used for</w:t>
      </w:r>
      <w:r w:rsidRPr="007067C1">
        <w:rPr>
          <w:b/>
          <w:szCs w:val="20"/>
        </w:rPr>
        <w:t xml:space="preserve"> the SNPN cells on the same frequency. If available, it can be taken as the baseline.</w:t>
      </w:r>
    </w:p>
    <w:p w:rsidR="00593F68" w:rsidRPr="004A0CCA" w:rsidRDefault="004A0CCA" w:rsidP="00673D43">
      <w:pPr>
        <w:rPr>
          <w:rFonts w:cstheme="minorHAnsi"/>
          <w:lang w:val="en-GB"/>
        </w:rPr>
      </w:pPr>
      <w:r>
        <w:rPr>
          <w:rFonts w:cstheme="minorHAnsi"/>
          <w:lang w:val="en-GB"/>
        </w:rPr>
        <w:t>For the CAG with the same PLMN, similar to the CSG, the PCI range can be reserved for all of the CAG cells on the same frequency.</w:t>
      </w:r>
    </w:p>
    <w:p w:rsidR="006A008B" w:rsidRPr="007067C1" w:rsidRDefault="006A008B" w:rsidP="00673D43">
      <w:pPr>
        <w:rPr>
          <w:b/>
          <w:szCs w:val="21"/>
        </w:rPr>
      </w:pPr>
      <w:r w:rsidRPr="007067C1">
        <w:rPr>
          <w:b/>
          <w:szCs w:val="21"/>
        </w:rPr>
        <w:t>Proposal 2: For the CAG, as a baseline</w:t>
      </w:r>
      <w:r w:rsidR="000336E6" w:rsidRPr="007067C1">
        <w:rPr>
          <w:b/>
          <w:szCs w:val="21"/>
        </w:rPr>
        <w:t>,</w:t>
      </w:r>
      <w:r w:rsidRPr="007067C1">
        <w:rPr>
          <w:b/>
          <w:szCs w:val="21"/>
        </w:rPr>
        <w:t xml:space="preserve"> a PCI range </w:t>
      </w:r>
      <w:r w:rsidR="000336E6" w:rsidRPr="007067C1">
        <w:rPr>
          <w:b/>
          <w:szCs w:val="21"/>
        </w:rPr>
        <w:t>shall</w:t>
      </w:r>
      <w:r w:rsidRPr="007067C1">
        <w:rPr>
          <w:b/>
          <w:szCs w:val="21"/>
        </w:rPr>
        <w:t xml:space="preserve"> be reserved for all of the CAG cells on the same frequency.</w:t>
      </w:r>
    </w:p>
    <w:p w:rsidR="006A008B" w:rsidRDefault="006A008B" w:rsidP="00673D43">
      <w:pPr>
        <w:rPr>
          <w:rFonts w:ascii="Arial" w:eastAsia="Arial Unicode MS" w:hAnsi="Arial" w:cs="Arial"/>
          <w:sz w:val="28"/>
          <w:szCs w:val="28"/>
        </w:rPr>
      </w:pPr>
      <w:r>
        <w:rPr>
          <w:rFonts w:ascii="Arial" w:eastAsia="Arial Unicode MS" w:hAnsi="Arial" w:cs="Arial"/>
          <w:sz w:val="28"/>
          <w:szCs w:val="28"/>
        </w:rPr>
        <w:t>2.3</w:t>
      </w:r>
      <w:r w:rsidRPr="00B54BC9">
        <w:rPr>
          <w:rFonts w:ascii="Arial" w:eastAsia="Arial Unicode MS" w:hAnsi="Arial" w:cs="Arial"/>
          <w:sz w:val="28"/>
          <w:szCs w:val="28"/>
        </w:rPr>
        <w:t xml:space="preserve"> PCI split function </w:t>
      </w:r>
      <w:r>
        <w:rPr>
          <w:rFonts w:ascii="Arial" w:eastAsia="Arial Unicode MS" w:hAnsi="Arial" w:cs="Arial"/>
          <w:sz w:val="28"/>
          <w:szCs w:val="28"/>
        </w:rPr>
        <w:t>enhancement for the private network</w:t>
      </w:r>
    </w:p>
    <w:p w:rsidR="00DA2B17" w:rsidRPr="007067C1" w:rsidRDefault="00DA2B17" w:rsidP="00673D43">
      <w:pPr>
        <w:rPr>
          <w:szCs w:val="21"/>
        </w:rPr>
      </w:pPr>
      <w:r w:rsidRPr="007067C1">
        <w:rPr>
          <w:szCs w:val="21"/>
        </w:rPr>
        <w:t>As described in t</w:t>
      </w:r>
      <w:r w:rsidR="00673D43" w:rsidRPr="007067C1">
        <w:rPr>
          <w:szCs w:val="21"/>
        </w:rPr>
        <w:t>he chapter 2.2</w:t>
      </w:r>
      <w:r w:rsidRPr="007067C1">
        <w:rPr>
          <w:szCs w:val="21"/>
        </w:rPr>
        <w:t xml:space="preserve">, </w:t>
      </w:r>
      <w:r w:rsidR="000C1963">
        <w:rPr>
          <w:rFonts w:hint="eastAsia"/>
          <w:szCs w:val="21"/>
        </w:rPr>
        <w:t>during the reselection, the Private Net</w:t>
      </w:r>
      <w:r w:rsidR="000C1963">
        <w:rPr>
          <w:szCs w:val="21"/>
        </w:rPr>
        <w:t>work</w:t>
      </w:r>
      <w:r w:rsidRPr="007067C1">
        <w:rPr>
          <w:rFonts w:hint="eastAsia"/>
          <w:szCs w:val="21"/>
        </w:rPr>
        <w:t xml:space="preserve"> UEs </w:t>
      </w:r>
      <w:r w:rsidR="000C1963">
        <w:rPr>
          <w:szCs w:val="21"/>
        </w:rPr>
        <w:t xml:space="preserve">(the UE set to the SNPN mode, or the UE only allowed to access the 5Gs through the CAG cell) </w:t>
      </w:r>
      <w:r w:rsidRPr="007067C1">
        <w:rPr>
          <w:rFonts w:hint="eastAsia"/>
          <w:szCs w:val="21"/>
        </w:rPr>
        <w:t xml:space="preserve">can ignore the PCIs that out of the Reserved PCI range. Then the UE execute the cell reselection among the cells with the matched PCI, and read the system information to check accessibility. So as mentioned above the UE has to read the MIB/SIB1 of the higher ranked cells to check whether these cells are belong to the NPN member, which will lead to UE power consumption and increase re-selection interval. In the CSG, there is the </w:t>
      </w:r>
      <w:r w:rsidR="00673D43" w:rsidRPr="007067C1">
        <w:rPr>
          <w:szCs w:val="21"/>
        </w:rPr>
        <w:t>similar</w:t>
      </w:r>
      <w:r w:rsidRPr="007067C1">
        <w:rPr>
          <w:rFonts w:hint="eastAsia"/>
          <w:szCs w:val="21"/>
        </w:rPr>
        <w:t xml:space="preserve"> problem. But in the NPN, as mentioned in the above justification, the NPN is proposed to </w:t>
      </w:r>
      <w:r w:rsidRPr="007067C1">
        <w:rPr>
          <w:szCs w:val="21"/>
        </w:rPr>
        <w:t>“</w:t>
      </w:r>
      <w:r w:rsidRPr="007067C1">
        <w:rPr>
          <w:rFonts w:hint="eastAsia"/>
          <w:szCs w:val="21"/>
          <w:lang w:eastAsia="ja-JP"/>
        </w:rPr>
        <w:t xml:space="preserve"> </w:t>
      </w:r>
      <w:r w:rsidRPr="007067C1">
        <w:rPr>
          <w:rFonts w:hint="eastAsia"/>
          <w:i/>
          <w:iCs/>
          <w:szCs w:val="21"/>
          <w:lang w:eastAsia="ja-JP"/>
        </w:rPr>
        <w:t>to fulfil the low latency and high reliability requirements for the vertical industry as well as support 5G LAN-type service</w:t>
      </w:r>
      <w:r w:rsidRPr="007067C1">
        <w:rPr>
          <w:rFonts w:hint="eastAsia"/>
          <w:szCs w:val="21"/>
          <w:lang w:eastAsia="ja-JP"/>
        </w:rPr>
        <w:t>,</w:t>
      </w:r>
      <w:r w:rsidRPr="007067C1">
        <w:rPr>
          <w:szCs w:val="21"/>
        </w:rPr>
        <w:t>”</w:t>
      </w:r>
      <w:r w:rsidR="00971E35" w:rsidRPr="007067C1">
        <w:rPr>
          <w:rFonts w:hint="eastAsia"/>
          <w:szCs w:val="21"/>
        </w:rPr>
        <w:t xml:space="preserve"> this problem sha</w:t>
      </w:r>
      <w:r w:rsidR="00971E35" w:rsidRPr="007067C1">
        <w:rPr>
          <w:szCs w:val="21"/>
        </w:rPr>
        <w:t>ll be evaluated by RAN2 and to decide whether to introduce some enhancement.</w:t>
      </w:r>
    </w:p>
    <w:p w:rsidR="00244843" w:rsidRPr="000C1963" w:rsidRDefault="00244843" w:rsidP="00673D43">
      <w:pPr>
        <w:rPr>
          <w:b/>
          <w:szCs w:val="21"/>
        </w:rPr>
      </w:pPr>
      <w:r w:rsidRPr="000C1963">
        <w:rPr>
          <w:rFonts w:hint="eastAsia"/>
          <w:b/>
          <w:szCs w:val="21"/>
        </w:rPr>
        <w:t>Proposal 3:</w:t>
      </w:r>
      <w:r w:rsidRPr="000C1963">
        <w:rPr>
          <w:b/>
          <w:szCs w:val="21"/>
        </w:rPr>
        <w:t xml:space="preserve"> RAN2 to discuss whether the enhancements on the PCI split function are needed</w:t>
      </w:r>
      <w:r w:rsidR="00387A93" w:rsidRPr="000C1963">
        <w:rPr>
          <w:b/>
          <w:szCs w:val="21"/>
        </w:rPr>
        <w:t xml:space="preserve"> for the private network</w:t>
      </w:r>
      <w:r w:rsidRPr="000C1963">
        <w:rPr>
          <w:b/>
          <w:szCs w:val="21"/>
        </w:rPr>
        <w:t>.</w:t>
      </w:r>
    </w:p>
    <w:p w:rsidR="00971E35" w:rsidRDefault="00971E35" w:rsidP="00673D43">
      <w:r>
        <w:lastRenderedPageBreak/>
        <w:t>Besides, in the CSG, the PCI range is only broadcasted on the current frequency. Whether explore it to the inter-frequency shall also be discussed by RAN2.</w:t>
      </w:r>
    </w:p>
    <w:p w:rsidR="00244843" w:rsidRPr="000C1963" w:rsidRDefault="00244843" w:rsidP="00673D43">
      <w:pPr>
        <w:rPr>
          <w:b/>
          <w:szCs w:val="21"/>
        </w:rPr>
      </w:pPr>
      <w:r w:rsidRPr="000C1963">
        <w:rPr>
          <w:rFonts w:hint="eastAsia"/>
          <w:b/>
          <w:szCs w:val="21"/>
        </w:rPr>
        <w:t>Proposal</w:t>
      </w:r>
      <w:r w:rsidR="00673D43" w:rsidRPr="000C1963">
        <w:rPr>
          <w:rFonts w:hint="eastAsia"/>
          <w:b/>
          <w:szCs w:val="21"/>
        </w:rPr>
        <w:t xml:space="preserve"> 4</w:t>
      </w:r>
      <w:r w:rsidR="00971E35" w:rsidRPr="000C1963">
        <w:rPr>
          <w:rFonts w:hint="eastAsia"/>
          <w:b/>
          <w:szCs w:val="21"/>
        </w:rPr>
        <w:t>: RAN2 to discuss whether explore the</w:t>
      </w:r>
      <w:r w:rsidR="00C35DEE" w:rsidRPr="000C1963">
        <w:rPr>
          <w:rFonts w:hint="eastAsia"/>
          <w:b/>
          <w:szCs w:val="21"/>
        </w:rPr>
        <w:t xml:space="preserve"> PCI split function </w:t>
      </w:r>
      <w:r w:rsidR="00715DC4">
        <w:rPr>
          <w:b/>
          <w:szCs w:val="21"/>
        </w:rPr>
        <w:t>to</w:t>
      </w:r>
      <w:r w:rsidR="00C35DEE" w:rsidRPr="000C1963">
        <w:rPr>
          <w:rFonts w:hint="eastAsia"/>
          <w:b/>
          <w:szCs w:val="21"/>
        </w:rPr>
        <w:t xml:space="preserve"> the Inter-frequency.</w:t>
      </w:r>
    </w:p>
    <w:p w:rsidR="00A60F06" w:rsidRDefault="005A73DE" w:rsidP="00673D4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60F06" w:rsidRDefault="005A73DE" w:rsidP="00673D43">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971E35" w:rsidRPr="000C1963" w:rsidRDefault="00971E35" w:rsidP="000C1963">
      <w:pPr>
        <w:rPr>
          <w:b/>
          <w:szCs w:val="21"/>
        </w:rPr>
      </w:pPr>
      <w:r w:rsidRPr="000C1963">
        <w:rPr>
          <w:rFonts w:hint="eastAsia"/>
          <w:b/>
          <w:szCs w:val="21"/>
        </w:rPr>
        <w:t>Proposal 1:</w:t>
      </w:r>
      <w:r w:rsidRPr="000C1963">
        <w:rPr>
          <w:b/>
          <w:szCs w:val="21"/>
        </w:rPr>
        <w:t xml:space="preserve"> RAN2 to discuss whether it’s available to reserve a PCI range for all of the SNPN cells on the same frequency. If available, it can be taken as the baseline.</w:t>
      </w:r>
    </w:p>
    <w:p w:rsidR="00971E35" w:rsidRPr="000C1963" w:rsidRDefault="00971E35" w:rsidP="000C1963">
      <w:pPr>
        <w:rPr>
          <w:b/>
          <w:szCs w:val="21"/>
        </w:rPr>
      </w:pPr>
      <w:r w:rsidRPr="000C1963">
        <w:rPr>
          <w:b/>
          <w:szCs w:val="21"/>
        </w:rPr>
        <w:t>Proposal 2: For the CAG, as a baseline, a PCI range shall be reserved for all of the CAG cells on the same frequency.</w:t>
      </w:r>
    </w:p>
    <w:p w:rsidR="00971E35" w:rsidRPr="000C1963" w:rsidRDefault="00971E35" w:rsidP="000C1963">
      <w:pPr>
        <w:rPr>
          <w:b/>
          <w:szCs w:val="21"/>
        </w:rPr>
      </w:pPr>
      <w:r w:rsidRPr="000C1963">
        <w:rPr>
          <w:rFonts w:hint="eastAsia"/>
          <w:b/>
          <w:szCs w:val="21"/>
        </w:rPr>
        <w:t>Proposal 3:</w:t>
      </w:r>
      <w:r w:rsidRPr="000C1963">
        <w:rPr>
          <w:b/>
          <w:szCs w:val="21"/>
        </w:rPr>
        <w:t xml:space="preserve"> RAN2 to discuss wh</w:t>
      </w:r>
      <w:bookmarkStart w:id="2" w:name="_GoBack"/>
      <w:bookmarkEnd w:id="2"/>
      <w:r w:rsidRPr="000C1963">
        <w:rPr>
          <w:b/>
          <w:szCs w:val="21"/>
        </w:rPr>
        <w:t>ether the enhancements on the PCI split function are needed for the private network.</w:t>
      </w:r>
    </w:p>
    <w:p w:rsidR="00971E35" w:rsidRPr="000C1963" w:rsidRDefault="00971E35" w:rsidP="000C1963">
      <w:pPr>
        <w:rPr>
          <w:b/>
          <w:szCs w:val="21"/>
        </w:rPr>
      </w:pPr>
      <w:r w:rsidRPr="000C1963">
        <w:rPr>
          <w:rFonts w:hint="eastAsia"/>
          <w:b/>
          <w:szCs w:val="21"/>
        </w:rPr>
        <w:t xml:space="preserve">Proposal 4: RAN2 to discuss whether explore the PCI split function </w:t>
      </w:r>
      <w:r w:rsidR="00715DC4">
        <w:rPr>
          <w:b/>
          <w:szCs w:val="21"/>
        </w:rPr>
        <w:t>to</w:t>
      </w:r>
      <w:r w:rsidRPr="000C1963">
        <w:rPr>
          <w:rFonts w:hint="eastAsia"/>
          <w:b/>
          <w:szCs w:val="21"/>
        </w:rPr>
        <w:t xml:space="preserve"> the Inter-frequency</w:t>
      </w:r>
      <w:r w:rsidRPr="000C1963">
        <w:rPr>
          <w:b/>
          <w:szCs w:val="21"/>
        </w:rPr>
        <w:t>.</w:t>
      </w:r>
    </w:p>
    <w:p w:rsidR="009F637D" w:rsidRDefault="009F637D" w:rsidP="004A0CC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9F637D" w:rsidRDefault="009F637D" w:rsidP="00673D43">
      <w:pPr>
        <w:pStyle w:val="Reference"/>
        <w:numPr>
          <w:ilvl w:val="0"/>
          <w:numId w:val="6"/>
        </w:numPr>
        <w:overflowPunct w:val="0"/>
        <w:autoSpaceDE w:val="0"/>
        <w:autoSpaceDN w:val="0"/>
        <w:adjustRightInd w:val="0"/>
        <w:spacing w:after="120"/>
        <w:textAlignment w:val="baseline"/>
        <w:rPr>
          <w:rStyle w:val="afa"/>
          <w:rFonts w:cstheme="minorHAnsi"/>
          <w:color w:val="auto"/>
          <w:u w:val="none"/>
        </w:rPr>
      </w:pPr>
      <w:bookmarkStart w:id="3" w:name="_Ref7099094"/>
      <w:bookmarkStart w:id="4" w:name="_Ref174151459"/>
      <w:bookmarkStart w:id="5" w:name="_Ref189809556"/>
      <w:bookmarkStart w:id="6" w:name="_Ref4616088"/>
      <w:bookmarkStart w:id="7" w:name="_Ref344096"/>
      <w:r>
        <w:rPr>
          <w:rStyle w:val="afa"/>
          <w:rFonts w:cstheme="minorHAnsi"/>
          <w:color w:val="auto"/>
          <w:u w:val="none"/>
        </w:rPr>
        <w:t>RP-190729, New Work Item Proposal on Private Network Support for NG-RAN, China Telecom, RAN Plenary #83, Shenzhen, China, Mar 18-21, 2019</w:t>
      </w:r>
      <w:bookmarkEnd w:id="3"/>
    </w:p>
    <w:bookmarkEnd w:id="4"/>
    <w:bookmarkEnd w:id="5"/>
    <w:bookmarkEnd w:id="6"/>
    <w:bookmarkEnd w:id="7"/>
    <w:p w:rsidR="009F637D" w:rsidRDefault="009F637D" w:rsidP="00673D43">
      <w:pPr>
        <w:pStyle w:val="Reference"/>
        <w:numPr>
          <w:ilvl w:val="0"/>
          <w:numId w:val="6"/>
        </w:numPr>
        <w:overflowPunct w:val="0"/>
        <w:autoSpaceDE w:val="0"/>
        <w:autoSpaceDN w:val="0"/>
        <w:adjustRightInd w:val="0"/>
        <w:spacing w:after="120"/>
        <w:textAlignment w:val="baseline"/>
        <w:rPr>
          <w:rStyle w:val="afa"/>
          <w:rFonts w:cs="Calibri"/>
          <w:color w:val="auto"/>
          <w:u w:val="none"/>
        </w:rPr>
      </w:pPr>
      <w:r>
        <w:rPr>
          <w:rStyle w:val="afa"/>
          <w:rFonts w:cs="Calibri"/>
          <w:color w:val="auto"/>
          <w:u w:val="none"/>
        </w:rPr>
        <w:t>3GPP TS 23.501: "System Architecture for the 5G System; Stage 2".</w:t>
      </w:r>
    </w:p>
    <w:p w:rsidR="00A60F06" w:rsidRPr="00DA738D" w:rsidRDefault="00A60F06" w:rsidP="00673D43">
      <w:pPr>
        <w:spacing w:line="240" w:lineRule="auto"/>
      </w:pPr>
    </w:p>
    <w:p w:rsidR="00A60F06" w:rsidRDefault="00A60F06" w:rsidP="00673D43">
      <w:pPr>
        <w:spacing w:line="240" w:lineRule="auto"/>
      </w:pPr>
    </w:p>
    <w:p w:rsidR="00A60F06" w:rsidRDefault="00A60F06" w:rsidP="00673D43">
      <w:pPr>
        <w:spacing w:line="240" w:lineRule="auto"/>
      </w:pPr>
    </w:p>
    <w:sectPr w:rsidR="00A60F06">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F08" w:rsidRDefault="00737F08">
      <w:pPr>
        <w:spacing w:after="0" w:line="240" w:lineRule="auto"/>
      </w:pPr>
      <w:r>
        <w:separator/>
      </w:r>
    </w:p>
  </w:endnote>
  <w:endnote w:type="continuationSeparator" w:id="0">
    <w:p w:rsidR="00737F08" w:rsidRDefault="00737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FB8" w:rsidRDefault="006E4FB8">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E4FB8" w:rsidRDefault="006E4FB8">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FB8" w:rsidRDefault="006E4FB8">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F08" w:rsidRDefault="00737F08">
      <w:pPr>
        <w:spacing w:after="0" w:line="240" w:lineRule="auto"/>
      </w:pPr>
      <w:r>
        <w:separator/>
      </w:r>
    </w:p>
  </w:footnote>
  <w:footnote w:type="continuationSeparator" w:id="0">
    <w:p w:rsidR="00737F08" w:rsidRDefault="00737F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FB8" w:rsidRDefault="006E4FB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A0E3A80"/>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5275B24"/>
    <w:multiLevelType w:val="singleLevel"/>
    <w:tmpl w:val="45275B24"/>
    <w:lvl w:ilvl="0">
      <w:start w:val="1"/>
      <w:numFmt w:val="bullet"/>
      <w:lvlText w:val=""/>
      <w:lvlJc w:val="left"/>
      <w:pPr>
        <w:ind w:left="420" w:hanging="420"/>
      </w:pPr>
      <w:rPr>
        <w:rFonts w:ascii="Wingdings" w:hAnsi="Wingdings" w:hint="default"/>
      </w:rPr>
    </w:lvl>
  </w:abstractNum>
  <w:abstractNum w:abstractNumId="5">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6"/>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36E6"/>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963"/>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3A1F"/>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2ECD"/>
    <w:rsid w:val="0018310D"/>
    <w:rsid w:val="00185662"/>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843"/>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A93"/>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0CCA"/>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77646"/>
    <w:rsid w:val="00585E04"/>
    <w:rsid w:val="005910DD"/>
    <w:rsid w:val="00593F68"/>
    <w:rsid w:val="005940C1"/>
    <w:rsid w:val="0059566C"/>
    <w:rsid w:val="0059585E"/>
    <w:rsid w:val="00597619"/>
    <w:rsid w:val="005A3156"/>
    <w:rsid w:val="005A53DF"/>
    <w:rsid w:val="005A6185"/>
    <w:rsid w:val="005A73DE"/>
    <w:rsid w:val="005B052E"/>
    <w:rsid w:val="005B220B"/>
    <w:rsid w:val="005B2460"/>
    <w:rsid w:val="005B2E19"/>
    <w:rsid w:val="005B66D2"/>
    <w:rsid w:val="005B7842"/>
    <w:rsid w:val="005C1AC7"/>
    <w:rsid w:val="005C20A4"/>
    <w:rsid w:val="005C2356"/>
    <w:rsid w:val="005C4B1B"/>
    <w:rsid w:val="005C62ED"/>
    <w:rsid w:val="005D57F1"/>
    <w:rsid w:val="005D680C"/>
    <w:rsid w:val="005D7E8E"/>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240"/>
    <w:rsid w:val="00627ACD"/>
    <w:rsid w:val="00630383"/>
    <w:rsid w:val="00630B29"/>
    <w:rsid w:val="0063263F"/>
    <w:rsid w:val="00633DA7"/>
    <w:rsid w:val="00635291"/>
    <w:rsid w:val="006357BD"/>
    <w:rsid w:val="006408DC"/>
    <w:rsid w:val="006413AD"/>
    <w:rsid w:val="00641EED"/>
    <w:rsid w:val="00643A7A"/>
    <w:rsid w:val="00645199"/>
    <w:rsid w:val="0064545A"/>
    <w:rsid w:val="006503F8"/>
    <w:rsid w:val="00650D0F"/>
    <w:rsid w:val="00650D85"/>
    <w:rsid w:val="00651856"/>
    <w:rsid w:val="006521E7"/>
    <w:rsid w:val="0065579F"/>
    <w:rsid w:val="00662163"/>
    <w:rsid w:val="00670351"/>
    <w:rsid w:val="006706AA"/>
    <w:rsid w:val="00670DED"/>
    <w:rsid w:val="006718B7"/>
    <w:rsid w:val="00673154"/>
    <w:rsid w:val="00673553"/>
    <w:rsid w:val="00673D4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008B"/>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4FB8"/>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67C1"/>
    <w:rsid w:val="00707E83"/>
    <w:rsid w:val="00711E45"/>
    <w:rsid w:val="00714AB0"/>
    <w:rsid w:val="00715DC4"/>
    <w:rsid w:val="007165B5"/>
    <w:rsid w:val="007165BE"/>
    <w:rsid w:val="007200FA"/>
    <w:rsid w:val="0072015F"/>
    <w:rsid w:val="00723530"/>
    <w:rsid w:val="00725CC4"/>
    <w:rsid w:val="00726958"/>
    <w:rsid w:val="00727D4D"/>
    <w:rsid w:val="00731322"/>
    <w:rsid w:val="00731E30"/>
    <w:rsid w:val="00736CDD"/>
    <w:rsid w:val="00736FEF"/>
    <w:rsid w:val="00737516"/>
    <w:rsid w:val="00737F08"/>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254E"/>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462A5"/>
    <w:rsid w:val="008505B6"/>
    <w:rsid w:val="00850AD1"/>
    <w:rsid w:val="00851A3E"/>
    <w:rsid w:val="00851C79"/>
    <w:rsid w:val="00852259"/>
    <w:rsid w:val="00853419"/>
    <w:rsid w:val="00855CBD"/>
    <w:rsid w:val="00856F99"/>
    <w:rsid w:val="00860035"/>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1E35"/>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9F637D"/>
    <w:rsid w:val="009F701A"/>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0F06"/>
    <w:rsid w:val="00A612B9"/>
    <w:rsid w:val="00A65CD6"/>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4CDD"/>
    <w:rsid w:val="00AC51E8"/>
    <w:rsid w:val="00AC57DE"/>
    <w:rsid w:val="00AD0CA9"/>
    <w:rsid w:val="00AD1C5F"/>
    <w:rsid w:val="00AD2407"/>
    <w:rsid w:val="00AD2F9B"/>
    <w:rsid w:val="00AD62D8"/>
    <w:rsid w:val="00AE3EBC"/>
    <w:rsid w:val="00AE5146"/>
    <w:rsid w:val="00AE55C5"/>
    <w:rsid w:val="00AE5A4F"/>
    <w:rsid w:val="00AE728A"/>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D18"/>
    <w:rsid w:val="00B52464"/>
    <w:rsid w:val="00B54BC9"/>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B7B8D"/>
    <w:rsid w:val="00BC03E1"/>
    <w:rsid w:val="00BC248F"/>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5DEE"/>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032"/>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CF57E6"/>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2B17"/>
    <w:rsid w:val="00DA5F43"/>
    <w:rsid w:val="00DA738D"/>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E7E91"/>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8CA"/>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5671"/>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E74CBD"/>
    <w:rsid w:val="1705748E"/>
    <w:rsid w:val="170A4371"/>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F7E9A"/>
    <w:rsid w:val="5A324C7E"/>
    <w:rsid w:val="5A3B4DBF"/>
    <w:rsid w:val="5A525FC1"/>
    <w:rsid w:val="5A5313B9"/>
    <w:rsid w:val="5A5B1A93"/>
    <w:rsid w:val="5A6123EF"/>
    <w:rsid w:val="5A895545"/>
    <w:rsid w:val="5AAA5AA7"/>
    <w:rsid w:val="5AE10DCB"/>
    <w:rsid w:val="5AE37E88"/>
    <w:rsid w:val="5AF34C33"/>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BBE720-AA17-4522-AFAD-55EE1807E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table" w:styleId="afd">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b"/>
    <w:link w:val="a3"/>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1"/>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1"/>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1"/>
    <w:qFormat/>
    <w:pPr>
      <w:outlineLvl w:val="4"/>
    </w:pPr>
  </w:style>
  <w:style w:type="paragraph" w:customStyle="1" w:styleId="affb">
    <w:name w:val="二级条标题"/>
    <w:basedOn w:val="affc"/>
    <w:next w:val="af1"/>
    <w:qFormat/>
    <w:pPr>
      <w:spacing w:beforeLines="0" w:afterLines="0"/>
      <w:outlineLvl w:val="3"/>
    </w:pPr>
  </w:style>
  <w:style w:type="paragraph" w:customStyle="1" w:styleId="affc">
    <w:name w:val="一级条标题"/>
    <w:next w:val="af1"/>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1"/>
    <w:qFormat/>
    <w:pPr>
      <w:tabs>
        <w:tab w:val="left" w:pos="720"/>
      </w:tabs>
      <w:autoSpaceDN w:val="0"/>
      <w:spacing w:beforeLines="50" w:afterLines="50"/>
      <w:ind w:left="720" w:hanging="720"/>
      <w:outlineLvl w:val="2"/>
    </w:pPr>
  </w:style>
  <w:style w:type="paragraph" w:customStyle="1" w:styleId="affe">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f0">
    <w:name w:val="章标题"/>
    <w:next w:val="af1"/>
    <w:qFormat/>
    <w:pPr>
      <w:spacing w:beforeLines="100" w:afterLines="100" w:after="160" w:line="259" w:lineRule="auto"/>
      <w:jc w:val="both"/>
      <w:outlineLvl w:val="1"/>
    </w:pPr>
    <w:rPr>
      <w:rFonts w:ascii="黑体" w:eastAsia="黑体"/>
      <w:sz w:val="21"/>
    </w:rPr>
  </w:style>
  <w:style w:type="paragraph" w:customStyle="1" w:styleId="afff1">
    <w:name w:val="正文表标题"/>
    <w:next w:val="af1"/>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1"/>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1"/>
    <w:qFormat/>
    <w:pPr>
      <w:tabs>
        <w:tab w:val="left" w:pos="1296"/>
      </w:tabs>
      <w:ind w:left="1296" w:hanging="1296"/>
      <w:outlineLvl w:val="6"/>
    </w:pPr>
  </w:style>
  <w:style w:type="paragraph" w:customStyle="1" w:styleId="afff4">
    <w:name w:val="附录四级条标题"/>
    <w:basedOn w:val="afff5"/>
    <w:next w:val="af1"/>
    <w:qFormat/>
    <w:pPr>
      <w:outlineLvl w:val="5"/>
    </w:pPr>
  </w:style>
  <w:style w:type="paragraph" w:customStyle="1" w:styleId="afff5">
    <w:name w:val="附录三级条标题"/>
    <w:basedOn w:val="afff6"/>
    <w:next w:val="af1"/>
    <w:qFormat/>
    <w:pPr>
      <w:tabs>
        <w:tab w:val="left" w:pos="1008"/>
      </w:tabs>
      <w:ind w:left="1008" w:hanging="1008"/>
      <w:outlineLvl w:val="4"/>
    </w:pPr>
  </w:style>
  <w:style w:type="paragraph" w:customStyle="1" w:styleId="afff6">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1"/>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2"/>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1"/>
    <w:qFormat/>
    <w:pPr>
      <w:widowControl w:val="0"/>
      <w:spacing w:after="160" w:line="259" w:lineRule="auto"/>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1"/>
    <w:next w:val="af1"/>
    <w:qFormat/>
    <w:pPr>
      <w:ind w:firstLine="360"/>
    </w:pPr>
    <w:rPr>
      <w:sz w:val="18"/>
    </w:rPr>
  </w:style>
  <w:style w:type="paragraph" w:customStyle="1" w:styleId="afffff">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1"/>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1"/>
    <w:qFormat/>
    <w:pPr>
      <w:spacing w:line="14" w:lineRule="exact"/>
      <w:ind w:left="811" w:hanging="448"/>
      <w:jc w:val="center"/>
      <w:outlineLvl w:val="0"/>
    </w:pPr>
    <w:rPr>
      <w:color w:val="FFFFFF"/>
    </w:rPr>
  </w:style>
  <w:style w:type="paragraph" w:customStyle="1" w:styleId="afffffa">
    <w:name w:val="附录图标题"/>
    <w:basedOn w:val="a"/>
    <w:next w:val="af1"/>
    <w:qFormat/>
    <w:pPr>
      <w:tabs>
        <w:tab w:val="left" w:pos="363"/>
      </w:tabs>
      <w:spacing w:beforeLines="50" w:afterLines="50"/>
      <w:jc w:val="center"/>
    </w:pPr>
    <w:rPr>
      <w:rFonts w:ascii="黑体" w:eastAsia="黑体"/>
      <w:szCs w:val="21"/>
    </w:rPr>
  </w:style>
  <w:style w:type="paragraph" w:customStyle="1" w:styleId="afffffb">
    <w:name w:val="附录标题"/>
    <w:basedOn w:val="af1"/>
    <w:next w:val="af1"/>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1"/>
    <w:next w:val="af1"/>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1"/>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rsid w:val="00DA738D"/>
    <w:pPr>
      <w:tabs>
        <w:tab w:val="left" w:pos="567"/>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E618A1-4139-4DA9-97EA-C67083D89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914</Words>
  <Characters>5211</Characters>
  <Application>Microsoft Office Word</Application>
  <DocSecurity>0</DocSecurity>
  <Lines>43</Lines>
  <Paragraphs>12</Paragraphs>
  <ScaleCrop>false</ScaleCrop>
  <Company>www.zte.com.cn</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3</cp:revision>
  <cp:lastPrinted>2113-01-01T00:00:00Z</cp:lastPrinted>
  <dcterms:created xsi:type="dcterms:W3CDTF">2019-08-16T02:53:00Z</dcterms:created>
  <dcterms:modified xsi:type="dcterms:W3CDTF">2019-08-16T03:33:00Z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