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6AE2789"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w:t>
      </w:r>
      <w:r w:rsidR="002533BC">
        <w:rPr>
          <w:rFonts w:ascii="Arial" w:eastAsia="MS Mincho" w:hAnsi="Arial"/>
          <w:b/>
          <w:sz w:val="24"/>
          <w:szCs w:val="24"/>
          <w:lang w:val="en-GB" w:eastAsia="x-none"/>
        </w:rPr>
        <w:t>7</w:t>
      </w:r>
      <w:r w:rsidR="002533BC">
        <w:rPr>
          <w:rFonts w:ascii="Arial" w:eastAsia="MS Mincho" w:hAnsi="Arial"/>
          <w:b/>
          <w:sz w:val="24"/>
          <w:szCs w:val="24"/>
          <w:lang w:val="en-GB" w:eastAsia="x-none"/>
        </w:rPr>
        <w:tab/>
        <w:t>R2-1909044</w:t>
      </w:r>
      <w:bookmarkStart w:id="2" w:name="_GoBack"/>
      <w:bookmarkEnd w:id="2"/>
    </w:p>
    <w:p w14:paraId="6877EE3A" w14:textId="4A915EB6" w:rsidR="00895250" w:rsidRPr="00BA4886" w:rsidRDefault="00501F29"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Prague, Czech Republic</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26-30 August</w:t>
      </w:r>
      <w:r w:rsidR="00B35D43">
        <w:rPr>
          <w:rFonts w:ascii="Arial" w:eastAsia="MS Mincho" w:hAnsi="Arial"/>
          <w:b/>
          <w:sz w:val="24"/>
          <w:szCs w:val="24"/>
          <w:lang w:val="en-GB" w:eastAsia="x-none"/>
        </w:rPr>
        <w:t xml:space="preserve"> 2019</w:t>
      </w:r>
      <w:r>
        <w:rPr>
          <w:rFonts w:ascii="Arial" w:eastAsia="MS Mincho" w:hAnsi="Arial"/>
          <w:b/>
          <w:sz w:val="24"/>
          <w:szCs w:val="24"/>
          <w:lang w:val="en-GB" w:eastAsia="x-none"/>
        </w:rPr>
        <w:tab/>
      </w:r>
      <w:r w:rsidRPr="00501F29">
        <w:rPr>
          <w:rFonts w:ascii="Arial" w:eastAsia="MS Mincho" w:hAnsi="Arial"/>
          <w:b/>
          <w:sz w:val="18"/>
          <w:szCs w:val="24"/>
          <w:lang w:val="en-GB" w:eastAsia="x-none"/>
        </w:rPr>
        <w:t>(resubmission of R2-1906028)</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752841BC"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B45EC1">
        <w:rPr>
          <w:rFonts w:ascii="Arial" w:hAnsi="Arial" w:cs="Arial"/>
          <w:szCs w:val="24"/>
        </w:rPr>
        <w:t>11.4.5</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40708F16"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EE52C7">
        <w:rPr>
          <w:b/>
          <w:sz w:val="24"/>
          <w:lang w:val="en-GB"/>
        </w:rPr>
        <w:t>Validity areas based on cell lists</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289CE3FD" w14:textId="5631A0CC" w:rsidR="00FD6A1A" w:rsidRDefault="00FD6A1A" w:rsidP="00FD6A1A">
      <w:pPr>
        <w:spacing w:after="240"/>
        <w:rPr>
          <w:lang w:val="en-GB"/>
        </w:rPr>
      </w:pPr>
      <w:bookmarkStart w:id="6" w:name="OLE_LINK41"/>
      <w:bookmarkStart w:id="7" w:name="OLE_LINK24"/>
      <w:bookmarkStart w:id="8" w:name="OLE_LINK17"/>
      <w:bookmarkStart w:id="9" w:name="OLE_LINK16"/>
      <w:bookmarkEnd w:id="3"/>
      <w:bookmarkEnd w:id="4"/>
      <w:bookmarkEnd w:id="5"/>
      <w:r>
        <w:rPr>
          <w:lang w:val="en-GB"/>
        </w:rPr>
        <w:t>At RAN2#105bis, it was agreed in the discussion of [1] to support validity area</w:t>
      </w:r>
      <w:r w:rsidR="003F01FC">
        <w:rPr>
          <w:lang w:val="en-GB"/>
        </w:rPr>
        <w:t>s</w:t>
      </w:r>
      <w:r>
        <w:rPr>
          <w:lang w:val="en-GB"/>
        </w:rPr>
        <w:t xml:space="preserve"> for resource pools configured by system information.  It was left open whether validity areas should also be used for resource pools configured by dedicated signalling; this document </w:t>
      </w:r>
      <w:r w:rsidR="00B52B6E">
        <w:rPr>
          <w:lang w:val="en-GB"/>
        </w:rPr>
        <w:t xml:space="preserve">briefly </w:t>
      </w:r>
      <w:r>
        <w:rPr>
          <w:lang w:val="en-GB"/>
        </w:rPr>
        <w:t>addresses the issue.</w:t>
      </w:r>
    </w:p>
    <w:p w14:paraId="2E0A3C55" w14:textId="7D42DFD1" w:rsidR="00DF345D" w:rsidRPr="005B7D75" w:rsidRDefault="00202DDC" w:rsidP="005B7D75">
      <w:pPr>
        <w:pStyle w:val="Heading1"/>
        <w:overflowPunct w:val="0"/>
        <w:autoSpaceDE w:val="0"/>
        <w:autoSpaceDN w:val="0"/>
        <w:adjustRightInd w:val="0"/>
        <w:rPr>
          <w:rFonts w:eastAsia="PMingLiU" w:cs="Arial"/>
        </w:rPr>
      </w:pPr>
      <w:r w:rsidRPr="00BA4886">
        <w:rPr>
          <w:rFonts w:eastAsia="PMingLiU" w:cs="Arial"/>
        </w:rPr>
        <w:t>Discussio</w:t>
      </w:r>
      <w:r w:rsidR="005B7D75">
        <w:rPr>
          <w:rFonts w:eastAsia="PMingLiU" w:cs="Arial"/>
        </w:rPr>
        <w:t>n</w:t>
      </w:r>
    </w:p>
    <w:p w14:paraId="00CF8998" w14:textId="431B3508" w:rsidR="00F17D67" w:rsidRDefault="00FD6A1A" w:rsidP="00DF345D">
      <w:pPr>
        <w:spacing w:after="240"/>
        <w:rPr>
          <w:lang w:val="en-GB"/>
        </w:rPr>
      </w:pPr>
      <w:r>
        <w:rPr>
          <w:lang w:val="en-GB"/>
        </w:rPr>
        <w:t xml:space="preserve">The validity area concept from NR system information was agreed to be reused in V2X.  We understand this to mean that the SIB(s) configuring resource pools can be associated with a validity area, and as with any other SIB, the contents apply throughout the validity area.  The scope is defined by the </w:t>
      </w:r>
      <w:proofErr w:type="spellStart"/>
      <w:r>
        <w:rPr>
          <w:i/>
          <w:lang w:val="en-GB"/>
        </w:rPr>
        <w:t>systemInformationAreaI</w:t>
      </w:r>
      <w:r w:rsidR="003D3CAD">
        <w:rPr>
          <w:i/>
          <w:lang w:val="en-GB"/>
        </w:rPr>
        <w:t>D</w:t>
      </w:r>
      <w:proofErr w:type="spellEnd"/>
      <w:r>
        <w:rPr>
          <w:lang w:val="en-GB"/>
        </w:rPr>
        <w:t xml:space="preserve"> in the SI scheduling information.</w:t>
      </w:r>
    </w:p>
    <w:p w14:paraId="20118B5C" w14:textId="4B0D5ECF" w:rsidR="00B52B6E" w:rsidRDefault="00FD6A1A" w:rsidP="00DF345D">
      <w:pPr>
        <w:spacing w:after="240"/>
        <w:rPr>
          <w:lang w:val="en-GB"/>
        </w:rPr>
      </w:pPr>
      <w:r>
        <w:rPr>
          <w:lang w:val="en-GB"/>
        </w:rPr>
        <w:t xml:space="preserve">For a pool configured by dedicated signalling, there is no necessary connection to the system information areas.  However, if neighbouring </w:t>
      </w:r>
      <w:proofErr w:type="spellStart"/>
      <w:r>
        <w:rPr>
          <w:lang w:val="en-GB"/>
        </w:rPr>
        <w:t>gNBs</w:t>
      </w:r>
      <w:proofErr w:type="spellEnd"/>
      <w:r>
        <w:rPr>
          <w:lang w:val="en-GB"/>
        </w:rPr>
        <w:t xml:space="preserve"> can collaborate to align resource pools for configuration by SI broadcast, they should </w:t>
      </w:r>
      <w:r w:rsidR="00E34878">
        <w:rPr>
          <w:lang w:val="en-GB"/>
        </w:rPr>
        <w:t>be equally</w:t>
      </w:r>
      <w:r>
        <w:rPr>
          <w:lang w:val="en-GB"/>
        </w:rPr>
        <w:t xml:space="preserve"> able to align resource pools for configuration by dedicated signalling.  Thus there seems to be no fundamental obstacle to using a</w:t>
      </w:r>
      <w:r w:rsidR="00B52B6E">
        <w:rPr>
          <w:lang w:val="en-GB"/>
        </w:rPr>
        <w:t xml:space="preserve"> validity area for such pools.</w:t>
      </w:r>
    </w:p>
    <w:p w14:paraId="056F8037" w14:textId="413D94CA" w:rsidR="00FD6A1A" w:rsidRDefault="00FD6A1A" w:rsidP="00DF345D">
      <w:pPr>
        <w:spacing w:after="240"/>
        <w:rPr>
          <w:lang w:val="en-GB"/>
        </w:rPr>
      </w:pPr>
      <w:r>
        <w:rPr>
          <w:lang w:val="en-GB"/>
        </w:rPr>
        <w:t>The benefits of aligning resource pools also do not depend on the signalling transport used to configure them; if resource pools are valid across several cells, the UE moving among the cells can use them in an uninterrupted manner</w:t>
      </w:r>
      <w:r w:rsidR="00B61992">
        <w:rPr>
          <w:lang w:val="en-GB"/>
        </w:rPr>
        <w:t>,</w:t>
      </w:r>
      <w:r>
        <w:rPr>
          <w:lang w:val="en-GB"/>
        </w:rPr>
        <w:t xml:space="preserve"> the amount of configuration </w:t>
      </w:r>
      <w:r w:rsidR="00B52B6E">
        <w:rPr>
          <w:lang w:val="en-GB"/>
        </w:rPr>
        <w:t>information</w:t>
      </w:r>
      <w:r>
        <w:rPr>
          <w:lang w:val="en-GB"/>
        </w:rPr>
        <w:t xml:space="preserve"> needed in the new serving cell is reduced, </w:t>
      </w:r>
      <w:r w:rsidR="00B61992">
        <w:rPr>
          <w:lang w:val="en-GB"/>
        </w:rPr>
        <w:t xml:space="preserve">and the disruption of a change in communication resources is avoided, all </w:t>
      </w:r>
      <w:r>
        <w:rPr>
          <w:lang w:val="en-GB"/>
        </w:rPr>
        <w:t>irrespective of whether the configuration is by SI or dedicated signalling.</w:t>
      </w:r>
      <w:r w:rsidR="003D3CAD">
        <w:rPr>
          <w:lang w:val="en-GB"/>
        </w:rPr>
        <w:t xml:space="preserve">  Accordingly, it seems valuable to have a validity area mechanism also for the case of dedicated signalling.</w:t>
      </w:r>
    </w:p>
    <w:p w14:paraId="1B073408" w14:textId="56C67AB4" w:rsidR="003D3CAD" w:rsidRPr="003D3CAD" w:rsidRDefault="003D3CAD" w:rsidP="00DF345D">
      <w:pPr>
        <w:spacing w:after="240"/>
        <w:rPr>
          <w:lang w:val="en-GB"/>
        </w:rPr>
      </w:pPr>
      <w:r>
        <w:rPr>
          <w:b/>
          <w:lang w:val="en-GB"/>
        </w:rPr>
        <w:t>Proposal 1:</w:t>
      </w:r>
      <w:r>
        <w:rPr>
          <w:lang w:val="en-GB"/>
        </w:rPr>
        <w:t xml:space="preserve"> Support a validity area mechanism for resource pools configured by dedicated signalling.</w:t>
      </w:r>
    </w:p>
    <w:p w14:paraId="4026CD83" w14:textId="3BC9A7C9" w:rsidR="00FD6A1A" w:rsidRDefault="003D3CAD" w:rsidP="00DF345D">
      <w:pPr>
        <w:spacing w:after="240"/>
        <w:rPr>
          <w:lang w:val="en-GB"/>
        </w:rPr>
      </w:pPr>
      <w:r>
        <w:rPr>
          <w:lang w:val="en-GB"/>
        </w:rPr>
        <w:t xml:space="preserve">The validity area of a dedicated resource pool could still be defined by the </w:t>
      </w:r>
      <w:proofErr w:type="spellStart"/>
      <w:r>
        <w:rPr>
          <w:i/>
          <w:lang w:val="en-GB"/>
        </w:rPr>
        <w:t>systemInformationAreaID</w:t>
      </w:r>
      <w:proofErr w:type="spellEnd"/>
      <w:r>
        <w:rPr>
          <w:lang w:val="en-GB"/>
        </w:rPr>
        <w:t>; the UE when it handed over to a new cell would need to check the scheduling information in SIB1 to confirm if its existing resource pool is still valid.  However, it might be preferable to have the flexibility for different validity areas in dedicated signalling, and in this case an approach to defining the validity areas would need to be developed.</w:t>
      </w:r>
    </w:p>
    <w:p w14:paraId="0EAF25DA" w14:textId="2A112CA3" w:rsidR="00B52B6E" w:rsidRDefault="003D3CAD" w:rsidP="00DF345D">
      <w:pPr>
        <w:spacing w:after="240"/>
        <w:rPr>
          <w:lang w:val="en-GB"/>
        </w:rPr>
      </w:pPr>
      <w:r>
        <w:rPr>
          <w:lang w:val="en-GB"/>
        </w:rPr>
        <w:t xml:space="preserve">The most expedient approach may be simply to distribute a cell list along with the resource pool.  </w:t>
      </w:r>
      <w:r w:rsidR="00B52B6E">
        <w:rPr>
          <w:lang w:val="en-GB"/>
        </w:rPr>
        <w:t>It is fairly clear how this would work; a list of cell IDs could be included as part of the resource pool configuration, and the UE would continue using the resource pool as long as it remained in one of the cells in the list.</w:t>
      </w:r>
    </w:p>
    <w:p w14:paraId="11AD2DFB" w14:textId="704BE15A" w:rsidR="003D3CAD" w:rsidRDefault="003D3CAD" w:rsidP="00DF345D">
      <w:pPr>
        <w:spacing w:after="240"/>
        <w:rPr>
          <w:lang w:val="en-GB"/>
        </w:rPr>
      </w:pPr>
      <w:r>
        <w:rPr>
          <w:lang w:val="en-GB"/>
        </w:rPr>
        <w:lastRenderedPageBreak/>
        <w:t xml:space="preserve">Alternatively, signalling could be defined to describe a new validity area concept; e.g., each cell is associated with a dedicated V2X validity area separate from the </w:t>
      </w:r>
      <w:proofErr w:type="spellStart"/>
      <w:r>
        <w:rPr>
          <w:i/>
          <w:lang w:val="en-GB"/>
        </w:rPr>
        <w:t>systemInformationAreaID</w:t>
      </w:r>
      <w:proofErr w:type="spellEnd"/>
      <w:r>
        <w:rPr>
          <w:lang w:val="en-GB"/>
        </w:rPr>
        <w:t>, which is either advertised in system information or delivered to the UE at handover.  The main advantage of such a scheme over a cell list would be a reduction in overhead.  However, this is not really a compelling concern unless the cell lists are very large, and the network should be able to avoid this problem in implementation (e.g. by updating the cell list periodically as the UE moves, as long as the current resource pool remains valid in the neighbouring cells).  We thus suggest that it would be preferable simply to use the cell-list mechanism.</w:t>
      </w:r>
    </w:p>
    <w:p w14:paraId="4751FEE9" w14:textId="3FE751E4" w:rsidR="003D3CAD" w:rsidRPr="003D3CAD" w:rsidRDefault="003D3CAD" w:rsidP="00DF345D">
      <w:pPr>
        <w:spacing w:after="240"/>
        <w:rPr>
          <w:lang w:val="en-GB"/>
        </w:rPr>
      </w:pPr>
      <w:r>
        <w:rPr>
          <w:b/>
          <w:lang w:val="en-GB"/>
        </w:rPr>
        <w:t>Proposal 2:</w:t>
      </w:r>
      <w:r>
        <w:rPr>
          <w:lang w:val="en-GB"/>
        </w:rPr>
        <w:t xml:space="preserve"> The validity area of a resource pool provided in dedicated signalling is defined by a cell list.</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74A0B89C" w14:textId="54D72E9C" w:rsidR="007C343F" w:rsidRDefault="007C343F" w:rsidP="007C343F">
      <w:pPr>
        <w:spacing w:after="240"/>
        <w:rPr>
          <w:lang w:val="en-GB"/>
        </w:rPr>
      </w:pPr>
      <w:r>
        <w:rPr>
          <w:lang w:val="en-GB"/>
        </w:rPr>
        <w:t>This document made the following proposals:</w:t>
      </w:r>
    </w:p>
    <w:p w14:paraId="331A6D23" w14:textId="77777777" w:rsidR="00B52B6E" w:rsidRPr="003D3CAD" w:rsidRDefault="00B52B6E" w:rsidP="00B52B6E">
      <w:pPr>
        <w:spacing w:after="240"/>
        <w:rPr>
          <w:lang w:val="en-GB"/>
        </w:rPr>
      </w:pPr>
      <w:r>
        <w:rPr>
          <w:b/>
          <w:lang w:val="en-GB"/>
        </w:rPr>
        <w:t>Proposal 1:</w:t>
      </w:r>
      <w:r>
        <w:rPr>
          <w:lang w:val="en-GB"/>
        </w:rPr>
        <w:t xml:space="preserve"> Support a validity area mechanism for resource pools configured by dedicated signalling.</w:t>
      </w:r>
    </w:p>
    <w:p w14:paraId="17D9954F" w14:textId="77777777" w:rsidR="00B52B6E" w:rsidRPr="003D3CAD" w:rsidRDefault="00B52B6E" w:rsidP="00B52B6E">
      <w:pPr>
        <w:spacing w:after="240"/>
        <w:rPr>
          <w:lang w:val="en-GB"/>
        </w:rPr>
      </w:pPr>
      <w:r>
        <w:rPr>
          <w:b/>
          <w:lang w:val="en-GB"/>
        </w:rPr>
        <w:t>Proposal 2:</w:t>
      </w:r>
      <w:r>
        <w:rPr>
          <w:lang w:val="en-GB"/>
        </w:rPr>
        <w:t xml:space="preserve"> The validity area of a resource pool provided in dedicated signalling is defined by a cell list.</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1313F2BC" w14:textId="06685B6C" w:rsidR="005B7D75" w:rsidRDefault="001C15D5" w:rsidP="00FD6A1A">
      <w:pPr>
        <w:spacing w:after="240"/>
        <w:ind w:left="450" w:hanging="450"/>
        <w:rPr>
          <w:noProof/>
        </w:rPr>
      </w:pPr>
      <w:r>
        <w:rPr>
          <w:lang w:val="en-GB" w:eastAsia="en-US"/>
        </w:rPr>
        <w:t>[1]</w:t>
      </w:r>
      <w:r>
        <w:rPr>
          <w:lang w:val="en-GB" w:eastAsia="en-US"/>
        </w:rPr>
        <w:tab/>
      </w:r>
      <w:r w:rsidR="00FD6A1A" w:rsidRPr="002452D4">
        <w:rPr>
          <w:noProof/>
        </w:rPr>
        <w:t>R2-1904275</w:t>
      </w:r>
      <w:r w:rsidR="00FD6A1A">
        <w:rPr>
          <w:noProof/>
        </w:rPr>
        <w:t>, “</w:t>
      </w:r>
      <w:r w:rsidR="00FD6A1A" w:rsidRPr="002452D4">
        <w:rPr>
          <w:noProof/>
        </w:rPr>
        <w:t>Validity area for SL Mode 2 resource allocation in NR V2X</w:t>
      </w:r>
      <w:r w:rsidR="00FD6A1A">
        <w:rPr>
          <w:noProof/>
        </w:rPr>
        <w:t>”, Nokia/</w:t>
      </w:r>
      <w:r w:rsidR="00FD6A1A" w:rsidRPr="002452D4">
        <w:rPr>
          <w:noProof/>
        </w:rPr>
        <w:t>Nokia Shanghai Bell</w:t>
      </w:r>
      <w:r w:rsidR="00FD6A1A">
        <w:rPr>
          <w:noProof/>
        </w:rPr>
        <w:t>, RAN2#105bis</w:t>
      </w:r>
    </w:p>
    <w:p w14:paraId="4D991FDE" w14:textId="77777777" w:rsidR="00FD6A1A" w:rsidRDefault="00FD6A1A" w:rsidP="00EE52C7">
      <w:pPr>
        <w:spacing w:after="240"/>
        <w:rPr>
          <w:lang w:val="en-GB" w:eastAsia="en-US"/>
        </w:rPr>
      </w:pPr>
    </w:p>
    <w:p w14:paraId="4060EF7D" w14:textId="77777777" w:rsidR="005B7D75" w:rsidRPr="00732182" w:rsidRDefault="005B7D75"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E267F" w14:textId="77777777" w:rsidR="00657D50" w:rsidRDefault="00657D50">
      <w:pPr>
        <w:pStyle w:val="TAL"/>
      </w:pPr>
      <w:r>
        <w:separator/>
      </w:r>
    </w:p>
  </w:endnote>
  <w:endnote w:type="continuationSeparator" w:id="0">
    <w:p w14:paraId="352E8CC0" w14:textId="77777777" w:rsidR="00657D50" w:rsidRDefault="00657D5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2533BC">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E2F0A" w14:textId="77777777" w:rsidR="00657D50" w:rsidRDefault="00657D50">
      <w:pPr>
        <w:pStyle w:val="TAL"/>
      </w:pPr>
      <w:r>
        <w:separator/>
      </w:r>
    </w:p>
  </w:footnote>
  <w:footnote w:type="continuationSeparator" w:id="0">
    <w:p w14:paraId="4929D564" w14:textId="77777777" w:rsidR="00657D50" w:rsidRDefault="00657D5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4E"/>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B1"/>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3D6"/>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3BC"/>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91"/>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6E5C"/>
    <w:rsid w:val="003C75E2"/>
    <w:rsid w:val="003C7A7E"/>
    <w:rsid w:val="003C7DA2"/>
    <w:rsid w:val="003C7E54"/>
    <w:rsid w:val="003D02E8"/>
    <w:rsid w:val="003D08B7"/>
    <w:rsid w:val="003D12A7"/>
    <w:rsid w:val="003D20B5"/>
    <w:rsid w:val="003D257B"/>
    <w:rsid w:val="003D2C01"/>
    <w:rsid w:val="003D3AAD"/>
    <w:rsid w:val="003D3C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1FC"/>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0D1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29"/>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109"/>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50"/>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699"/>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EC9"/>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3F"/>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28F"/>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06C"/>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5EC1"/>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2B6E"/>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9F"/>
    <w:rsid w:val="00B61992"/>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636"/>
    <w:rsid w:val="00BB0873"/>
    <w:rsid w:val="00BB08EA"/>
    <w:rsid w:val="00BB0A9E"/>
    <w:rsid w:val="00BB0B06"/>
    <w:rsid w:val="00BB0D0D"/>
    <w:rsid w:val="00BB2B37"/>
    <w:rsid w:val="00BB2E03"/>
    <w:rsid w:val="00BB31F7"/>
    <w:rsid w:val="00BB33DF"/>
    <w:rsid w:val="00BB3D4C"/>
    <w:rsid w:val="00BB4E82"/>
    <w:rsid w:val="00BB4EF1"/>
    <w:rsid w:val="00BB51C3"/>
    <w:rsid w:val="00BB547D"/>
    <w:rsid w:val="00BB551F"/>
    <w:rsid w:val="00BB57A6"/>
    <w:rsid w:val="00BB6137"/>
    <w:rsid w:val="00BB639B"/>
    <w:rsid w:val="00BB6582"/>
    <w:rsid w:val="00BB68FF"/>
    <w:rsid w:val="00BB6BA6"/>
    <w:rsid w:val="00BB6BCD"/>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1D6F"/>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878"/>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2C7"/>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E1"/>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3A9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A7E"/>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A1A"/>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FA2E2-591D-4F27-867D-75951D34E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601</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2019-08-15T19:59:00Z</dcterms:created>
  <dcterms:modified xsi:type="dcterms:W3CDTF">2019-08-15T19:59:00Z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