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BEF35" w14:textId="7800B055" w:rsidR="009F12C3" w:rsidRDefault="009F12C3" w:rsidP="009F12C3">
      <w:pPr>
        <w:pStyle w:val="3GPPHeader"/>
        <w:tabs>
          <w:tab w:val="right" w:pos="9026"/>
        </w:tabs>
        <w:spacing w:after="60"/>
        <w:rPr>
          <w:szCs w:val="24"/>
        </w:rPr>
      </w:pPr>
      <w:bookmarkStart w:id="0" w:name="_Hlk485401214"/>
      <w:r>
        <w:t>3GPP TSG-RAN WG2 #106</w:t>
      </w:r>
      <w:r>
        <w:tab/>
      </w:r>
      <w:proofErr w:type="spellStart"/>
      <w:r>
        <w:rPr>
          <w:szCs w:val="24"/>
        </w:rPr>
        <w:t>Tdoc</w:t>
      </w:r>
      <w:proofErr w:type="spellEnd"/>
      <w:r>
        <w:rPr>
          <w:szCs w:val="24"/>
        </w:rPr>
        <w:t xml:space="preserve"> </w:t>
      </w:r>
      <w:bookmarkStart w:id="1" w:name="_GoBack"/>
      <w:r w:rsidR="005C02CF" w:rsidRPr="005C02CF">
        <w:rPr>
          <w:szCs w:val="24"/>
        </w:rPr>
        <w:t>R2-1908438</w:t>
      </w:r>
      <w:bookmarkEnd w:id="1"/>
    </w:p>
    <w:p w14:paraId="5654A2F6" w14:textId="77777777" w:rsidR="009F12C3" w:rsidRDefault="009F12C3" w:rsidP="009F12C3">
      <w:pPr>
        <w:pStyle w:val="CRCoverPage"/>
        <w:outlineLvl w:val="0"/>
        <w:rPr>
          <w:b/>
          <w:noProof/>
          <w:sz w:val="24"/>
        </w:rPr>
      </w:pPr>
      <w:r>
        <w:rPr>
          <w:b/>
          <w:noProof/>
          <w:sz w:val="24"/>
        </w:rPr>
        <w:t xml:space="preserve">Reno, USA, </w:t>
      </w:r>
      <w:r>
        <w:fldChar w:fldCharType="begin"/>
      </w:r>
      <w:r>
        <w:rPr>
          <w:b/>
          <w:noProof/>
          <w:sz w:val="24"/>
        </w:rPr>
        <w:instrText xml:space="preserve"> DOCPROPERTY  StartDate  \* MERGEFORMAT </w:instrText>
      </w:r>
      <w:r>
        <w:fldChar w:fldCharType="separate"/>
      </w:r>
      <w:r>
        <w:rPr>
          <w:b/>
          <w:noProof/>
          <w:sz w:val="24"/>
        </w:rPr>
        <w:t xml:space="preserve">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w:t>
      </w:r>
      <w:r>
        <w:fldChar w:fldCharType="end"/>
      </w:r>
      <w:r>
        <w:rPr>
          <w:b/>
          <w:noProof/>
          <w:sz w:val="24"/>
        </w:rPr>
        <w:t>2019</w:t>
      </w:r>
    </w:p>
    <w:bookmarkEnd w:id="0"/>
    <w:p w14:paraId="07FCA7FD" w14:textId="77777777" w:rsidR="009F12C3" w:rsidRDefault="009F12C3" w:rsidP="009F12C3">
      <w:pPr>
        <w:pStyle w:val="3GPPHeader"/>
      </w:pPr>
    </w:p>
    <w:p w14:paraId="02C5489D" w14:textId="77777777" w:rsidR="009F12C3" w:rsidRDefault="009F12C3" w:rsidP="009F12C3">
      <w:pPr>
        <w:pStyle w:val="3GPPHeader"/>
        <w:rPr>
          <w:sz w:val="22"/>
          <w:szCs w:val="22"/>
          <w:lang w:val="fr-FR"/>
        </w:rPr>
      </w:pPr>
      <w:r>
        <w:rPr>
          <w:sz w:val="22"/>
          <w:szCs w:val="22"/>
          <w:lang w:val="fr-FR"/>
        </w:rPr>
        <w:t>Agenda Item:</w:t>
      </w:r>
      <w:r>
        <w:rPr>
          <w:sz w:val="22"/>
          <w:szCs w:val="22"/>
          <w:lang w:val="fr-FR"/>
        </w:rPr>
        <w:tab/>
      </w:r>
      <w:r w:rsidRPr="007805B1">
        <w:t>10.4.2.2</w:t>
      </w:r>
    </w:p>
    <w:p w14:paraId="657F6F3F" w14:textId="77777777" w:rsidR="009F12C3" w:rsidRDefault="009F12C3" w:rsidP="009F12C3">
      <w:pPr>
        <w:pStyle w:val="3GPPHeader"/>
        <w:rPr>
          <w:sz w:val="22"/>
          <w:szCs w:val="22"/>
          <w:lang w:val="fr-FR"/>
        </w:rPr>
      </w:pPr>
      <w:r>
        <w:rPr>
          <w:sz w:val="22"/>
          <w:szCs w:val="22"/>
          <w:lang w:val="fr-FR"/>
        </w:rPr>
        <w:t>Source:</w:t>
      </w:r>
      <w:r>
        <w:rPr>
          <w:sz w:val="22"/>
          <w:szCs w:val="22"/>
          <w:lang w:val="fr-FR"/>
        </w:rPr>
        <w:tab/>
        <w:t>Intel Corporation</w:t>
      </w:r>
    </w:p>
    <w:p w14:paraId="64DBB747" w14:textId="77777777" w:rsidR="009F12C3" w:rsidRDefault="009F12C3" w:rsidP="00DC07E6">
      <w:pPr>
        <w:pStyle w:val="3GPPHeader"/>
        <w:ind w:left="1701" w:hanging="1701"/>
        <w:jc w:val="left"/>
        <w:rPr>
          <w:sz w:val="22"/>
          <w:szCs w:val="22"/>
        </w:rPr>
      </w:pPr>
      <w:r>
        <w:rPr>
          <w:sz w:val="22"/>
          <w:szCs w:val="22"/>
        </w:rPr>
        <w:t>Title:</w:t>
      </w:r>
      <w:r>
        <w:rPr>
          <w:sz w:val="22"/>
          <w:szCs w:val="22"/>
        </w:rPr>
        <w:tab/>
      </w:r>
      <w:r w:rsidR="00711183">
        <w:rPr>
          <w:sz w:val="22"/>
          <w:szCs w:val="22"/>
        </w:rPr>
        <w:t>O</w:t>
      </w:r>
      <w:r>
        <w:rPr>
          <w:sz w:val="22"/>
          <w:szCs w:val="22"/>
        </w:rPr>
        <w:t xml:space="preserve">ffline discussion on </w:t>
      </w:r>
      <w:r w:rsidRPr="007805B1">
        <w:rPr>
          <w:sz w:val="22"/>
          <w:szCs w:val="22"/>
        </w:rPr>
        <w:t xml:space="preserve">Inter-RAT Handover </w:t>
      </w:r>
      <w:r w:rsidR="00DC07E6">
        <w:rPr>
          <w:sz w:val="22"/>
          <w:szCs w:val="22"/>
        </w:rPr>
        <w:t>(</w:t>
      </w:r>
      <w:r w:rsidR="00DC07E6">
        <w:t>Offline discussion 40)</w:t>
      </w:r>
    </w:p>
    <w:p w14:paraId="5C130525" w14:textId="77777777" w:rsidR="009F12C3" w:rsidRDefault="009F12C3" w:rsidP="009F12C3">
      <w:pPr>
        <w:pStyle w:val="3GPPHeader"/>
        <w:pBdr>
          <w:bottom w:val="single" w:sz="6" w:space="1" w:color="auto"/>
        </w:pBdr>
        <w:rPr>
          <w:sz w:val="22"/>
          <w:szCs w:val="22"/>
        </w:rPr>
      </w:pPr>
      <w:r>
        <w:rPr>
          <w:sz w:val="22"/>
          <w:szCs w:val="22"/>
        </w:rPr>
        <w:t>Document for:</w:t>
      </w:r>
      <w:r>
        <w:rPr>
          <w:sz w:val="22"/>
          <w:szCs w:val="22"/>
        </w:rPr>
        <w:tab/>
        <w:t>Discussion and decision</w:t>
      </w:r>
    </w:p>
    <w:p w14:paraId="60B93AED" w14:textId="77777777" w:rsidR="00B9507B" w:rsidRDefault="00B9507B" w:rsidP="00B9507B">
      <w:pPr>
        <w:pStyle w:val="Heading1"/>
      </w:pPr>
      <w:r>
        <w:t>Introduction</w:t>
      </w:r>
    </w:p>
    <w:p w14:paraId="3D1671CF" w14:textId="77777777" w:rsidR="00711183" w:rsidRDefault="00711183">
      <w:r>
        <w:t>This document is regarding offline discussion:</w:t>
      </w:r>
    </w:p>
    <w:p w14:paraId="2118F8A1" w14:textId="77777777" w:rsidR="00711183" w:rsidRDefault="00552BBC" w:rsidP="00711183">
      <w:pPr>
        <w:pStyle w:val="Doc-title"/>
      </w:pPr>
      <w:hyperlink r:id="rId5" w:tooltip="C:Data3GPPExtractsR2-1906371-inter-RAT-v2.docx" w:history="1">
        <w:r w:rsidR="00711183" w:rsidRPr="007A7D96">
          <w:rPr>
            <w:rStyle w:val="Hyperlink"/>
          </w:rPr>
          <w:t>R2-1906371</w:t>
        </w:r>
      </w:hyperlink>
      <w:r w:rsidR="00711183">
        <w:tab/>
        <w:t>Issues with Inter-RAT Handover</w:t>
      </w:r>
      <w:r w:rsidR="00711183">
        <w:tab/>
        <w:t>Intel Corporation</w:t>
      </w:r>
      <w:r w:rsidR="00711183">
        <w:tab/>
        <w:t>discussion</w:t>
      </w:r>
      <w:r w:rsidR="00711183">
        <w:tab/>
        <w:t>Rel-15</w:t>
      </w:r>
      <w:r w:rsidR="00711183">
        <w:tab/>
        <w:t>NR_newRAT-Core</w:t>
      </w:r>
    </w:p>
    <w:p w14:paraId="5606F794" w14:textId="77777777" w:rsidR="00711183" w:rsidRDefault="00711183" w:rsidP="00711183">
      <w:pPr>
        <w:pStyle w:val="ComeBack"/>
      </w:pPr>
      <w:r>
        <w:t xml:space="preserve">Offline discussion to conclude whether to use the </w:t>
      </w:r>
      <w:proofErr w:type="spellStart"/>
      <w:r w:rsidRPr="001329B8">
        <w:t>fullConfig</w:t>
      </w:r>
      <w:proofErr w:type="spellEnd"/>
      <w:r w:rsidRPr="001329B8">
        <w:t xml:space="preserve"> procedural section</w:t>
      </w:r>
      <w:r>
        <w:t xml:space="preserve"> for inter-RAT HO or to add the handling of the </w:t>
      </w:r>
      <w:proofErr w:type="spellStart"/>
      <w:r>
        <w:t>fullConfig</w:t>
      </w:r>
      <w:proofErr w:type="spellEnd"/>
      <w:r>
        <w:t xml:space="preserve"> flag into the inter-RAT HO procedure. (Offline discussion 40)</w:t>
      </w:r>
    </w:p>
    <w:p w14:paraId="6454C05B" w14:textId="77777777" w:rsidR="00711183" w:rsidRDefault="00711183"/>
    <w:p w14:paraId="226449DD" w14:textId="77777777" w:rsidR="00DC07E6" w:rsidRDefault="00711183">
      <w:r>
        <w:t>During the offline discussion, it became clear that h</w:t>
      </w:r>
      <w:r w:rsidR="00B9507B">
        <w:t xml:space="preserve">andling of default RLC and logical channel configuration </w:t>
      </w:r>
      <w:r w:rsidR="00030AB8">
        <w:t xml:space="preserve">for SRBs during </w:t>
      </w:r>
      <w:r w:rsidR="00B9507B">
        <w:t xml:space="preserve">HO to E-UTRA </w:t>
      </w:r>
      <w:r w:rsidR="00DC07E6">
        <w:t xml:space="preserve">was missed during the presentation and discussion </w:t>
      </w:r>
      <w:r w:rsidR="00DC07E6" w:rsidRPr="00DC07E6">
        <w:t>R2-1906371</w:t>
      </w:r>
      <w:r w:rsidR="00DC07E6">
        <w:t xml:space="preserve">.  </w:t>
      </w:r>
      <w:r w:rsidR="00B9507B">
        <w:t xml:space="preserve"> Since there is a possible functional change, some online discussion is needed before concluding on the issue</w:t>
      </w:r>
      <w:r w:rsidR="00030AB8">
        <w:t>.</w:t>
      </w:r>
    </w:p>
    <w:p w14:paraId="7C725EDA" w14:textId="77777777" w:rsidR="00B9507B" w:rsidRDefault="00B9507B" w:rsidP="00B9507B">
      <w:pPr>
        <w:pStyle w:val="Heading1"/>
      </w:pPr>
      <w:r>
        <w:t>Discussion</w:t>
      </w:r>
    </w:p>
    <w:p w14:paraId="4AADBA8B" w14:textId="77777777" w:rsidR="00A304C8" w:rsidRDefault="00A304C8"/>
    <w:p w14:paraId="05DA4F53" w14:textId="77777777" w:rsidR="00681090" w:rsidRDefault="00A304C8">
      <w:r>
        <w:t xml:space="preserve">The </w:t>
      </w:r>
      <w:proofErr w:type="spellStart"/>
      <w:r>
        <w:t>currenet</w:t>
      </w:r>
      <w:proofErr w:type="spellEnd"/>
      <w:r>
        <w:t xml:space="preserve"> specification has different handling for </w:t>
      </w:r>
      <w:r w:rsidR="0087222D">
        <w:t xml:space="preserve">default RLC and logical channel configuration </w:t>
      </w:r>
      <w:r>
        <w:t xml:space="preserve">during </w:t>
      </w:r>
      <w:r w:rsidR="0087222D">
        <w:t>HO to E-UTRA</w:t>
      </w:r>
      <w:r>
        <w:t>.</w:t>
      </w:r>
    </w:p>
    <w:p w14:paraId="2321DB0D" w14:textId="77777777" w:rsidR="00B76403" w:rsidRDefault="00B76403">
      <w:r>
        <w:t xml:space="preserve">The current </w:t>
      </w:r>
      <w:proofErr w:type="spellStart"/>
      <w:r>
        <w:t>fullconfig</w:t>
      </w:r>
      <w:proofErr w:type="spellEnd"/>
      <w:r>
        <w:t xml:space="preserve"> section captures the following </w:t>
      </w:r>
      <w:r w:rsidR="00706A95">
        <w:t>UE behaviour:</w:t>
      </w:r>
    </w:p>
    <w:p w14:paraId="64DD4887" w14:textId="77777777" w:rsidR="0087222D" w:rsidRPr="005134A4" w:rsidRDefault="0087222D" w:rsidP="0087222D">
      <w:pPr>
        <w:pStyle w:val="B1"/>
        <w:rPr>
          <w:lang w:val="en-GB"/>
        </w:rPr>
      </w:pPr>
      <w:r w:rsidRPr="005134A4">
        <w:rPr>
          <w:lang w:val="en-GB"/>
        </w:rPr>
        <w:t>1&gt;</w:t>
      </w:r>
      <w:r w:rsidRPr="005134A4">
        <w:rPr>
          <w:lang w:val="en-GB"/>
        </w:rPr>
        <w:tab/>
        <w:t xml:space="preserve">for each </w:t>
      </w:r>
      <w:proofErr w:type="spellStart"/>
      <w:r w:rsidRPr="005134A4">
        <w:rPr>
          <w:i/>
          <w:lang w:val="en-GB"/>
        </w:rPr>
        <w:t>srb</w:t>
      </w:r>
      <w:proofErr w:type="spellEnd"/>
      <w:r w:rsidRPr="005134A4">
        <w:rPr>
          <w:i/>
          <w:lang w:val="en-GB"/>
        </w:rPr>
        <w:t>-Identity</w:t>
      </w:r>
      <w:r w:rsidRPr="005134A4">
        <w:rPr>
          <w:lang w:val="en-GB"/>
        </w:rPr>
        <w:t xml:space="preserve"> value included in the </w:t>
      </w:r>
      <w:proofErr w:type="spellStart"/>
      <w:r w:rsidRPr="005134A4">
        <w:rPr>
          <w:i/>
          <w:lang w:val="en-GB"/>
        </w:rPr>
        <w:t>srb-ToAddModList</w:t>
      </w:r>
      <w:proofErr w:type="spellEnd"/>
      <w:r w:rsidRPr="005134A4">
        <w:rPr>
          <w:i/>
          <w:lang w:val="en-GB"/>
        </w:rPr>
        <w:t xml:space="preserve"> </w:t>
      </w:r>
      <w:r w:rsidRPr="005134A4">
        <w:rPr>
          <w:lang w:val="en-GB"/>
        </w:rPr>
        <w:t>(SRB reconfiguration):</w:t>
      </w:r>
    </w:p>
    <w:p w14:paraId="183455D6" w14:textId="77777777" w:rsidR="0087222D" w:rsidRPr="005134A4" w:rsidRDefault="0087222D" w:rsidP="0087222D">
      <w:pPr>
        <w:pStyle w:val="B2"/>
        <w:rPr>
          <w:lang w:val="en-GB"/>
        </w:rPr>
      </w:pPr>
      <w:r w:rsidRPr="00D22367">
        <w:rPr>
          <w:lang w:val="en-GB"/>
        </w:rPr>
        <w:t>2&gt;</w:t>
      </w:r>
      <w:r w:rsidRPr="00D22367">
        <w:rPr>
          <w:lang w:val="en-GB"/>
        </w:rPr>
        <w:tab/>
        <w:t>apply the specified configuration defined in 9.1.2 for the corresponding SRB;</w:t>
      </w:r>
    </w:p>
    <w:p w14:paraId="2ACDB0B6" w14:textId="77777777" w:rsidR="0087222D" w:rsidRPr="00A176EB" w:rsidRDefault="0087222D" w:rsidP="0087222D">
      <w:pPr>
        <w:pStyle w:val="B2"/>
        <w:rPr>
          <w:highlight w:val="green"/>
          <w:lang w:val="en-GB"/>
        </w:rPr>
      </w:pPr>
      <w:r w:rsidRPr="00A176EB">
        <w:rPr>
          <w:highlight w:val="green"/>
          <w:lang w:val="en-GB"/>
        </w:rPr>
        <w:t>2&gt;</w:t>
      </w:r>
      <w:r w:rsidRPr="00A176EB">
        <w:rPr>
          <w:highlight w:val="green"/>
          <w:lang w:val="en-GB"/>
        </w:rPr>
        <w:tab/>
        <w:t>apply the corresponding default RLC configuration for the SRB specified in 9.2.1.1 for SRB1 or in 9.2.1.2 for SRB2;</w:t>
      </w:r>
    </w:p>
    <w:p w14:paraId="3000F1E9" w14:textId="77777777" w:rsidR="0087222D" w:rsidRPr="005134A4" w:rsidRDefault="0087222D" w:rsidP="0087222D">
      <w:pPr>
        <w:pStyle w:val="B2"/>
        <w:rPr>
          <w:lang w:val="en-GB"/>
        </w:rPr>
      </w:pPr>
      <w:r w:rsidRPr="00A176EB">
        <w:rPr>
          <w:highlight w:val="green"/>
          <w:lang w:val="en-GB"/>
        </w:rPr>
        <w:t>2&gt;</w:t>
      </w:r>
      <w:r w:rsidRPr="00A176EB">
        <w:rPr>
          <w:highlight w:val="green"/>
          <w:lang w:val="en-GB"/>
        </w:rPr>
        <w:tab/>
        <w:t>apply the corresponding default logical channel configuration for the SRB as specified in 9.2.1.1 for SRB1 or in 9.2.1.2 for SRB2;</w:t>
      </w:r>
    </w:p>
    <w:p w14:paraId="2F4D4F89" w14:textId="77777777" w:rsidR="00A304C8" w:rsidRDefault="00A304C8">
      <w:r>
        <w:t>The above behaviour does not apply for general inter-RAT HO to E-UTRA.</w:t>
      </w:r>
    </w:p>
    <w:p w14:paraId="43F11715" w14:textId="77777777" w:rsidR="0087222D" w:rsidRDefault="00706A95">
      <w:r>
        <w:t>This implies the following handling applies for the different scenarios</w:t>
      </w:r>
      <w:r w:rsidR="002A0356">
        <w:t xml:space="preserve"> in the current specifications</w:t>
      </w:r>
      <w:r>
        <w:t>:</w:t>
      </w:r>
    </w:p>
    <w:tbl>
      <w:tblPr>
        <w:tblStyle w:val="TableGrid"/>
        <w:tblW w:w="0" w:type="auto"/>
        <w:tblLook w:val="04A0" w:firstRow="1" w:lastRow="0" w:firstColumn="1" w:lastColumn="0" w:noHBand="0" w:noVBand="1"/>
      </w:tblPr>
      <w:tblGrid>
        <w:gridCol w:w="3236"/>
        <w:gridCol w:w="2628"/>
        <w:gridCol w:w="3152"/>
      </w:tblGrid>
      <w:tr w:rsidR="002A0356" w14:paraId="73ACA93B" w14:textId="77777777" w:rsidTr="0045485C">
        <w:tc>
          <w:tcPr>
            <w:tcW w:w="3236" w:type="dxa"/>
            <w:shd w:val="clear" w:color="auto" w:fill="FFF2CC" w:themeFill="accent4" w:themeFillTint="33"/>
          </w:tcPr>
          <w:p w14:paraId="130F5214" w14:textId="77777777" w:rsidR="002A0356" w:rsidRDefault="002A0356">
            <w:r>
              <w:t>Scenario (inter-RAT HO to E-UTRA)</w:t>
            </w:r>
          </w:p>
        </w:tc>
        <w:tc>
          <w:tcPr>
            <w:tcW w:w="2628" w:type="dxa"/>
            <w:shd w:val="clear" w:color="auto" w:fill="FFF2CC" w:themeFill="accent4" w:themeFillTint="33"/>
          </w:tcPr>
          <w:p w14:paraId="4DCC8DC0" w14:textId="77777777" w:rsidR="002A0356" w:rsidRDefault="002A0356">
            <w:r>
              <w:t>Full Config flag</w:t>
            </w:r>
          </w:p>
        </w:tc>
        <w:tc>
          <w:tcPr>
            <w:tcW w:w="3152" w:type="dxa"/>
            <w:shd w:val="clear" w:color="auto" w:fill="FFF2CC" w:themeFill="accent4" w:themeFillTint="33"/>
          </w:tcPr>
          <w:p w14:paraId="3B66D957" w14:textId="77777777" w:rsidR="002A0356" w:rsidRDefault="002A0356">
            <w:r>
              <w:t>Whether default RLC/logical channel configuration is applied</w:t>
            </w:r>
          </w:p>
        </w:tc>
      </w:tr>
      <w:tr w:rsidR="002A0356" w14:paraId="328863C1" w14:textId="77777777" w:rsidTr="002A0356">
        <w:tc>
          <w:tcPr>
            <w:tcW w:w="3236" w:type="dxa"/>
          </w:tcPr>
          <w:p w14:paraId="41E53957" w14:textId="77777777" w:rsidR="002A0356" w:rsidRDefault="002A0356">
            <w:r>
              <w:t>Inter-RAT HO to E-UTRAN from legacy (UMTS/GERAN)</w:t>
            </w:r>
          </w:p>
        </w:tc>
        <w:tc>
          <w:tcPr>
            <w:tcW w:w="2628" w:type="dxa"/>
          </w:tcPr>
          <w:p w14:paraId="11D590A8" w14:textId="77777777" w:rsidR="002A0356" w:rsidRDefault="002A0356">
            <w:r>
              <w:t>Not used</w:t>
            </w:r>
          </w:p>
        </w:tc>
        <w:tc>
          <w:tcPr>
            <w:tcW w:w="3152" w:type="dxa"/>
          </w:tcPr>
          <w:p w14:paraId="491B2C89" w14:textId="77777777" w:rsidR="002A0356" w:rsidRDefault="002A0356">
            <w:r>
              <w:t>No</w:t>
            </w:r>
          </w:p>
        </w:tc>
      </w:tr>
      <w:tr w:rsidR="002A0356" w14:paraId="00577B52" w14:textId="77777777" w:rsidTr="002A0356">
        <w:tc>
          <w:tcPr>
            <w:tcW w:w="3236" w:type="dxa"/>
          </w:tcPr>
          <w:p w14:paraId="3567B0BD" w14:textId="77777777" w:rsidR="002A0356" w:rsidRDefault="002A0356">
            <w:r>
              <w:t>Inter-RAT, inter-system HO from NR</w:t>
            </w:r>
          </w:p>
        </w:tc>
        <w:tc>
          <w:tcPr>
            <w:tcW w:w="2628" w:type="dxa"/>
          </w:tcPr>
          <w:p w14:paraId="65F42364" w14:textId="77777777" w:rsidR="002A0356" w:rsidRDefault="002A0356">
            <w:r>
              <w:t>Always set</w:t>
            </w:r>
          </w:p>
        </w:tc>
        <w:tc>
          <w:tcPr>
            <w:tcW w:w="3152" w:type="dxa"/>
          </w:tcPr>
          <w:p w14:paraId="61FEA046" w14:textId="77777777" w:rsidR="002A0356" w:rsidRDefault="002A0356">
            <w:r>
              <w:t>Yes</w:t>
            </w:r>
          </w:p>
        </w:tc>
      </w:tr>
      <w:tr w:rsidR="002A0356" w14:paraId="03EEC621" w14:textId="77777777" w:rsidTr="002A0356">
        <w:tc>
          <w:tcPr>
            <w:tcW w:w="3236" w:type="dxa"/>
          </w:tcPr>
          <w:p w14:paraId="37229CC1" w14:textId="77777777" w:rsidR="002A0356" w:rsidRDefault="002A0356">
            <w:r>
              <w:lastRenderedPageBreak/>
              <w:t xml:space="preserve">Inter-RAT </w:t>
            </w:r>
            <w:commentRangeStart w:id="2"/>
            <w:r>
              <w:t>intra</w:t>
            </w:r>
            <w:commentRangeEnd w:id="2"/>
            <w:r w:rsidR="00FF6176">
              <w:rPr>
                <w:rStyle w:val="CommentReference"/>
              </w:rPr>
              <w:commentReference w:id="2"/>
            </w:r>
            <w:r>
              <w:t>-system HO from NR</w:t>
            </w:r>
          </w:p>
        </w:tc>
        <w:tc>
          <w:tcPr>
            <w:tcW w:w="2628" w:type="dxa"/>
          </w:tcPr>
          <w:p w14:paraId="45E47926" w14:textId="77777777" w:rsidR="002A0356" w:rsidRDefault="002A0356">
            <w:r>
              <w:t>Yes</w:t>
            </w:r>
          </w:p>
        </w:tc>
        <w:tc>
          <w:tcPr>
            <w:tcW w:w="3152" w:type="dxa"/>
          </w:tcPr>
          <w:p w14:paraId="69087148" w14:textId="77777777" w:rsidR="002A0356" w:rsidRDefault="002A0356">
            <w:r>
              <w:t>Yes</w:t>
            </w:r>
          </w:p>
        </w:tc>
      </w:tr>
      <w:tr w:rsidR="002A0356" w14:paraId="33F985CF" w14:textId="77777777" w:rsidTr="002A0356">
        <w:tc>
          <w:tcPr>
            <w:tcW w:w="3236" w:type="dxa"/>
          </w:tcPr>
          <w:p w14:paraId="7A3393D6" w14:textId="77777777" w:rsidR="002A0356" w:rsidRDefault="002A0356">
            <w:r>
              <w:t>Inter-RAT intra-system HO from NR</w:t>
            </w:r>
          </w:p>
        </w:tc>
        <w:tc>
          <w:tcPr>
            <w:tcW w:w="2628" w:type="dxa"/>
          </w:tcPr>
          <w:p w14:paraId="27BB6D42" w14:textId="77777777" w:rsidR="002A0356" w:rsidRDefault="002A0356">
            <w:r>
              <w:t>No</w:t>
            </w:r>
          </w:p>
        </w:tc>
        <w:tc>
          <w:tcPr>
            <w:tcW w:w="3152" w:type="dxa"/>
          </w:tcPr>
          <w:p w14:paraId="5C5B41D6" w14:textId="77777777" w:rsidR="002A0356" w:rsidRDefault="0045485C">
            <w:r>
              <w:t>No</w:t>
            </w:r>
          </w:p>
        </w:tc>
      </w:tr>
    </w:tbl>
    <w:p w14:paraId="068F3297" w14:textId="77777777" w:rsidR="00706A95" w:rsidRDefault="00706A95"/>
    <w:p w14:paraId="3E947CE8" w14:textId="77777777" w:rsidR="0045485C" w:rsidRDefault="00A304C8">
      <w:r w:rsidRPr="00EA0618">
        <w:rPr>
          <w:b/>
        </w:rPr>
        <w:t>Observation:</w:t>
      </w:r>
      <w:r>
        <w:t xml:space="preserve"> </w:t>
      </w:r>
      <w:r w:rsidR="00EA0618">
        <w:t>D</w:t>
      </w:r>
      <w:r w:rsidR="0045485C">
        <w:t>ifferent behaviours are used depending on the scenario</w:t>
      </w:r>
      <w:r w:rsidR="00DC5788">
        <w:t xml:space="preserve"> for default RLC and logical channel configuration</w:t>
      </w:r>
      <w:r w:rsidR="0045485C">
        <w:t xml:space="preserve">.  </w:t>
      </w:r>
    </w:p>
    <w:p w14:paraId="6188B702" w14:textId="77777777" w:rsidR="0045485C" w:rsidRDefault="0045485C">
      <w:r>
        <w:t xml:space="preserve">As discussed and agreed for NR, it is simpler in terms of specifications and implementations to align the handling </w:t>
      </w:r>
      <w:r w:rsidR="009F12C3">
        <w:t xml:space="preserve">for the lower layers.  </w:t>
      </w:r>
    </w:p>
    <w:p w14:paraId="54E1A2B0" w14:textId="77777777" w:rsidR="009F12C3" w:rsidRDefault="009F12C3">
      <w:r w:rsidRPr="00EA0618">
        <w:rPr>
          <w:b/>
        </w:rPr>
        <w:t>Proposal</w:t>
      </w:r>
      <w:r w:rsidR="00EA0618" w:rsidRPr="00EA0618">
        <w:rPr>
          <w:b/>
        </w:rPr>
        <w:t xml:space="preserve"> #1</w:t>
      </w:r>
      <w:r w:rsidRPr="00EA0618">
        <w:rPr>
          <w:b/>
        </w:rPr>
        <w:t>:</w:t>
      </w:r>
      <w:r>
        <w:t xml:space="preserve"> Align the handling of RLC/logical channel configuration for all inter-RAT HO to E-UTRA from NR.</w:t>
      </w:r>
    </w:p>
    <w:p w14:paraId="6F2B2768" w14:textId="77777777" w:rsidR="00E61337" w:rsidRDefault="00E61337">
      <w:r>
        <w:t>Q1: Companies are invited to provide any comments/concerns on the above proposal.</w:t>
      </w:r>
    </w:p>
    <w:tbl>
      <w:tblPr>
        <w:tblStyle w:val="TableGrid"/>
        <w:tblW w:w="9067" w:type="dxa"/>
        <w:tblLook w:val="04A0" w:firstRow="1" w:lastRow="0" w:firstColumn="1" w:lastColumn="0" w:noHBand="0" w:noVBand="1"/>
      </w:tblPr>
      <w:tblGrid>
        <w:gridCol w:w="1980"/>
        <w:gridCol w:w="7087"/>
      </w:tblGrid>
      <w:tr w:rsidR="00E61337" w14:paraId="2A972B9D" w14:textId="77777777" w:rsidTr="007476B4">
        <w:tc>
          <w:tcPr>
            <w:tcW w:w="1980" w:type="dxa"/>
          </w:tcPr>
          <w:p w14:paraId="6593A914" w14:textId="77777777" w:rsidR="00E61337" w:rsidRDefault="00E61337">
            <w:r>
              <w:t>Company</w:t>
            </w:r>
          </w:p>
        </w:tc>
        <w:tc>
          <w:tcPr>
            <w:tcW w:w="7087" w:type="dxa"/>
          </w:tcPr>
          <w:p w14:paraId="6CCA5E79" w14:textId="77777777" w:rsidR="00E61337" w:rsidRDefault="007476B4">
            <w:r>
              <w:t>Comments if any</w:t>
            </w:r>
          </w:p>
        </w:tc>
      </w:tr>
      <w:tr w:rsidR="00E61337" w14:paraId="354622EE" w14:textId="77777777" w:rsidTr="007476B4">
        <w:tc>
          <w:tcPr>
            <w:tcW w:w="1980" w:type="dxa"/>
          </w:tcPr>
          <w:p w14:paraId="0470EFFE" w14:textId="77777777" w:rsidR="00E61337" w:rsidRDefault="007A1CCB">
            <w:r>
              <w:t xml:space="preserve">Huawei, </w:t>
            </w:r>
            <w:proofErr w:type="spellStart"/>
            <w:r>
              <w:t>HiSilicon</w:t>
            </w:r>
            <w:proofErr w:type="spellEnd"/>
          </w:p>
        </w:tc>
        <w:tc>
          <w:tcPr>
            <w:tcW w:w="7087" w:type="dxa"/>
          </w:tcPr>
          <w:p w14:paraId="7BB3A176" w14:textId="77777777" w:rsidR="00E61337" w:rsidRDefault="007A1CCB">
            <w:r>
              <w:t xml:space="preserve">In our view, we can focus on the inter-RAT HO with Full Config Flag </w:t>
            </w:r>
            <w:proofErr w:type="spellStart"/>
            <w:r>
              <w:t>settng</w:t>
            </w:r>
            <w:proofErr w:type="spellEnd"/>
            <w:r>
              <w:t xml:space="preserve"> cases where default RLC/logical channel configuration is applied. The other two cases can be left as it is.</w:t>
            </w:r>
          </w:p>
        </w:tc>
      </w:tr>
      <w:tr w:rsidR="00E85DB5" w14:paraId="39B8591B" w14:textId="77777777" w:rsidTr="007476B4">
        <w:tc>
          <w:tcPr>
            <w:tcW w:w="1980" w:type="dxa"/>
          </w:tcPr>
          <w:p w14:paraId="5EB6D010" w14:textId="77777777" w:rsidR="00E85DB5" w:rsidRDefault="00E85DB5">
            <w:r>
              <w:t>MediaTek</w:t>
            </w:r>
          </w:p>
        </w:tc>
        <w:tc>
          <w:tcPr>
            <w:tcW w:w="7087" w:type="dxa"/>
          </w:tcPr>
          <w:p w14:paraId="2658DA38" w14:textId="77777777" w:rsidR="00E85DB5" w:rsidRDefault="00E85DB5">
            <w:r>
              <w:t xml:space="preserve">Although </w:t>
            </w:r>
            <w:proofErr w:type="spellStart"/>
            <w:r w:rsidRPr="00615E1D">
              <w:rPr>
                <w:i/>
              </w:rPr>
              <w:t>fullConfig</w:t>
            </w:r>
            <w:proofErr w:type="spellEnd"/>
            <w:r>
              <w:t xml:space="preserve"> flag always set to TRUE for inter-system handover, we don’t that UE will really run the </w:t>
            </w:r>
            <w:proofErr w:type="spellStart"/>
            <w:r w:rsidRPr="00615E1D">
              <w:rPr>
                <w:i/>
              </w:rPr>
              <w:t>fullConfig</w:t>
            </w:r>
            <w:proofErr w:type="spellEnd"/>
            <w:r>
              <w:t xml:space="preserve"> clause according to the target specification. </w:t>
            </w:r>
            <w:r w:rsidR="00615E1D">
              <w:t xml:space="preserve">According to our agreement </w:t>
            </w:r>
            <w:proofErr w:type="spellStart"/>
            <w:r w:rsidR="00615E1D" w:rsidRPr="00615E1D">
              <w:rPr>
                <w:i/>
              </w:rPr>
              <w:t>fullConfig</w:t>
            </w:r>
            <w:proofErr w:type="spellEnd"/>
            <w:r w:rsidR="00615E1D">
              <w:t xml:space="preserve"> is only use to tell the UE that PDCP/SDAP does not apply delta configuration. </w:t>
            </w:r>
          </w:p>
        </w:tc>
      </w:tr>
      <w:tr w:rsidR="00622240" w14:paraId="709FF8D6" w14:textId="77777777" w:rsidTr="007476B4">
        <w:tc>
          <w:tcPr>
            <w:tcW w:w="1980" w:type="dxa"/>
          </w:tcPr>
          <w:p w14:paraId="1BA801FA" w14:textId="66FB8E2E" w:rsidR="00622240" w:rsidRDefault="00622240">
            <w:r>
              <w:t>Intel</w:t>
            </w:r>
          </w:p>
        </w:tc>
        <w:tc>
          <w:tcPr>
            <w:tcW w:w="7087" w:type="dxa"/>
          </w:tcPr>
          <w:p w14:paraId="17609E27" w14:textId="243587D5" w:rsidR="00622240" w:rsidRDefault="00622240">
            <w:r>
              <w:t xml:space="preserve">Our understanding of the previous agreement was also that only SDAP/PDCP configuration is re-used.  “Full configuration” is provided for the lower layer specifications did not imply using the </w:t>
            </w:r>
            <w:proofErr w:type="spellStart"/>
            <w:r>
              <w:t>fullConfig</w:t>
            </w:r>
            <w:proofErr w:type="spellEnd"/>
            <w:r>
              <w:t xml:space="preserve"> section.  We should align all inter-RAT HO to LTE procedures </w:t>
            </w:r>
            <w:r w:rsidR="00357949">
              <w:t>as much as possible and deviate only if essential to make specification and implementations simpler.</w:t>
            </w:r>
            <w:r>
              <w:t xml:space="preserve"> </w:t>
            </w:r>
            <w:r w:rsidR="00357949">
              <w:t xml:space="preserve"> We don’t see a reason to have a different behaviour here and believe it should all be aligned.</w:t>
            </w:r>
          </w:p>
        </w:tc>
      </w:tr>
    </w:tbl>
    <w:p w14:paraId="703F3493" w14:textId="77777777" w:rsidR="00E61337" w:rsidRDefault="00E61337"/>
    <w:p w14:paraId="43D0EE74" w14:textId="77777777" w:rsidR="00E61337" w:rsidRDefault="00E61337"/>
    <w:p w14:paraId="4158A624" w14:textId="77777777" w:rsidR="00E61337" w:rsidRDefault="00E61337"/>
    <w:p w14:paraId="00EA904B" w14:textId="77777777" w:rsidR="00EA0618" w:rsidRDefault="00EA0618">
      <w:r>
        <w:t>Since there is no real reason to have a different handling for HO regarding RLC/logical channel configuration to E-UTRA from NR, it is simpler to align all of them to be the same</w:t>
      </w:r>
      <w:r w:rsidR="007476B4">
        <w:t>.</w:t>
      </w:r>
    </w:p>
    <w:p w14:paraId="41AE3F39" w14:textId="77777777" w:rsidR="00EA0618" w:rsidRDefault="00EA0618" w:rsidP="00EA0618">
      <w:r w:rsidRPr="007476B4">
        <w:rPr>
          <w:b/>
        </w:rPr>
        <w:t>Proposal #2:</w:t>
      </w:r>
      <w:r w:rsidRPr="007476B4">
        <w:t xml:space="preserve"> Align the handling of RLC/logical channel configuration for all inter-RAT HO to E-UTRA</w:t>
      </w:r>
      <w:r w:rsidR="00374A26" w:rsidRPr="007476B4">
        <w:t>.  That is, default RLC/logical channel configuration is not applied.</w:t>
      </w:r>
    </w:p>
    <w:p w14:paraId="54BC4D77" w14:textId="77777777" w:rsidR="007476B4" w:rsidRDefault="007476B4" w:rsidP="007476B4">
      <w:r>
        <w:t>Q2: Companies are invited to provide any comments/concerns on the above proposal.</w:t>
      </w:r>
    </w:p>
    <w:tbl>
      <w:tblPr>
        <w:tblStyle w:val="TableGrid"/>
        <w:tblW w:w="9067" w:type="dxa"/>
        <w:tblLook w:val="04A0" w:firstRow="1" w:lastRow="0" w:firstColumn="1" w:lastColumn="0" w:noHBand="0" w:noVBand="1"/>
      </w:tblPr>
      <w:tblGrid>
        <w:gridCol w:w="1980"/>
        <w:gridCol w:w="7087"/>
      </w:tblGrid>
      <w:tr w:rsidR="007476B4" w14:paraId="0AC60AA1" w14:textId="77777777" w:rsidTr="003C00AE">
        <w:tc>
          <w:tcPr>
            <w:tcW w:w="1980" w:type="dxa"/>
          </w:tcPr>
          <w:p w14:paraId="56F4B8C7" w14:textId="77777777" w:rsidR="007476B4" w:rsidRDefault="007476B4" w:rsidP="003C00AE">
            <w:r>
              <w:t>Company</w:t>
            </w:r>
          </w:p>
        </w:tc>
        <w:tc>
          <w:tcPr>
            <w:tcW w:w="7087" w:type="dxa"/>
          </w:tcPr>
          <w:p w14:paraId="05618F60" w14:textId="77777777" w:rsidR="007476B4" w:rsidRDefault="007476B4" w:rsidP="003C00AE">
            <w:r>
              <w:t>Comments if any</w:t>
            </w:r>
          </w:p>
        </w:tc>
      </w:tr>
      <w:tr w:rsidR="007476B4" w14:paraId="68990DCE" w14:textId="77777777" w:rsidTr="003C00AE">
        <w:tc>
          <w:tcPr>
            <w:tcW w:w="1980" w:type="dxa"/>
          </w:tcPr>
          <w:p w14:paraId="6A92712B" w14:textId="77777777" w:rsidR="007476B4" w:rsidRDefault="007A1CCB" w:rsidP="003C00AE">
            <w:r>
              <w:t xml:space="preserve">Huawei, </w:t>
            </w:r>
            <w:proofErr w:type="spellStart"/>
            <w:r>
              <w:t>HiSilicon</w:t>
            </w:r>
            <w:proofErr w:type="spellEnd"/>
          </w:p>
        </w:tc>
        <w:tc>
          <w:tcPr>
            <w:tcW w:w="7087" w:type="dxa"/>
          </w:tcPr>
          <w:p w14:paraId="0F0C5EAF" w14:textId="77777777" w:rsidR="007476B4" w:rsidRDefault="007A1CCB" w:rsidP="003C00AE">
            <w:r>
              <w:t xml:space="preserve">No. We can just focus on NR to EUTRA. No need to tie NR with other RATs which even don’t </w:t>
            </w:r>
            <w:r w:rsidR="00AC2A8B">
              <w:t xml:space="preserve">make </w:t>
            </w:r>
            <w:r>
              <w:t>use</w:t>
            </w:r>
            <w:r w:rsidR="00AC2A8B">
              <w:t xml:space="preserve"> of</w:t>
            </w:r>
            <w:r>
              <w:t xml:space="preserve"> the Full </w:t>
            </w:r>
            <w:r w:rsidR="00AC2A8B">
              <w:t>C</w:t>
            </w:r>
            <w:r>
              <w:t>onfig flag.</w:t>
            </w:r>
          </w:p>
        </w:tc>
      </w:tr>
      <w:tr w:rsidR="00E85DB5" w14:paraId="6EB296B4" w14:textId="77777777" w:rsidTr="003C00AE">
        <w:tc>
          <w:tcPr>
            <w:tcW w:w="1980" w:type="dxa"/>
          </w:tcPr>
          <w:p w14:paraId="52B37472" w14:textId="77777777" w:rsidR="00E85DB5" w:rsidRDefault="00E85DB5" w:rsidP="003C00AE">
            <w:r>
              <w:t>MediaTek</w:t>
            </w:r>
          </w:p>
        </w:tc>
        <w:tc>
          <w:tcPr>
            <w:tcW w:w="7087" w:type="dxa"/>
          </w:tcPr>
          <w:p w14:paraId="498726BC" w14:textId="77777777" w:rsidR="00615E1D" w:rsidRDefault="00615E1D" w:rsidP="003C00AE">
            <w:r>
              <w:t xml:space="preserve">Yes. The UE implantation for handover to EUTRA procedure should be the same no matter from which RAT. </w:t>
            </w:r>
            <w:r w:rsidR="003D2325">
              <w:t>As our previous comment, the UE should not apply default configuration for RLC and logic channel.</w:t>
            </w:r>
          </w:p>
          <w:p w14:paraId="60E5D4A9" w14:textId="77777777" w:rsidR="00615E1D" w:rsidRDefault="00615E1D" w:rsidP="003C00AE"/>
          <w:p w14:paraId="6C1C337B" w14:textId="77777777" w:rsidR="003D2325" w:rsidRDefault="003D2325" w:rsidP="003C00AE">
            <w:r>
              <w:lastRenderedPageBreak/>
              <w:t xml:space="preserve">If we look at the clauses closely, the procedure to apply default RLC and logical channel configuration is not unconditionally. The network will anyway has to provide the new SRB configuration. It is used while target cell does not know the </w:t>
            </w:r>
            <w:r w:rsidR="00FF6176">
              <w:t>source configuration and still want to apply delta configuration for SRB. So, the UE start its SRB configuration in default state. RAN2 agreement say that delta configuration is not used in inter-system handover, so I don’t think inter-system handover is applicable in this case.</w:t>
            </w:r>
          </w:p>
          <w:p w14:paraId="10EFD898" w14:textId="77777777" w:rsidR="003D2325" w:rsidRDefault="003D2325" w:rsidP="003C00AE"/>
          <w:p w14:paraId="5C54E9B4" w14:textId="77777777" w:rsidR="003D2325" w:rsidRPr="005134A4" w:rsidRDefault="003D2325" w:rsidP="003D2325">
            <w:pPr>
              <w:pStyle w:val="B1"/>
              <w:rPr>
                <w:lang w:val="en-GB"/>
              </w:rPr>
            </w:pPr>
            <w:r w:rsidRPr="005134A4">
              <w:rPr>
                <w:lang w:val="en-GB"/>
              </w:rPr>
              <w:t>1&gt;</w:t>
            </w:r>
            <w:r w:rsidRPr="005134A4">
              <w:rPr>
                <w:lang w:val="en-GB"/>
              </w:rPr>
              <w:tab/>
            </w:r>
            <w:r w:rsidRPr="003D2325">
              <w:rPr>
                <w:highlight w:val="yellow"/>
                <w:lang w:val="en-GB"/>
              </w:rPr>
              <w:t xml:space="preserve">for each </w:t>
            </w:r>
            <w:proofErr w:type="spellStart"/>
            <w:r w:rsidRPr="003D2325">
              <w:rPr>
                <w:i/>
                <w:highlight w:val="yellow"/>
                <w:lang w:val="en-GB"/>
              </w:rPr>
              <w:t>srb</w:t>
            </w:r>
            <w:proofErr w:type="spellEnd"/>
            <w:r w:rsidRPr="003D2325">
              <w:rPr>
                <w:i/>
                <w:highlight w:val="yellow"/>
                <w:lang w:val="en-GB"/>
              </w:rPr>
              <w:t>-Identity</w:t>
            </w:r>
            <w:r w:rsidRPr="003D2325">
              <w:rPr>
                <w:highlight w:val="yellow"/>
                <w:lang w:val="en-GB"/>
              </w:rPr>
              <w:t xml:space="preserve"> value included in the </w:t>
            </w:r>
            <w:proofErr w:type="spellStart"/>
            <w:r w:rsidRPr="003D2325">
              <w:rPr>
                <w:i/>
                <w:highlight w:val="yellow"/>
                <w:lang w:val="en-GB"/>
              </w:rPr>
              <w:t>srb-ToAddModList</w:t>
            </w:r>
            <w:proofErr w:type="spellEnd"/>
            <w:r w:rsidRPr="005134A4">
              <w:rPr>
                <w:i/>
                <w:lang w:val="en-GB"/>
              </w:rPr>
              <w:t xml:space="preserve"> </w:t>
            </w:r>
            <w:r w:rsidRPr="005134A4">
              <w:rPr>
                <w:lang w:val="en-GB"/>
              </w:rPr>
              <w:t>(SRB reconfiguration):</w:t>
            </w:r>
          </w:p>
          <w:p w14:paraId="409677DB" w14:textId="77777777" w:rsidR="003D2325" w:rsidRPr="005134A4" w:rsidRDefault="003D2325" w:rsidP="003D2325">
            <w:pPr>
              <w:pStyle w:val="B2"/>
              <w:rPr>
                <w:lang w:val="en-GB"/>
              </w:rPr>
            </w:pPr>
            <w:r w:rsidRPr="005134A4">
              <w:rPr>
                <w:lang w:val="en-GB"/>
              </w:rPr>
              <w:t>2&gt;</w:t>
            </w:r>
            <w:r w:rsidRPr="005134A4">
              <w:rPr>
                <w:lang w:val="en-GB"/>
              </w:rPr>
              <w:tab/>
              <w:t>apply the specified configuration defined in 9.1.2 for the corresponding SRB;</w:t>
            </w:r>
          </w:p>
          <w:p w14:paraId="6780E1C0" w14:textId="77777777" w:rsidR="003D2325" w:rsidRPr="005134A4" w:rsidRDefault="003D2325" w:rsidP="003D2325">
            <w:pPr>
              <w:pStyle w:val="B2"/>
              <w:rPr>
                <w:lang w:val="en-GB"/>
              </w:rPr>
            </w:pPr>
            <w:r w:rsidRPr="005134A4">
              <w:rPr>
                <w:lang w:val="en-GB"/>
              </w:rPr>
              <w:t>2&gt;</w:t>
            </w:r>
            <w:r w:rsidRPr="005134A4">
              <w:rPr>
                <w:lang w:val="en-GB"/>
              </w:rPr>
              <w:tab/>
              <w:t>apply the corresponding default RLC configuration for the SRB specified in 9.2.1.1 for SRB1 or in 9.2.1.2 for SRB2;</w:t>
            </w:r>
          </w:p>
          <w:p w14:paraId="566170BE" w14:textId="77777777" w:rsidR="003D2325" w:rsidRPr="005134A4" w:rsidRDefault="003D2325" w:rsidP="003D2325">
            <w:pPr>
              <w:pStyle w:val="B2"/>
              <w:rPr>
                <w:lang w:val="en-GB"/>
              </w:rPr>
            </w:pPr>
            <w:r w:rsidRPr="005134A4">
              <w:rPr>
                <w:lang w:val="en-GB"/>
              </w:rPr>
              <w:t>2&gt;</w:t>
            </w:r>
            <w:r w:rsidRPr="005134A4">
              <w:rPr>
                <w:lang w:val="en-GB"/>
              </w:rPr>
              <w:tab/>
              <w:t>apply the corresponding default logical channel configuration for the SRB as specified in 9.2.1.1 for SRB1 or in 9.2.1.2 for SRB2;</w:t>
            </w:r>
          </w:p>
          <w:p w14:paraId="732F1BBC" w14:textId="77777777" w:rsidR="003D2325" w:rsidRPr="005134A4" w:rsidRDefault="003D2325" w:rsidP="003D2325">
            <w:pPr>
              <w:pStyle w:val="B2"/>
              <w:rPr>
                <w:lang w:val="en-GB"/>
              </w:rPr>
            </w:pPr>
            <w:r w:rsidRPr="005134A4">
              <w:rPr>
                <w:lang w:val="en-GB"/>
              </w:rPr>
              <w:t>2&gt;</w:t>
            </w:r>
            <w:r w:rsidRPr="005134A4">
              <w:rPr>
                <w:lang w:val="en-GB"/>
              </w:rPr>
              <w:tab/>
              <w:t>if the corresponding SRB was configured with NR PDCP and the UE is connected to EPC:</w:t>
            </w:r>
          </w:p>
          <w:p w14:paraId="7147FF05" w14:textId="77777777" w:rsidR="003D2325" w:rsidRPr="005134A4" w:rsidRDefault="003D2325" w:rsidP="003D2325">
            <w:pPr>
              <w:pStyle w:val="B3"/>
              <w:rPr>
                <w:lang w:val="en-GB"/>
              </w:rPr>
            </w:pPr>
            <w:r w:rsidRPr="005134A4">
              <w:rPr>
                <w:lang w:val="en-GB"/>
              </w:rPr>
              <w:t>3&gt;</w:t>
            </w:r>
            <w:r w:rsidRPr="005134A4">
              <w:rPr>
                <w:lang w:val="en-GB"/>
              </w:rPr>
              <w:tab/>
              <w:t>release the NR PDCP entity and establish it with an E-UTRA PDCP entity and with the current (MCG) security configuration;</w:t>
            </w:r>
          </w:p>
          <w:p w14:paraId="720F493E" w14:textId="77777777" w:rsidR="003D2325" w:rsidRPr="005134A4" w:rsidRDefault="003D2325" w:rsidP="003D2325">
            <w:pPr>
              <w:pStyle w:val="NO"/>
              <w:rPr>
                <w:lang w:val="en-GB"/>
              </w:rPr>
            </w:pPr>
            <w:r w:rsidRPr="005134A4">
              <w:rPr>
                <w:lang w:val="en-GB"/>
              </w:rPr>
              <w:t>NOTE 1a:</w:t>
            </w:r>
            <w:r w:rsidRPr="005134A4">
              <w:rPr>
                <w:lang w:val="en-GB"/>
              </w:rPr>
              <w:tab/>
              <w:t>The UE applies the LTE ciphering and integrity protection algorithms that are equivalent to the previously configured NR security algorithms.</w:t>
            </w:r>
          </w:p>
          <w:p w14:paraId="4F79B50D" w14:textId="77777777" w:rsidR="003D2325" w:rsidRPr="005134A4" w:rsidRDefault="003D2325" w:rsidP="003D2325">
            <w:pPr>
              <w:pStyle w:val="B3"/>
              <w:rPr>
                <w:lang w:val="en-GB"/>
              </w:rPr>
            </w:pPr>
            <w:r w:rsidRPr="005134A4">
              <w:rPr>
                <w:lang w:val="en-GB"/>
              </w:rPr>
              <w:t>3&gt;</w:t>
            </w:r>
            <w:r w:rsidRPr="005134A4">
              <w:rPr>
                <w:lang w:val="en-GB"/>
              </w:rPr>
              <w:tab/>
              <w:t>associate the RLC bearer of this SRB with the established PDCP entity;</w:t>
            </w:r>
          </w:p>
          <w:p w14:paraId="0B23925C" w14:textId="77777777" w:rsidR="00E85DB5" w:rsidRPr="00FF6176" w:rsidRDefault="003D2325" w:rsidP="00FF6176">
            <w:pPr>
              <w:pStyle w:val="NO"/>
              <w:rPr>
                <w:lang w:val="en-GB"/>
              </w:rPr>
            </w:pPr>
            <w:r w:rsidRPr="005134A4">
              <w:rPr>
                <w:lang w:val="en-GB"/>
              </w:rPr>
              <w:t>NOTE 2:</w:t>
            </w:r>
            <w:r w:rsidRPr="005134A4">
              <w:rPr>
                <w:lang w:val="en-GB"/>
              </w:rPr>
              <w:tab/>
            </w:r>
            <w:r w:rsidRPr="003D2325">
              <w:rPr>
                <w:highlight w:val="yellow"/>
                <w:lang w:val="en-GB"/>
              </w:rPr>
              <w:t xml:space="preserve">This is to get the SRBs (SRB1 and SRB2 for handover and SRB2 for reconfiguration after reestablishment) to a </w:t>
            </w:r>
            <w:r w:rsidRPr="00FF6176">
              <w:rPr>
                <w:highlight w:val="green"/>
                <w:lang w:val="en-GB"/>
              </w:rPr>
              <w:t xml:space="preserve">known state </w:t>
            </w:r>
            <w:r w:rsidRPr="003D2325">
              <w:rPr>
                <w:highlight w:val="yellow"/>
                <w:lang w:val="en-GB"/>
              </w:rPr>
              <w:t xml:space="preserve">from which the reconfiguration message can </w:t>
            </w:r>
            <w:r w:rsidRPr="00FF6176">
              <w:rPr>
                <w:highlight w:val="green"/>
                <w:lang w:val="en-GB"/>
              </w:rPr>
              <w:t>do further configuration</w:t>
            </w:r>
            <w:r w:rsidRPr="005134A4">
              <w:rPr>
                <w:lang w:val="en-GB"/>
              </w:rPr>
              <w:t>.</w:t>
            </w:r>
          </w:p>
        </w:tc>
      </w:tr>
      <w:tr w:rsidR="00357949" w14:paraId="69FB39B2" w14:textId="77777777" w:rsidTr="003C00AE">
        <w:tc>
          <w:tcPr>
            <w:tcW w:w="1980" w:type="dxa"/>
          </w:tcPr>
          <w:p w14:paraId="79334172" w14:textId="66B308CF" w:rsidR="00357949" w:rsidRDefault="00357949" w:rsidP="003C00AE">
            <w:r>
              <w:lastRenderedPageBreak/>
              <w:t>Intel</w:t>
            </w:r>
          </w:p>
        </w:tc>
        <w:tc>
          <w:tcPr>
            <w:tcW w:w="7087" w:type="dxa"/>
          </w:tcPr>
          <w:p w14:paraId="3E62A907" w14:textId="7AA799F9" w:rsidR="00357949" w:rsidRDefault="00B305C3" w:rsidP="003C00AE">
            <w:r>
              <w:t xml:space="preserve">Yes.  </w:t>
            </w:r>
            <w:r w:rsidR="004773EA">
              <w:t xml:space="preserve">We believe we should align all the different scenarios as much as possible and only deviate if there is a real reason.  It is done for intra-RAT HO in </w:t>
            </w:r>
            <w:proofErr w:type="spellStart"/>
            <w:r w:rsidR="004773EA">
              <w:t>fullConfig</w:t>
            </w:r>
            <w:proofErr w:type="spellEnd"/>
            <w:r w:rsidR="004773EA">
              <w:t xml:space="preserve"> </w:t>
            </w:r>
            <w:r w:rsidR="00C86C48">
              <w:t xml:space="preserve">since there is already an SRB and we have to take it to some initial state.  This is not the case for inter-RAT HO.  There is no reason to apply the default RLC/logical channel configurations for inter-RAT HO for any scenario.  </w:t>
            </w:r>
          </w:p>
        </w:tc>
      </w:tr>
    </w:tbl>
    <w:p w14:paraId="544C7BF0" w14:textId="77777777" w:rsidR="007476B4" w:rsidRDefault="007476B4" w:rsidP="007476B4"/>
    <w:p w14:paraId="153B8C78" w14:textId="77777777" w:rsidR="00EA0618" w:rsidRDefault="00EA0618"/>
    <w:p w14:paraId="288888C0" w14:textId="77777777" w:rsidR="00EA0618" w:rsidRDefault="008E3345" w:rsidP="008E3345">
      <w:pPr>
        <w:pStyle w:val="Heading1"/>
      </w:pPr>
      <w:r>
        <w:t>Conclusion and proposal</w:t>
      </w:r>
    </w:p>
    <w:p w14:paraId="18F2E739" w14:textId="77777777" w:rsidR="008E3345" w:rsidRDefault="008E3345"/>
    <w:p w14:paraId="6608328F" w14:textId="77777777" w:rsidR="003C0DF0" w:rsidRDefault="003C0DF0" w:rsidP="003C0DF0">
      <w:r w:rsidRPr="00EA0618">
        <w:rPr>
          <w:b/>
        </w:rPr>
        <w:t>Proposal #1:</w:t>
      </w:r>
      <w:r>
        <w:t xml:space="preserve"> Align the handling of RLC/logical channel configuration for all inter-RAT HO to E-UTRA from NR.</w:t>
      </w:r>
    </w:p>
    <w:p w14:paraId="63887EE6" w14:textId="687ED094" w:rsidR="003C0DF0" w:rsidRDefault="003C0DF0" w:rsidP="003C0DF0">
      <w:r w:rsidRPr="007476B4">
        <w:rPr>
          <w:b/>
        </w:rPr>
        <w:t>Proposal #2:</w:t>
      </w:r>
      <w:r w:rsidRPr="007476B4">
        <w:t xml:space="preserve"> </w:t>
      </w:r>
      <w:r>
        <w:t>D</w:t>
      </w:r>
      <w:r w:rsidRPr="007476B4">
        <w:t>efault RLC/logical channel configuration is not applied</w:t>
      </w:r>
      <w:r w:rsidRPr="007476B4">
        <w:t xml:space="preserve"> </w:t>
      </w:r>
      <w:r>
        <w:t xml:space="preserve">for SRBs </w:t>
      </w:r>
      <w:r w:rsidRPr="007476B4">
        <w:t>for all inter-RAT HO</w:t>
      </w:r>
      <w:r>
        <w:t>.</w:t>
      </w:r>
    </w:p>
    <w:p w14:paraId="399D3566" w14:textId="06792D6D" w:rsidR="009F12C3" w:rsidRDefault="009F12C3"/>
    <w:sectPr w:rsidR="009F12C3">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MediaTek (Felix)" w:date="2019-05-17T07:19:00Z" w:initials="M">
    <w:p w14:paraId="063070AC" w14:textId="77777777" w:rsidR="00FF6176" w:rsidRDefault="00FF6176">
      <w:pPr>
        <w:pStyle w:val="CommentText"/>
      </w:pPr>
      <w:r>
        <w:rPr>
          <w:rStyle w:val="CommentReference"/>
        </w:rPr>
        <w:annotationRef/>
      </w:r>
      <w:r>
        <w:t>Should be inter-system handover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3070A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3070AC" w16cid:durableId="2089698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DF52E6"/>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22D"/>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0AB8"/>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76915"/>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73F"/>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0356"/>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57949"/>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A26"/>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0DF0"/>
    <w:rsid w:val="003C2928"/>
    <w:rsid w:val="003C3505"/>
    <w:rsid w:val="003C448C"/>
    <w:rsid w:val="003C56AB"/>
    <w:rsid w:val="003C5F8F"/>
    <w:rsid w:val="003C6426"/>
    <w:rsid w:val="003D0607"/>
    <w:rsid w:val="003D1328"/>
    <w:rsid w:val="003D20E7"/>
    <w:rsid w:val="003D22BA"/>
    <w:rsid w:val="003D2325"/>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485C"/>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3EA"/>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2BBC"/>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2CF"/>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5E1D"/>
    <w:rsid w:val="00616144"/>
    <w:rsid w:val="00621450"/>
    <w:rsid w:val="006220B5"/>
    <w:rsid w:val="00622240"/>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5F69"/>
    <w:rsid w:val="006F714C"/>
    <w:rsid w:val="006F773E"/>
    <w:rsid w:val="0070184D"/>
    <w:rsid w:val="0070372E"/>
    <w:rsid w:val="00703D3A"/>
    <w:rsid w:val="00703E6E"/>
    <w:rsid w:val="00704556"/>
    <w:rsid w:val="00706A95"/>
    <w:rsid w:val="00711183"/>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6B4"/>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1CCB"/>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67E5"/>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22D"/>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3345"/>
    <w:rsid w:val="008E4758"/>
    <w:rsid w:val="008F0FD3"/>
    <w:rsid w:val="008F1BF2"/>
    <w:rsid w:val="008F235D"/>
    <w:rsid w:val="008F2B4B"/>
    <w:rsid w:val="008F3B2E"/>
    <w:rsid w:val="008F4925"/>
    <w:rsid w:val="008F5091"/>
    <w:rsid w:val="008F6481"/>
    <w:rsid w:val="008F7389"/>
    <w:rsid w:val="00902309"/>
    <w:rsid w:val="009055D0"/>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2C3"/>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04C8"/>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2A8B"/>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5C3"/>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403"/>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07B"/>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0780"/>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86C48"/>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C6726"/>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2367"/>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7E6"/>
    <w:rsid w:val="00DC0E68"/>
    <w:rsid w:val="00DC110B"/>
    <w:rsid w:val="00DC1265"/>
    <w:rsid w:val="00DC2987"/>
    <w:rsid w:val="00DC4EF0"/>
    <w:rsid w:val="00DC515F"/>
    <w:rsid w:val="00DC5788"/>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33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85DB5"/>
    <w:rsid w:val="00E906A0"/>
    <w:rsid w:val="00E90C69"/>
    <w:rsid w:val="00E91C09"/>
    <w:rsid w:val="00E9221B"/>
    <w:rsid w:val="00E92EEE"/>
    <w:rsid w:val="00E949F0"/>
    <w:rsid w:val="00E967B1"/>
    <w:rsid w:val="00EA0618"/>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176"/>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07FF1"/>
  <w15:chartTrackingRefBased/>
  <w15:docId w15:val="{F5786F7C-08F0-4D65-80A0-9A6B8A1FE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507B"/>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B9507B"/>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9507B"/>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9507B"/>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9507B"/>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9507B"/>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9507B"/>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B9507B"/>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9507B"/>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1"/>
    <w:qFormat/>
    <w:rsid w:val="0087222D"/>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1Char1">
    <w:name w:val="B1 Char1"/>
    <w:link w:val="B1"/>
    <w:qFormat/>
    <w:rsid w:val="0087222D"/>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87222D"/>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2Char">
    <w:name w:val="B2 Char"/>
    <w:link w:val="B2"/>
    <w:qFormat/>
    <w:rsid w:val="0087222D"/>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87222D"/>
    <w:pPr>
      <w:ind w:left="283" w:hanging="283"/>
      <w:contextualSpacing/>
    </w:pPr>
  </w:style>
  <w:style w:type="paragraph" w:styleId="List2">
    <w:name w:val="List 2"/>
    <w:basedOn w:val="Normal"/>
    <w:uiPriority w:val="99"/>
    <w:semiHidden/>
    <w:unhideWhenUsed/>
    <w:rsid w:val="0087222D"/>
    <w:pPr>
      <w:ind w:left="566" w:hanging="283"/>
      <w:contextualSpacing/>
    </w:pPr>
  </w:style>
  <w:style w:type="table" w:styleId="TableGrid">
    <w:name w:val="Table Grid"/>
    <w:basedOn w:val="TableNormal"/>
    <w:uiPriority w:val="39"/>
    <w:rsid w:val="00905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9F12C3"/>
    <w:pPr>
      <w:tabs>
        <w:tab w:val="left" w:pos="1701"/>
        <w:tab w:val="right" w:pos="9639"/>
      </w:tabs>
      <w:overflowPunct w:val="0"/>
      <w:autoSpaceDE w:val="0"/>
      <w:autoSpaceDN w:val="0"/>
      <w:adjustRightInd w:val="0"/>
      <w:spacing w:after="240" w:line="240" w:lineRule="auto"/>
      <w:jc w:val="both"/>
    </w:pPr>
    <w:rPr>
      <w:rFonts w:ascii="Arial" w:eastAsiaTheme="minorEastAsia" w:hAnsi="Arial" w:cs="Times New Roman"/>
      <w:b/>
      <w:sz w:val="24"/>
      <w:szCs w:val="20"/>
      <w:lang w:eastAsia="zh-CN"/>
    </w:rPr>
  </w:style>
  <w:style w:type="paragraph" w:customStyle="1" w:styleId="CRCoverPage">
    <w:name w:val="CR Cover Page"/>
    <w:rsid w:val="009F12C3"/>
    <w:pPr>
      <w:spacing w:after="120" w:line="240" w:lineRule="auto"/>
    </w:pPr>
    <w:rPr>
      <w:rFonts w:ascii="Arial" w:eastAsia="Times New Roman" w:hAnsi="Arial" w:cs="Times New Roman"/>
      <w:sz w:val="20"/>
      <w:szCs w:val="20"/>
    </w:rPr>
  </w:style>
  <w:style w:type="character" w:customStyle="1" w:styleId="Heading1Char">
    <w:name w:val="Heading 1 Char"/>
    <w:basedOn w:val="DefaultParagraphFont"/>
    <w:link w:val="Heading1"/>
    <w:uiPriority w:val="9"/>
    <w:rsid w:val="00B9507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B9507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9507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B9507B"/>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B9507B"/>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B9507B"/>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B9507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B9507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9507B"/>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iPriority w:val="99"/>
    <w:semiHidden/>
    <w:unhideWhenUsed/>
    <w:rsid w:val="00BE0780"/>
    <w:rPr>
      <w:sz w:val="16"/>
      <w:szCs w:val="16"/>
    </w:rPr>
  </w:style>
  <w:style w:type="paragraph" w:styleId="CommentText">
    <w:name w:val="annotation text"/>
    <w:basedOn w:val="Normal"/>
    <w:link w:val="CommentTextChar"/>
    <w:uiPriority w:val="99"/>
    <w:semiHidden/>
    <w:unhideWhenUsed/>
    <w:rsid w:val="00BE0780"/>
    <w:pPr>
      <w:spacing w:line="240" w:lineRule="auto"/>
    </w:pPr>
    <w:rPr>
      <w:sz w:val="20"/>
      <w:szCs w:val="20"/>
    </w:rPr>
  </w:style>
  <w:style w:type="character" w:customStyle="1" w:styleId="CommentTextChar">
    <w:name w:val="Comment Text Char"/>
    <w:basedOn w:val="DefaultParagraphFont"/>
    <w:link w:val="CommentText"/>
    <w:uiPriority w:val="99"/>
    <w:semiHidden/>
    <w:rsid w:val="00BE0780"/>
    <w:rPr>
      <w:sz w:val="20"/>
      <w:szCs w:val="20"/>
    </w:rPr>
  </w:style>
  <w:style w:type="paragraph" w:styleId="CommentSubject">
    <w:name w:val="annotation subject"/>
    <w:basedOn w:val="CommentText"/>
    <w:next w:val="CommentText"/>
    <w:link w:val="CommentSubjectChar"/>
    <w:uiPriority w:val="99"/>
    <w:semiHidden/>
    <w:unhideWhenUsed/>
    <w:rsid w:val="00BE0780"/>
    <w:rPr>
      <w:b/>
      <w:bCs/>
    </w:rPr>
  </w:style>
  <w:style w:type="character" w:customStyle="1" w:styleId="CommentSubjectChar">
    <w:name w:val="Comment Subject Char"/>
    <w:basedOn w:val="CommentTextChar"/>
    <w:link w:val="CommentSubject"/>
    <w:uiPriority w:val="99"/>
    <w:semiHidden/>
    <w:rsid w:val="00BE0780"/>
    <w:rPr>
      <w:b/>
      <w:bCs/>
      <w:sz w:val="20"/>
      <w:szCs w:val="20"/>
    </w:rPr>
  </w:style>
  <w:style w:type="paragraph" w:styleId="BalloonText">
    <w:name w:val="Balloon Text"/>
    <w:basedOn w:val="Normal"/>
    <w:link w:val="BalloonTextChar"/>
    <w:uiPriority w:val="99"/>
    <w:semiHidden/>
    <w:unhideWhenUsed/>
    <w:rsid w:val="00BE07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0780"/>
    <w:rPr>
      <w:rFonts w:ascii="Segoe UI" w:hAnsi="Segoe UI" w:cs="Segoe UI"/>
      <w:sz w:val="18"/>
      <w:szCs w:val="18"/>
    </w:rPr>
  </w:style>
  <w:style w:type="paragraph" w:customStyle="1" w:styleId="Doc-title">
    <w:name w:val="Doc-title"/>
    <w:basedOn w:val="Normal"/>
    <w:next w:val="Normal"/>
    <w:link w:val="Doc-titleChar"/>
    <w:qFormat/>
    <w:rsid w:val="00711183"/>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711183"/>
    <w:rPr>
      <w:rFonts w:ascii="Arial" w:eastAsia="MS Mincho" w:hAnsi="Arial" w:cs="Times New Roman"/>
      <w:noProof/>
      <w:sz w:val="20"/>
      <w:szCs w:val="24"/>
      <w:lang w:eastAsia="en-GB"/>
    </w:rPr>
  </w:style>
  <w:style w:type="character" w:styleId="Hyperlink">
    <w:name w:val="Hyperlink"/>
    <w:uiPriority w:val="99"/>
    <w:rsid w:val="00711183"/>
    <w:rPr>
      <w:color w:val="0000FF"/>
      <w:u w:val="single"/>
    </w:rPr>
  </w:style>
  <w:style w:type="paragraph" w:customStyle="1" w:styleId="ComeBack">
    <w:name w:val="ComeBack"/>
    <w:basedOn w:val="Normal"/>
    <w:next w:val="Normal"/>
    <w:link w:val="ComeBackCharChar"/>
    <w:rsid w:val="00711183"/>
    <w:pPr>
      <w:numPr>
        <w:numId w:val="2"/>
      </w:numPr>
      <w:spacing w:after="0" w:line="240" w:lineRule="auto"/>
    </w:pPr>
    <w:rPr>
      <w:rFonts w:ascii="Arial" w:eastAsia="MS Mincho" w:hAnsi="Arial" w:cs="Times New Roman"/>
      <w:sz w:val="20"/>
      <w:szCs w:val="24"/>
      <w:lang w:eastAsia="en-GB"/>
    </w:rPr>
  </w:style>
  <w:style w:type="character" w:customStyle="1" w:styleId="ComeBackCharChar">
    <w:name w:val="ComeBack Char Char"/>
    <w:link w:val="ComeBack"/>
    <w:rsid w:val="00711183"/>
    <w:rPr>
      <w:rFonts w:ascii="Arial" w:eastAsia="MS Mincho" w:hAnsi="Arial" w:cs="Times New Roman"/>
      <w:sz w:val="20"/>
      <w:szCs w:val="24"/>
      <w:lang w:eastAsia="en-GB"/>
    </w:rPr>
  </w:style>
  <w:style w:type="paragraph" w:customStyle="1" w:styleId="NO">
    <w:name w:val="NO"/>
    <w:basedOn w:val="Normal"/>
    <w:link w:val="NOChar"/>
    <w:qFormat/>
    <w:rsid w:val="003D2325"/>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3D2325"/>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3D2325"/>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3Char2">
    <w:name w:val="B3 Char2"/>
    <w:link w:val="B3"/>
    <w:qFormat/>
    <w:rsid w:val="003D2325"/>
    <w:rPr>
      <w:rFonts w:ascii="Times New Roman" w:eastAsia="Times New Roman" w:hAnsi="Times New Roman" w:cs="Times New Roman"/>
      <w:sz w:val="20"/>
      <w:szCs w:val="20"/>
      <w:lang w:val="x-none" w:eastAsia="x-none"/>
    </w:rPr>
  </w:style>
  <w:style w:type="paragraph" w:styleId="List3">
    <w:name w:val="List 3"/>
    <w:basedOn w:val="Normal"/>
    <w:uiPriority w:val="99"/>
    <w:semiHidden/>
    <w:unhideWhenUsed/>
    <w:rsid w:val="003D2325"/>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ettings" Target="settings.xml"/><Relationship Id="rId7"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hyperlink" Target="file:///C:\Data\3GPP\Extracts\R2-1906371-inter-RAT-v2.docx"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992</Words>
  <Characters>5659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(Sudeep)-1</dc:creator>
  <cp:keywords/>
  <dc:description/>
  <cp:lastModifiedBy>Intel (Sudeep)-1</cp:lastModifiedBy>
  <cp:revision>2</cp:revision>
  <dcterms:created xsi:type="dcterms:W3CDTF">2019-05-17T19:25:00Z</dcterms:created>
  <dcterms:modified xsi:type="dcterms:W3CDTF">2019-05-17T19:25:00Z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1557989188</vt:lpwstr>
  </property>
</Properties>
</file>