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4CA092" w14:textId="2F823BC4" w:rsidR="009C08BC" w:rsidRPr="00943E97" w:rsidRDefault="009C08BC" w:rsidP="009C08BC">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61312" behindDoc="0" locked="1" layoutInCell="1" allowOverlap="1" wp14:anchorId="1E37FBDC" wp14:editId="64C5E69C">
                <wp:simplePos x="0" y="0"/>
                <wp:positionH relativeFrom="column">
                  <wp:posOffset>0</wp:posOffset>
                </wp:positionH>
                <wp:positionV relativeFrom="paragraph">
                  <wp:posOffset>0</wp:posOffset>
                </wp:positionV>
                <wp:extent cx="635" cy="635"/>
                <wp:effectExtent l="9525" t="9525" r="8890" b="8890"/>
                <wp:wrapNone/>
                <wp:docPr id="2" name="Freeform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3B664D" id="Freeform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FFmA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DEA8FF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color w:val="auto"/>
          <w:sz w:val="24"/>
          <w:lang w:eastAsia="en-GB"/>
        </w:rPr>
        <w:t>3GPP TSG-RAN WG2 meeting #106</w:t>
      </w:r>
      <w:r>
        <w:rPr>
          <w:rFonts w:hint="eastAsia"/>
          <w:color w:val="auto"/>
          <w:sz w:val="24"/>
          <w:lang w:eastAsia="zh-CN"/>
        </w:rPr>
        <w:tab/>
      </w:r>
      <w:r>
        <w:rPr>
          <w:color w:val="auto"/>
          <w:sz w:val="24"/>
          <w:lang w:eastAsia="zh-CN"/>
        </w:rPr>
        <w:tab/>
      </w:r>
      <w:r w:rsidRPr="00BF708D">
        <w:rPr>
          <w:i/>
          <w:color w:val="auto"/>
          <w:sz w:val="24"/>
        </w:rPr>
        <w:t>R2-</w:t>
      </w:r>
      <w:r>
        <w:rPr>
          <w:i/>
          <w:color w:val="auto"/>
          <w:sz w:val="24"/>
        </w:rPr>
        <w:t>1</w:t>
      </w:r>
      <w:r>
        <w:rPr>
          <w:i/>
          <w:color w:val="auto"/>
          <w:sz w:val="24"/>
          <w:lang w:eastAsia="zh-CN"/>
        </w:rPr>
        <w:t>90</w:t>
      </w:r>
      <w:r w:rsidR="00B17D85">
        <w:rPr>
          <w:i/>
          <w:color w:val="auto"/>
          <w:sz w:val="24"/>
          <w:lang w:eastAsia="zh-CN"/>
        </w:rPr>
        <w:t>6421</w:t>
      </w:r>
    </w:p>
    <w:p w14:paraId="52B8FFBE" w14:textId="655AA72F" w:rsidR="009C08BC" w:rsidRPr="00C036E6" w:rsidRDefault="009C08BC" w:rsidP="009C08BC">
      <w:pPr>
        <w:pStyle w:val="Header"/>
        <w:tabs>
          <w:tab w:val="left" w:pos="6521"/>
        </w:tabs>
        <w:jc w:val="both"/>
        <w:rPr>
          <w:color w:val="auto"/>
          <w:sz w:val="24"/>
          <w:lang w:eastAsia="zh-CN"/>
        </w:rPr>
      </w:pPr>
      <w:r>
        <w:rPr>
          <w:color w:val="auto"/>
          <w:sz w:val="24"/>
          <w:lang w:eastAsia="zh-CN"/>
        </w:rPr>
        <w:t>Reno</w:t>
      </w:r>
      <w:r>
        <w:rPr>
          <w:color w:val="auto"/>
          <w:sz w:val="24"/>
        </w:rPr>
        <w:t>, Nevada, US</w:t>
      </w:r>
      <w:r w:rsidRPr="00943E97">
        <w:rPr>
          <w:color w:val="auto"/>
          <w:sz w:val="24"/>
        </w:rPr>
        <w:t>,</w:t>
      </w:r>
      <w:r>
        <w:rPr>
          <w:color w:val="auto"/>
          <w:sz w:val="24"/>
        </w:rPr>
        <w:t xml:space="preserve"> 13 – 17 May</w:t>
      </w:r>
      <w:r>
        <w:rPr>
          <w:rFonts w:hint="eastAsia"/>
          <w:color w:val="auto"/>
          <w:sz w:val="24"/>
        </w:rPr>
        <w:t>, 201</w:t>
      </w:r>
      <w:r>
        <w:rPr>
          <w:rFonts w:hint="eastAsia"/>
          <w:color w:val="auto"/>
          <w:sz w:val="24"/>
          <w:lang w:eastAsia="zh-CN"/>
        </w:rPr>
        <w:t>9</w:t>
      </w:r>
      <w:r>
        <w:rPr>
          <w:color w:val="auto"/>
          <w:sz w:val="24"/>
          <w:lang w:eastAsia="zh-CN"/>
        </w:rPr>
        <w:tab/>
      </w:r>
      <w:r w:rsidRPr="009C08BC">
        <w:rPr>
          <w:i/>
          <w:color w:val="auto"/>
          <w:szCs w:val="18"/>
          <w:lang w:eastAsia="zh-CN"/>
        </w:rPr>
        <w:t>(revision of R2-1904499)</w:t>
      </w:r>
      <w:r>
        <w:rPr>
          <w:color w:val="auto"/>
          <w:sz w:val="24"/>
          <w:lang w:eastAsia="zh-CN"/>
        </w:rPr>
        <w:tab/>
      </w:r>
    </w:p>
    <w:p w14:paraId="296A4102" w14:textId="77777777" w:rsidR="009C08BC" w:rsidRDefault="009C08BC" w:rsidP="007E1DEE">
      <w:pPr>
        <w:pStyle w:val="Header"/>
        <w:tabs>
          <w:tab w:val="left" w:pos="6521"/>
        </w:tabs>
        <w:jc w:val="both"/>
        <w:rPr>
          <w:color w:val="auto"/>
          <w:sz w:val="24"/>
          <w:lang w:eastAsia="en-GB"/>
        </w:rPr>
      </w:pPr>
    </w:p>
    <w:p w14:paraId="2AE6D985" w14:textId="0693851F"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8A7787">
        <w:rPr>
          <w:rFonts w:ascii="Arial" w:hAnsi="Arial"/>
          <w:b/>
          <w:sz w:val="24"/>
          <w:lang w:val="en-US" w:eastAsia="zh-CN"/>
        </w:rPr>
        <w:t>11.</w:t>
      </w:r>
      <w:r w:rsidR="00B5255D">
        <w:rPr>
          <w:rFonts w:ascii="Arial" w:hAnsi="Arial"/>
          <w:b/>
          <w:sz w:val="24"/>
          <w:lang w:val="en-US" w:eastAsia="zh-CN"/>
        </w:rPr>
        <w:t>10.</w:t>
      </w:r>
      <w:r w:rsidR="008F5DA5">
        <w:rPr>
          <w:rFonts w:ascii="Arial" w:hAnsi="Arial"/>
          <w:b/>
          <w:sz w:val="24"/>
          <w:lang w:val="en-US" w:eastAsia="zh-CN"/>
        </w:rPr>
        <w:t>4.</w:t>
      </w:r>
      <w:r w:rsidR="00180498">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6D41D255"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B17D85" w:rsidRPr="00B17D85">
        <w:rPr>
          <w:rFonts w:ascii="Arial" w:hAnsi="Arial"/>
          <w:b/>
          <w:sz w:val="24"/>
          <w:lang w:val="en-US"/>
        </w:rPr>
        <w:t>Applicability of dormant SCell for NR</w:t>
      </w:r>
      <w:r w:rsidR="00B17D85">
        <w:rPr>
          <w:rFonts w:ascii="Arial" w:hAnsi="Arial" w:cs="Arial"/>
          <w:sz w:val="16"/>
          <w:szCs w:val="16"/>
          <w:lang w:eastAsia="ko-KR"/>
        </w:rPr>
        <w:t xml:space="preserve"> </w:t>
      </w:r>
      <w:bookmarkStart w:id="1" w:name="_GoBack"/>
      <w:bookmarkEnd w:id="1"/>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89F0B23" w14:textId="1CE92EC5" w:rsidR="001235DA" w:rsidRDefault="008F5DA5" w:rsidP="001235DA">
      <w:r>
        <w:t>In RAN2-105 the issue of whether NR CA needs Dormant SCell state was briefly discussed but was deferred to RAN2-105bis. In this paper, we provide the reasons why the euCA type dormant SCell operation is not useful for NR.</w:t>
      </w:r>
    </w:p>
    <w:p w14:paraId="2AE6D98D" w14:textId="77777777" w:rsidR="003E1A61" w:rsidRDefault="003E1A61" w:rsidP="00F13226">
      <w:pPr>
        <w:pStyle w:val="Heading1"/>
      </w:pPr>
      <w:r>
        <w:t>Discussion</w:t>
      </w:r>
    </w:p>
    <w:p w14:paraId="24E961D6" w14:textId="77777777" w:rsidR="005454E4" w:rsidRPr="005454E4" w:rsidRDefault="005454E4" w:rsidP="005454E4"/>
    <w:p w14:paraId="360C27FA" w14:textId="3022003C" w:rsidR="005454E4" w:rsidRDefault="00ED3A23" w:rsidP="005454E4">
      <w:pPr>
        <w:pStyle w:val="Heading2"/>
      </w:pPr>
      <w:r>
        <w:t>Motivation for Dormant SCell state in LTE euCA</w:t>
      </w:r>
    </w:p>
    <w:p w14:paraId="48F459F8" w14:textId="33B52DDB" w:rsidR="00A83661" w:rsidRDefault="00A83661" w:rsidP="005454E4">
      <w:r>
        <w:t>To reduce the activation time in LTE CA,</w:t>
      </w:r>
      <w:r w:rsidR="00B84C64">
        <w:t xml:space="preserve"> D</w:t>
      </w:r>
      <w:r>
        <w:t>o</w:t>
      </w:r>
      <w:r w:rsidR="00B84C64">
        <w:t>rmant SC</w:t>
      </w:r>
      <w:r>
        <w:t>ell state was introduced to eliminate the segment highlighted in red in the below figure.</w:t>
      </w:r>
    </w:p>
    <w:p w14:paraId="71080427" w14:textId="7986B43C" w:rsidR="00FC77DF" w:rsidRDefault="00FC77DF" w:rsidP="005454E4">
      <w:r>
        <w:object w:dxaOrig="11386" w:dyaOrig="2806" w14:anchorId="06CB4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11pt" o:ole="">
            <v:imagedata r:id="rId11" o:title=""/>
          </v:shape>
          <o:OLEObject Type="Embed" ProgID="Visio.Drawing.15" ShapeID="_x0000_i1025" DrawAspect="Content" ObjectID="_1618320138" r:id="rId12"/>
        </w:object>
      </w:r>
    </w:p>
    <w:p w14:paraId="3FBD4F31" w14:textId="4A094187" w:rsidR="00FC77DF" w:rsidRPr="00FC77DF" w:rsidRDefault="00FC77DF" w:rsidP="00FC77DF">
      <w:pPr>
        <w:jc w:val="center"/>
        <w:rPr>
          <w:b/>
        </w:rPr>
      </w:pPr>
      <w:r>
        <w:rPr>
          <w:b/>
        </w:rPr>
        <w:t>Figure 1: LTE SCell activation timeline</w:t>
      </w:r>
    </w:p>
    <w:p w14:paraId="3A601630" w14:textId="61306DD4" w:rsidR="00A83661" w:rsidRDefault="00A83661" w:rsidP="005454E4">
      <w:r>
        <w:t xml:space="preserve">As specified in RAN4, the UE needs 8 LTE sub-frames </w:t>
      </w:r>
      <w:r w:rsidR="00ED3A23">
        <w:t xml:space="preserve">to bring-up the RF chain </w:t>
      </w:r>
      <w:r>
        <w:t xml:space="preserve">and align with the LTE SCell timing using the LTE CRS, and to be ready to receive PDCCH on the </w:t>
      </w:r>
      <w:r w:rsidR="00ED3A23">
        <w:t>activated SCell</w:t>
      </w:r>
      <w:r>
        <w:t>. The UE would further need 16 to 2</w:t>
      </w:r>
      <w:r w:rsidR="0012564D">
        <w:t>6</w:t>
      </w:r>
      <w:r>
        <w:t xml:space="preserve"> sub-frames</w:t>
      </w:r>
      <w:r w:rsidR="00ED3A23">
        <w:t xml:space="preserve"> to report a valid CQI for this SCell.</w:t>
      </w:r>
    </w:p>
    <w:p w14:paraId="7D8F12F8" w14:textId="2133FB15" w:rsidR="00A82216" w:rsidRDefault="00A82216" w:rsidP="00A82216">
      <w:pPr>
        <w:pStyle w:val="Heading2"/>
      </w:pPr>
      <w:r>
        <w:t>Dormant SCell state applicability in NR</w:t>
      </w:r>
    </w:p>
    <w:p w14:paraId="27F684EF" w14:textId="0589B798" w:rsidR="00393965" w:rsidRDefault="00393965" w:rsidP="005454E4">
      <w:r>
        <w:t xml:space="preserve">In NR, the dynamics are completely different. NR is designed to have faster CSI feedback, but also the flexibility that the reference signals (SMTC or CSI) are not transmitted all the time. So more time is spent on waiting for these reference signals. Figure 2 provides a very high level timeline, without taking into consideration the RAN1 specified K0, K1 values. </w:t>
      </w:r>
    </w:p>
    <w:p w14:paraId="3CE37611" w14:textId="77777777" w:rsidR="00783217" w:rsidRDefault="00783217" w:rsidP="00783217">
      <w:r>
        <w:object w:dxaOrig="11655" w:dyaOrig="5266" w14:anchorId="2AD4B2FE">
          <v:shape id="_x0000_i1026" type="#_x0000_t75" style="width:450.75pt;height:204pt" o:ole="">
            <v:imagedata r:id="rId13" o:title=""/>
          </v:shape>
          <o:OLEObject Type="Embed" ProgID="Visio.Drawing.15" ShapeID="_x0000_i1026" DrawAspect="Content" ObjectID="_1618320139" r:id="rId14"/>
        </w:object>
      </w:r>
    </w:p>
    <w:p w14:paraId="7D354210" w14:textId="77777777" w:rsidR="00783217" w:rsidRPr="00FC77DF" w:rsidRDefault="00783217" w:rsidP="00783217">
      <w:pPr>
        <w:jc w:val="center"/>
        <w:rPr>
          <w:b/>
        </w:rPr>
      </w:pPr>
      <w:r>
        <w:rPr>
          <w:b/>
        </w:rPr>
        <w:t>Figure 2: NR SCell activation timeline</w:t>
      </w:r>
    </w:p>
    <w:p w14:paraId="2C7A929A" w14:textId="6DAC95B8" w:rsidR="00A83661" w:rsidRPr="00FC77DF" w:rsidRDefault="00A83661" w:rsidP="005454E4">
      <w:pPr>
        <w:rPr>
          <w:b/>
        </w:rPr>
      </w:pPr>
      <w:r w:rsidRPr="00FC77DF">
        <w:rPr>
          <w:b/>
        </w:rPr>
        <w:t>Observation</w:t>
      </w:r>
      <w:r w:rsidR="00CB0C7B">
        <w:rPr>
          <w:b/>
        </w:rPr>
        <w:t xml:space="preserve"> 1</w:t>
      </w:r>
      <w:r w:rsidRPr="00FC77DF">
        <w:rPr>
          <w:b/>
        </w:rPr>
        <w:t>: In LTE, the CSI acquisition and reporting time too</w:t>
      </w:r>
      <w:r w:rsidR="004E513D" w:rsidRPr="00FC77DF">
        <w:rPr>
          <w:b/>
        </w:rPr>
        <w:t>k</w:t>
      </w:r>
      <w:r w:rsidRPr="00FC77DF">
        <w:rPr>
          <w:b/>
        </w:rPr>
        <w:t xml:space="preserve"> more than two-third of the SCell activation time, and the time required for the UE to be aligned with the SCell timing and be ready to receive PDCCH was fixed at 8ms.</w:t>
      </w:r>
    </w:p>
    <w:p w14:paraId="236FC38F" w14:textId="2D0F457D" w:rsidR="00ED3A23" w:rsidRPr="00FC77DF" w:rsidRDefault="00A83661" w:rsidP="005454E4">
      <w:pPr>
        <w:rPr>
          <w:b/>
        </w:rPr>
      </w:pPr>
      <w:r w:rsidRPr="00FC77DF">
        <w:rPr>
          <w:b/>
        </w:rPr>
        <w:t>Observation</w:t>
      </w:r>
      <w:r w:rsidR="00CB0C7B">
        <w:rPr>
          <w:b/>
        </w:rPr>
        <w:t xml:space="preserve"> 2</w:t>
      </w:r>
      <w:r w:rsidRPr="00FC77DF">
        <w:rPr>
          <w:b/>
        </w:rPr>
        <w:t xml:space="preserve">: With dormant SCell state in LTE euCA, the CSI </w:t>
      </w:r>
      <w:r w:rsidR="004E513D" w:rsidRPr="00FC77DF">
        <w:rPr>
          <w:b/>
        </w:rPr>
        <w:t xml:space="preserve">(CQI) </w:t>
      </w:r>
      <w:r w:rsidRPr="00FC77DF">
        <w:rPr>
          <w:b/>
        </w:rPr>
        <w:t xml:space="preserve">acquisition and reporting time is </w:t>
      </w:r>
      <w:r w:rsidR="004E513D" w:rsidRPr="00FC77DF">
        <w:rPr>
          <w:b/>
        </w:rPr>
        <w:t>not needed</w:t>
      </w:r>
      <w:r w:rsidRPr="00FC77DF">
        <w:rPr>
          <w:b/>
        </w:rPr>
        <w:t>, as the NW already has the CQI info from the UE for the SCell. Dormant SCell state reduces at</w:t>
      </w:r>
      <w:r w:rsidR="00D835BB">
        <w:rPr>
          <w:b/>
        </w:rPr>
        <w:t xml:space="preserve"> </w:t>
      </w:r>
      <w:r w:rsidRPr="00FC77DF">
        <w:rPr>
          <w:b/>
        </w:rPr>
        <w:t xml:space="preserve">least </w:t>
      </w:r>
      <w:r w:rsidRPr="00393965">
        <w:rPr>
          <w:b/>
          <w:highlight w:val="yellow"/>
        </w:rPr>
        <w:t>66%</w:t>
      </w:r>
      <w:r w:rsidR="00393965" w:rsidRPr="00393965">
        <w:rPr>
          <w:b/>
          <w:highlight w:val="yellow"/>
        </w:rPr>
        <w:t xml:space="preserve"> (75% or more </w:t>
      </w:r>
      <w:r w:rsidR="00393965">
        <w:rPr>
          <w:b/>
          <w:highlight w:val="yellow"/>
        </w:rPr>
        <w:t>in many cases</w:t>
      </w:r>
      <w:r w:rsidR="00393965" w:rsidRPr="00393965">
        <w:rPr>
          <w:b/>
          <w:highlight w:val="yellow"/>
        </w:rPr>
        <w:t>)</w:t>
      </w:r>
      <w:r w:rsidRPr="00FC77DF">
        <w:rPr>
          <w:b/>
        </w:rPr>
        <w:t xml:space="preserve"> of the activation time</w:t>
      </w:r>
      <w:r w:rsidR="004E513D" w:rsidRPr="00FC77DF">
        <w:rPr>
          <w:b/>
        </w:rPr>
        <w:t xml:space="preserve"> by removing the need for CSI (CQI) reporting</w:t>
      </w:r>
      <w:r w:rsidRPr="00FC77DF">
        <w:rPr>
          <w:b/>
        </w:rPr>
        <w:t>.</w:t>
      </w:r>
    </w:p>
    <w:p w14:paraId="7EDC67B9" w14:textId="3DE999E3" w:rsidR="00A83661" w:rsidRPr="00FC77DF" w:rsidRDefault="00A83661" w:rsidP="005454E4">
      <w:pPr>
        <w:rPr>
          <w:b/>
        </w:rPr>
      </w:pPr>
      <w:r w:rsidRPr="00FC77DF">
        <w:rPr>
          <w:b/>
        </w:rPr>
        <w:t>Observation</w:t>
      </w:r>
      <w:r w:rsidR="00CB0C7B">
        <w:rPr>
          <w:b/>
        </w:rPr>
        <w:t xml:space="preserve"> 3</w:t>
      </w:r>
      <w:r w:rsidRPr="00FC77DF">
        <w:rPr>
          <w:b/>
        </w:rPr>
        <w:t>: In NR, the time UE needs to bring up the RF and be aligned to the SCell timing, is variable and is dependent on the SMTC location in time with respect to when the SCell is activated.</w:t>
      </w:r>
      <w:r w:rsidR="001542F9">
        <w:rPr>
          <w:b/>
        </w:rPr>
        <w:t xml:space="preserve"> Beam alignment is also done in this time.</w:t>
      </w:r>
    </w:p>
    <w:p w14:paraId="134EB17E" w14:textId="2863152B" w:rsidR="00A83661" w:rsidRPr="00FC77DF" w:rsidRDefault="00A83661" w:rsidP="005454E4">
      <w:pPr>
        <w:rPr>
          <w:b/>
        </w:rPr>
      </w:pPr>
      <w:r w:rsidRPr="00FC77DF">
        <w:rPr>
          <w:b/>
        </w:rPr>
        <w:t>Observation</w:t>
      </w:r>
      <w:r w:rsidR="00CB0C7B">
        <w:rPr>
          <w:b/>
        </w:rPr>
        <w:t xml:space="preserve"> 4</w:t>
      </w:r>
      <w:r w:rsidRPr="00FC77DF">
        <w:rPr>
          <w:b/>
        </w:rPr>
        <w:t>: In NR, the fast CSI feedback feature is agreed in rel-15 which requires the UE to perform the CSI acquisition/reporting within 3 ms (depending on the subcarrier spacing used).</w:t>
      </w:r>
    </w:p>
    <w:p w14:paraId="1A21A02C" w14:textId="7C2FC964" w:rsidR="004E513D" w:rsidRDefault="004E513D" w:rsidP="005454E4">
      <w:pPr>
        <w:rPr>
          <w:b/>
        </w:rPr>
      </w:pPr>
      <w:r w:rsidRPr="00FC77DF">
        <w:rPr>
          <w:b/>
        </w:rPr>
        <w:t>Observation</w:t>
      </w:r>
      <w:r w:rsidR="00CB0C7B">
        <w:rPr>
          <w:b/>
        </w:rPr>
        <w:t xml:space="preserve"> 5</w:t>
      </w:r>
      <w:r w:rsidRPr="00FC77DF">
        <w:rPr>
          <w:b/>
        </w:rPr>
        <w:t xml:space="preserve">: Dormant SCell in NR address the reduction/elimination of CSI reporting, which is only 3 ms, compared to the SCell timing alignment time which can be as high as </w:t>
      </w:r>
      <w:r w:rsidR="00B53C42">
        <w:rPr>
          <w:b/>
        </w:rPr>
        <w:t>160</w:t>
      </w:r>
      <w:r w:rsidRPr="00FC77DF">
        <w:rPr>
          <w:b/>
        </w:rPr>
        <w:t xml:space="preserve">ms. The savings with Dormant SCell in NR is meagre </w:t>
      </w:r>
      <w:r w:rsidR="0012564D" w:rsidRPr="00393965">
        <w:rPr>
          <w:b/>
          <w:highlight w:val="yellow"/>
        </w:rPr>
        <w:t>(~5%</w:t>
      </w:r>
      <w:r w:rsidR="00393965" w:rsidRPr="00393965">
        <w:rPr>
          <w:b/>
          <w:highlight w:val="yellow"/>
        </w:rPr>
        <w:t>, 20% at best</w:t>
      </w:r>
      <w:r w:rsidR="0012564D" w:rsidRPr="00393965">
        <w:rPr>
          <w:b/>
          <w:highlight w:val="yellow"/>
        </w:rPr>
        <w:t>)</w:t>
      </w:r>
      <w:r w:rsidR="0012564D">
        <w:rPr>
          <w:b/>
        </w:rPr>
        <w:t xml:space="preserve"> </w:t>
      </w:r>
      <w:r w:rsidRPr="00FC77DF">
        <w:rPr>
          <w:b/>
        </w:rPr>
        <w:t xml:space="preserve">compared to the power consumption hit at the UE, and compared to the used-up CSI (or SMTC) resources from the gNB for each of the deactivated SCells in each(or all) of the UEs. </w:t>
      </w:r>
    </w:p>
    <w:p w14:paraId="3EDAEBC4" w14:textId="58491DDB" w:rsidR="0028006D" w:rsidRDefault="0028006D" w:rsidP="0028006D">
      <w:pPr>
        <w:rPr>
          <w:b/>
        </w:rPr>
      </w:pPr>
      <w:r>
        <w:rPr>
          <w:b/>
        </w:rPr>
        <w:t>Rel-15: 8ms (activation)+ Xms( SMTC alignment) + 3ms (CSI acquisition/reporting)</w:t>
      </w:r>
    </w:p>
    <w:p w14:paraId="7033F46C" w14:textId="5D18F535" w:rsidR="0028006D" w:rsidRDefault="0028006D" w:rsidP="0028006D">
      <w:pPr>
        <w:rPr>
          <w:b/>
        </w:rPr>
      </w:pPr>
      <w:r>
        <w:rPr>
          <w:b/>
        </w:rPr>
        <w:t xml:space="preserve">Dormant cell: 8ms (activation)+ Xms( SMTC alignment) </w:t>
      </w:r>
    </w:p>
    <w:p w14:paraId="7D90FCCA" w14:textId="312ADD53" w:rsidR="0028006D" w:rsidRDefault="0028006D" w:rsidP="005454E4">
      <w:pPr>
        <w:rPr>
          <w:b/>
        </w:rPr>
      </w:pPr>
    </w:p>
    <w:p w14:paraId="32D65C70" w14:textId="387A2B3E" w:rsidR="003C21FB" w:rsidRPr="00B646AC" w:rsidRDefault="003C21FB" w:rsidP="00DF4872">
      <w:pPr>
        <w:pStyle w:val="Caption"/>
        <w:keepNext/>
        <w:jc w:val="center"/>
      </w:pPr>
      <w:r w:rsidRPr="00DF4872">
        <w:rPr>
          <w:i w:val="0"/>
        </w:rPr>
        <w:t xml:space="preserve">Table </w:t>
      </w:r>
      <w:r w:rsidRPr="00DF4872">
        <w:rPr>
          <w:i w:val="0"/>
        </w:rPr>
        <w:fldChar w:fldCharType="begin"/>
      </w:r>
      <w:r w:rsidRPr="00DF4872">
        <w:rPr>
          <w:i w:val="0"/>
        </w:rPr>
        <w:instrText xml:space="preserve"> SEQ Table \* ARABIC </w:instrText>
      </w:r>
      <w:r w:rsidRPr="00DF4872">
        <w:rPr>
          <w:i w:val="0"/>
        </w:rPr>
        <w:fldChar w:fldCharType="separate"/>
      </w:r>
      <w:r w:rsidRPr="00DF4872">
        <w:rPr>
          <w:i w:val="0"/>
          <w:noProof/>
        </w:rPr>
        <w:t>1</w:t>
      </w:r>
      <w:r w:rsidRPr="00DF4872">
        <w:rPr>
          <w:i w:val="0"/>
        </w:rPr>
        <w:fldChar w:fldCharType="end"/>
      </w:r>
      <w:r>
        <w:rPr>
          <w:i w:val="0"/>
        </w:rPr>
        <w:t xml:space="preserve">: </w:t>
      </w:r>
      <w:r w:rsidR="0046308B">
        <w:rPr>
          <w:i w:val="0"/>
        </w:rPr>
        <w:t>potential delay reduction</w:t>
      </w:r>
    </w:p>
    <w:tbl>
      <w:tblPr>
        <w:tblStyle w:val="TableGrid"/>
        <w:tblW w:w="0" w:type="auto"/>
        <w:tblLook w:val="04A0" w:firstRow="1" w:lastRow="0" w:firstColumn="1" w:lastColumn="0" w:noHBand="0" w:noVBand="1"/>
      </w:tblPr>
      <w:tblGrid>
        <w:gridCol w:w="1435"/>
        <w:gridCol w:w="3073"/>
        <w:gridCol w:w="2254"/>
        <w:gridCol w:w="2254"/>
      </w:tblGrid>
      <w:tr w:rsidR="0028006D" w14:paraId="63FE1623" w14:textId="77777777" w:rsidTr="00DF4872">
        <w:tc>
          <w:tcPr>
            <w:tcW w:w="1435" w:type="dxa"/>
          </w:tcPr>
          <w:p w14:paraId="7D1EE350" w14:textId="6DC3F0D2" w:rsidR="0028006D" w:rsidRPr="00DF4872" w:rsidRDefault="0028006D" w:rsidP="005454E4">
            <w:pPr>
              <w:rPr>
                <w:sz w:val="18"/>
              </w:rPr>
            </w:pPr>
            <w:r>
              <w:rPr>
                <w:sz w:val="18"/>
              </w:rPr>
              <w:t>SMTC periodicity (X)</w:t>
            </w:r>
          </w:p>
        </w:tc>
        <w:tc>
          <w:tcPr>
            <w:tcW w:w="3073" w:type="dxa"/>
          </w:tcPr>
          <w:p w14:paraId="19B85330" w14:textId="77777777" w:rsidR="0028006D" w:rsidRDefault="0028006D" w:rsidP="00DF4872">
            <w:pPr>
              <w:ind w:firstLine="720"/>
              <w:rPr>
                <w:sz w:val="18"/>
              </w:rPr>
            </w:pPr>
            <w:r>
              <w:rPr>
                <w:sz w:val="18"/>
              </w:rPr>
              <w:t>Rel-15</w:t>
            </w:r>
          </w:p>
          <w:p w14:paraId="25036CA0" w14:textId="0CD9328B" w:rsidR="0028006D" w:rsidRPr="00DF4872" w:rsidRDefault="0028006D" w:rsidP="00DF4872">
            <w:pPr>
              <w:ind w:firstLine="720"/>
              <w:rPr>
                <w:sz w:val="18"/>
              </w:rPr>
            </w:pPr>
          </w:p>
        </w:tc>
        <w:tc>
          <w:tcPr>
            <w:tcW w:w="2254" w:type="dxa"/>
          </w:tcPr>
          <w:p w14:paraId="0F6AF3A5" w14:textId="3FFD9264" w:rsidR="0028006D" w:rsidRPr="00DF4872" w:rsidRDefault="0028006D" w:rsidP="0028006D">
            <w:pPr>
              <w:rPr>
                <w:sz w:val="18"/>
              </w:rPr>
            </w:pPr>
            <w:r>
              <w:rPr>
                <w:sz w:val="18"/>
              </w:rPr>
              <w:t>Dormant cell</w:t>
            </w:r>
          </w:p>
        </w:tc>
        <w:tc>
          <w:tcPr>
            <w:tcW w:w="2254" w:type="dxa"/>
          </w:tcPr>
          <w:p w14:paraId="1511B94A" w14:textId="443F5543" w:rsidR="0028006D" w:rsidRPr="00DF4872" w:rsidRDefault="0028006D" w:rsidP="005454E4">
            <w:pPr>
              <w:rPr>
                <w:sz w:val="18"/>
              </w:rPr>
            </w:pPr>
            <w:r w:rsidRPr="00DF4872">
              <w:rPr>
                <w:sz w:val="18"/>
              </w:rPr>
              <w:t>Delay redution</w:t>
            </w:r>
          </w:p>
        </w:tc>
      </w:tr>
      <w:tr w:rsidR="0028006D" w14:paraId="5D0060CF" w14:textId="77777777" w:rsidTr="00DF4872">
        <w:tc>
          <w:tcPr>
            <w:tcW w:w="1435" w:type="dxa"/>
          </w:tcPr>
          <w:p w14:paraId="25A416C8" w14:textId="2A4CE3DB" w:rsidR="0028006D" w:rsidRPr="00DF4872" w:rsidRDefault="0028006D" w:rsidP="005454E4">
            <w:pPr>
              <w:rPr>
                <w:sz w:val="18"/>
              </w:rPr>
            </w:pPr>
            <w:r>
              <w:rPr>
                <w:sz w:val="18"/>
              </w:rPr>
              <w:t>5</w:t>
            </w:r>
          </w:p>
        </w:tc>
        <w:tc>
          <w:tcPr>
            <w:tcW w:w="3073" w:type="dxa"/>
          </w:tcPr>
          <w:p w14:paraId="230AB6DF" w14:textId="02C5DD3E" w:rsidR="0028006D" w:rsidRPr="00DF4872" w:rsidRDefault="0028006D" w:rsidP="0028006D">
            <w:pPr>
              <w:rPr>
                <w:sz w:val="18"/>
              </w:rPr>
            </w:pPr>
            <w:r>
              <w:rPr>
                <w:sz w:val="18"/>
              </w:rPr>
              <w:t>16ms</w:t>
            </w:r>
          </w:p>
        </w:tc>
        <w:tc>
          <w:tcPr>
            <w:tcW w:w="2254" w:type="dxa"/>
          </w:tcPr>
          <w:p w14:paraId="6D165609" w14:textId="616F2B22" w:rsidR="0028006D" w:rsidRPr="00DF4872" w:rsidRDefault="0028006D" w:rsidP="005454E4">
            <w:pPr>
              <w:rPr>
                <w:sz w:val="18"/>
              </w:rPr>
            </w:pPr>
            <w:r>
              <w:rPr>
                <w:sz w:val="18"/>
              </w:rPr>
              <w:t>13ms</w:t>
            </w:r>
          </w:p>
        </w:tc>
        <w:tc>
          <w:tcPr>
            <w:tcW w:w="2254" w:type="dxa"/>
          </w:tcPr>
          <w:p w14:paraId="0CEF8CFC" w14:textId="43AF2969" w:rsidR="0028006D" w:rsidRPr="00DF4872" w:rsidRDefault="0028006D" w:rsidP="005454E4">
            <w:pPr>
              <w:rPr>
                <w:sz w:val="18"/>
              </w:rPr>
            </w:pPr>
            <w:r>
              <w:rPr>
                <w:sz w:val="18"/>
              </w:rPr>
              <w:t>18 %</w:t>
            </w:r>
          </w:p>
        </w:tc>
      </w:tr>
      <w:tr w:rsidR="003C21FB" w14:paraId="37066E9E" w14:textId="77777777" w:rsidTr="0028006D">
        <w:tc>
          <w:tcPr>
            <w:tcW w:w="1435" w:type="dxa"/>
          </w:tcPr>
          <w:p w14:paraId="278F5585" w14:textId="54B8F8C3" w:rsidR="003C21FB" w:rsidRDefault="003C21FB" w:rsidP="005454E4">
            <w:pPr>
              <w:rPr>
                <w:sz w:val="18"/>
              </w:rPr>
            </w:pPr>
            <w:r>
              <w:rPr>
                <w:sz w:val="18"/>
              </w:rPr>
              <w:t>20</w:t>
            </w:r>
          </w:p>
        </w:tc>
        <w:tc>
          <w:tcPr>
            <w:tcW w:w="3073" w:type="dxa"/>
          </w:tcPr>
          <w:p w14:paraId="40D09F44" w14:textId="6ECF8DAA" w:rsidR="003C21FB" w:rsidRDefault="0046308B" w:rsidP="005454E4">
            <w:pPr>
              <w:rPr>
                <w:sz w:val="18"/>
              </w:rPr>
            </w:pPr>
            <w:r>
              <w:rPr>
                <w:sz w:val="18"/>
              </w:rPr>
              <w:t>31ms</w:t>
            </w:r>
          </w:p>
        </w:tc>
        <w:tc>
          <w:tcPr>
            <w:tcW w:w="2254" w:type="dxa"/>
          </w:tcPr>
          <w:p w14:paraId="1E7AC647" w14:textId="1AC953FB" w:rsidR="003C21FB" w:rsidRDefault="0046308B" w:rsidP="005454E4">
            <w:pPr>
              <w:rPr>
                <w:sz w:val="18"/>
              </w:rPr>
            </w:pPr>
            <w:r>
              <w:rPr>
                <w:sz w:val="18"/>
              </w:rPr>
              <w:t>28ms</w:t>
            </w:r>
          </w:p>
        </w:tc>
        <w:tc>
          <w:tcPr>
            <w:tcW w:w="2254" w:type="dxa"/>
          </w:tcPr>
          <w:p w14:paraId="67154BB6" w14:textId="57006944" w:rsidR="003C21FB" w:rsidRDefault="003C21FB" w:rsidP="005454E4">
            <w:pPr>
              <w:rPr>
                <w:sz w:val="18"/>
              </w:rPr>
            </w:pPr>
            <w:r>
              <w:rPr>
                <w:sz w:val="18"/>
              </w:rPr>
              <w:t>9.6%</w:t>
            </w:r>
          </w:p>
        </w:tc>
      </w:tr>
      <w:tr w:rsidR="003C21FB" w14:paraId="36FABDB4" w14:textId="77777777" w:rsidTr="0028006D">
        <w:tc>
          <w:tcPr>
            <w:tcW w:w="1435" w:type="dxa"/>
          </w:tcPr>
          <w:p w14:paraId="5C301CA0" w14:textId="10E8E2C2" w:rsidR="003C21FB" w:rsidRDefault="003C21FB" w:rsidP="005454E4">
            <w:pPr>
              <w:rPr>
                <w:sz w:val="18"/>
              </w:rPr>
            </w:pPr>
            <w:r>
              <w:rPr>
                <w:sz w:val="18"/>
              </w:rPr>
              <w:t>40</w:t>
            </w:r>
          </w:p>
        </w:tc>
        <w:tc>
          <w:tcPr>
            <w:tcW w:w="3073" w:type="dxa"/>
          </w:tcPr>
          <w:p w14:paraId="3CC716D2" w14:textId="708FD675" w:rsidR="003C21FB" w:rsidRDefault="0046308B" w:rsidP="000913BC">
            <w:pPr>
              <w:rPr>
                <w:sz w:val="18"/>
              </w:rPr>
            </w:pPr>
            <w:r>
              <w:rPr>
                <w:sz w:val="18"/>
              </w:rPr>
              <w:t>51</w:t>
            </w:r>
            <w:r w:rsidR="000913BC">
              <w:rPr>
                <w:sz w:val="18"/>
              </w:rPr>
              <w:t>ms</w:t>
            </w:r>
          </w:p>
        </w:tc>
        <w:tc>
          <w:tcPr>
            <w:tcW w:w="2254" w:type="dxa"/>
          </w:tcPr>
          <w:p w14:paraId="3CC347F6" w14:textId="0DB18888" w:rsidR="003C21FB" w:rsidRDefault="0046308B" w:rsidP="005454E4">
            <w:pPr>
              <w:rPr>
                <w:sz w:val="18"/>
              </w:rPr>
            </w:pPr>
            <w:r>
              <w:rPr>
                <w:sz w:val="18"/>
              </w:rPr>
              <w:t>48ms</w:t>
            </w:r>
          </w:p>
        </w:tc>
        <w:tc>
          <w:tcPr>
            <w:tcW w:w="2254" w:type="dxa"/>
          </w:tcPr>
          <w:p w14:paraId="2AAC81C2" w14:textId="7FC676AE" w:rsidR="003C21FB" w:rsidRDefault="003C21FB" w:rsidP="005454E4">
            <w:pPr>
              <w:rPr>
                <w:sz w:val="18"/>
              </w:rPr>
            </w:pPr>
            <w:r>
              <w:rPr>
                <w:sz w:val="18"/>
              </w:rPr>
              <w:t>5.8%</w:t>
            </w:r>
          </w:p>
        </w:tc>
      </w:tr>
      <w:tr w:rsidR="0028006D" w14:paraId="1F7BBA3D" w14:textId="77777777" w:rsidTr="00DF4872">
        <w:tc>
          <w:tcPr>
            <w:tcW w:w="1435" w:type="dxa"/>
          </w:tcPr>
          <w:p w14:paraId="728EC70E" w14:textId="745519AA" w:rsidR="0028006D" w:rsidRPr="00DF4872" w:rsidRDefault="0028006D" w:rsidP="005454E4">
            <w:pPr>
              <w:rPr>
                <w:sz w:val="18"/>
              </w:rPr>
            </w:pPr>
            <w:r>
              <w:rPr>
                <w:sz w:val="18"/>
              </w:rPr>
              <w:t>80</w:t>
            </w:r>
          </w:p>
        </w:tc>
        <w:tc>
          <w:tcPr>
            <w:tcW w:w="3073" w:type="dxa"/>
          </w:tcPr>
          <w:p w14:paraId="6A774677" w14:textId="404B0980" w:rsidR="0028006D" w:rsidRPr="00DF4872" w:rsidRDefault="0028006D" w:rsidP="005454E4">
            <w:pPr>
              <w:rPr>
                <w:sz w:val="18"/>
              </w:rPr>
            </w:pPr>
            <w:r>
              <w:rPr>
                <w:sz w:val="18"/>
              </w:rPr>
              <w:t>91ms</w:t>
            </w:r>
          </w:p>
        </w:tc>
        <w:tc>
          <w:tcPr>
            <w:tcW w:w="2254" w:type="dxa"/>
          </w:tcPr>
          <w:p w14:paraId="7CD73019" w14:textId="17785765" w:rsidR="0028006D" w:rsidRPr="00DF4872" w:rsidRDefault="0028006D" w:rsidP="005454E4">
            <w:pPr>
              <w:rPr>
                <w:sz w:val="18"/>
              </w:rPr>
            </w:pPr>
            <w:r>
              <w:rPr>
                <w:sz w:val="18"/>
              </w:rPr>
              <w:t>88ms</w:t>
            </w:r>
          </w:p>
        </w:tc>
        <w:tc>
          <w:tcPr>
            <w:tcW w:w="2254" w:type="dxa"/>
          </w:tcPr>
          <w:p w14:paraId="665D2C5C" w14:textId="44BF6F63" w:rsidR="0028006D" w:rsidRPr="00DF4872" w:rsidRDefault="0028006D" w:rsidP="005454E4">
            <w:pPr>
              <w:rPr>
                <w:sz w:val="18"/>
              </w:rPr>
            </w:pPr>
            <w:r>
              <w:rPr>
                <w:sz w:val="18"/>
              </w:rPr>
              <w:t>3.3%</w:t>
            </w:r>
          </w:p>
        </w:tc>
      </w:tr>
    </w:tbl>
    <w:p w14:paraId="68AB7C23" w14:textId="7F210BF1" w:rsidR="0028006D" w:rsidRDefault="0028006D" w:rsidP="005454E4">
      <w:pPr>
        <w:rPr>
          <w:b/>
        </w:rPr>
      </w:pPr>
    </w:p>
    <w:p w14:paraId="3C15C694" w14:textId="504DF910" w:rsidR="00144312" w:rsidRPr="00FC77DF" w:rsidRDefault="00144312" w:rsidP="005454E4">
      <w:pPr>
        <w:rPr>
          <w:b/>
        </w:rPr>
      </w:pPr>
      <w:r>
        <w:rPr>
          <w:b/>
        </w:rPr>
        <w:lastRenderedPageBreak/>
        <w:t>Proposal</w:t>
      </w:r>
      <w:r w:rsidR="00CB0C7B">
        <w:rPr>
          <w:b/>
        </w:rPr>
        <w:t xml:space="preserve"> 1</w:t>
      </w:r>
      <w:r>
        <w:rPr>
          <w:b/>
        </w:rPr>
        <w:t>: LTE euCA Dormant SCell operation is not considered for NR.</w:t>
      </w:r>
    </w:p>
    <w:p w14:paraId="04B13CBF" w14:textId="27ABD463" w:rsidR="00A82216" w:rsidRDefault="00A82216" w:rsidP="00A82216">
      <w:pPr>
        <w:pStyle w:val="Heading2"/>
      </w:pPr>
      <w:r>
        <w:t>Possible Enhancements for faster NR SCell activation</w:t>
      </w:r>
    </w:p>
    <w:p w14:paraId="26186811" w14:textId="10D4D2AC" w:rsidR="005756E5" w:rsidRDefault="005756E5" w:rsidP="005756E5">
      <w:pPr>
        <w:pStyle w:val="Heading3"/>
      </w:pPr>
      <w:r>
        <w:t>Provision of additional reference signals by the NW</w:t>
      </w:r>
    </w:p>
    <w:p w14:paraId="115D148B" w14:textId="55EEFB3F" w:rsidR="005756E5" w:rsidRDefault="005756E5" w:rsidP="005756E5">
      <w:r>
        <w:t>The big gains in reduction of NR SCell activation delay is in reducing the time UE takes to align with the SCell timing. To reduce this time, instead of spending power and resource</w:t>
      </w:r>
      <w:r w:rsidR="00095C12">
        <w:t>s</w:t>
      </w:r>
      <w:r>
        <w:t xml:space="preserve"> during the deactivated state of SCell, we can try to pursue the option of NW providing the needed reference signals as soon as the SCell is activated, after allowing for the necessary RF bring-up time at the UE. </w:t>
      </w:r>
    </w:p>
    <w:p w14:paraId="2D321FC2" w14:textId="3512BFB6" w:rsidR="005756E5" w:rsidRDefault="00095C12" w:rsidP="005454E4">
      <w:r>
        <w:t>Right after the activation time, after giving the necessary time for the UE RF to be ready, t</w:t>
      </w:r>
      <w:r w:rsidR="005756E5">
        <w:t xml:space="preserve">he NW can provide SMTC ref signal to the UE, and/or other reference signals that helps the UE sync to the SCell timing faster. </w:t>
      </w:r>
    </w:p>
    <w:p w14:paraId="219A16EB" w14:textId="6DB5A9BB" w:rsidR="005756E5" w:rsidRDefault="005756E5" w:rsidP="005454E4">
      <w:r>
        <w:t>Note that per release-15 specification, the UE is already required to measure the deactivated SCell periodically and that such measuring of the deactivated SCell does not result in the UE keeping track of the SCell timing</w:t>
      </w:r>
      <w:r w:rsidR="00095C12">
        <w:t xml:space="preserve"> always</w:t>
      </w:r>
      <w:r>
        <w:t>. This can be inferred from the TS38.133 where RAN4 has provided the timing requirements for the UE in case the UE does not have the timing information of the SCell, even with periodical measurement of this deactivated SCell.</w:t>
      </w:r>
    </w:p>
    <w:p w14:paraId="521D8562" w14:textId="77777777" w:rsidR="005756E5" w:rsidRDefault="005756E5" w:rsidP="005454E4">
      <w:r>
        <w:t>If RAN2 wants to pursue the option of NW providing the necessary reference signals to the UE to assist in faster timing alignments with the SCell, RAN2 would require RAN4 and RAN1 input on the type of the reference signal needed, as well as the timing requirements on when these reference signals can be provided to the UE after activation. An LS can be sent to RAN1/4 in this regard.</w:t>
      </w:r>
    </w:p>
    <w:p w14:paraId="082C3110" w14:textId="1149303C" w:rsidR="005756E5" w:rsidRDefault="00095C12" w:rsidP="005756E5">
      <w:pPr>
        <w:rPr>
          <w:b/>
        </w:rPr>
      </w:pPr>
      <w:r>
        <w:rPr>
          <w:b/>
        </w:rPr>
        <w:t>Observation</w:t>
      </w:r>
      <w:r w:rsidR="00CB0C7B">
        <w:rPr>
          <w:b/>
        </w:rPr>
        <w:t xml:space="preserve"> 6</w:t>
      </w:r>
      <w:r w:rsidR="005756E5" w:rsidRPr="005756E5">
        <w:rPr>
          <w:b/>
        </w:rPr>
        <w:t xml:space="preserve">: </w:t>
      </w:r>
      <w:r w:rsidR="00430AAD" w:rsidRPr="005756E5">
        <w:rPr>
          <w:b/>
        </w:rPr>
        <w:t xml:space="preserve"> </w:t>
      </w:r>
      <w:r w:rsidR="005756E5" w:rsidRPr="005756E5">
        <w:rPr>
          <w:b/>
        </w:rPr>
        <w:t>If RAN2 wants to pursue the option of NW providing the necessary reference signals to the UE to assist in faster timing alignments with the SCell, RAN2 would require RAN4 and RAN1 input on the reference signal needed, as well as the timing requirements on when these reference signals can be provided to the UE after activation. An LS can be sent to RAN1/4 in this regard.</w:t>
      </w:r>
    </w:p>
    <w:p w14:paraId="1CFC8CE5" w14:textId="656367F8" w:rsidR="00CB0C7B" w:rsidRDefault="00CB0C7B" w:rsidP="005756E5">
      <w:pPr>
        <w:rPr>
          <w:b/>
        </w:rPr>
      </w:pPr>
      <w:r>
        <w:rPr>
          <w:b/>
        </w:rPr>
        <w:t xml:space="preserve">Proposal 2: RAN2 to discuss if the option </w:t>
      </w:r>
      <w:r w:rsidRPr="005756E5">
        <w:rPr>
          <w:b/>
        </w:rPr>
        <w:t xml:space="preserve">of NW providing the reference signals to the UE to assist in faster timing alignments </w:t>
      </w:r>
      <w:r>
        <w:rPr>
          <w:b/>
        </w:rPr>
        <w:t>after</w:t>
      </w:r>
      <w:r w:rsidRPr="005756E5">
        <w:rPr>
          <w:b/>
        </w:rPr>
        <w:t xml:space="preserve"> the SCell</w:t>
      </w:r>
      <w:r>
        <w:rPr>
          <w:b/>
        </w:rPr>
        <w:t xml:space="preserve"> activation is to be pursued.</w:t>
      </w:r>
    </w:p>
    <w:p w14:paraId="332A7BB2" w14:textId="33EFB6F6" w:rsidR="005756E5" w:rsidRDefault="005756E5" w:rsidP="005756E5">
      <w:pPr>
        <w:pStyle w:val="Heading3"/>
      </w:pPr>
      <w:r>
        <w:t>Activation of SCells in Intra-band CA and SCells which do not have SSB</w:t>
      </w:r>
    </w:p>
    <w:p w14:paraId="62341FB5" w14:textId="6AA157E6" w:rsidR="00A82216" w:rsidRDefault="005756E5" w:rsidP="005454E4">
      <w:r>
        <w:t xml:space="preserve">There are still some scenarios where the UE already has the timing information of the </w:t>
      </w:r>
      <w:r w:rsidR="00095C12">
        <w:t>‘</w:t>
      </w:r>
      <w:r>
        <w:t>to be activated</w:t>
      </w:r>
      <w:r w:rsidR="00095C12">
        <w:t>’</w:t>
      </w:r>
      <w:r>
        <w:t xml:space="preserve"> SCell(s):</w:t>
      </w:r>
    </w:p>
    <w:p w14:paraId="5E4CD94A" w14:textId="3972004A" w:rsidR="005756E5" w:rsidRDefault="005756E5" w:rsidP="005756E5">
      <w:pPr>
        <w:pStyle w:val="ListParagraph"/>
        <w:numPr>
          <w:ilvl w:val="0"/>
          <w:numId w:val="44"/>
        </w:numPr>
      </w:pPr>
      <w:r>
        <w:t xml:space="preserve">If the </w:t>
      </w:r>
      <w:r w:rsidR="00095C12">
        <w:t>SSB is not configured for the SCell</w:t>
      </w:r>
      <w:r>
        <w:t xml:space="preserve">, </w:t>
      </w:r>
      <w:r w:rsidR="00095C12">
        <w:t>the</w:t>
      </w:r>
      <w:r>
        <w:t xml:space="preserve"> PCell in the same band can provide the timing information, in which case the activation delay can be significantly reduced</w:t>
      </w:r>
    </w:p>
    <w:p w14:paraId="179881AD" w14:textId="431DD157" w:rsidR="005756E5" w:rsidRDefault="005756E5" w:rsidP="005756E5">
      <w:pPr>
        <w:pStyle w:val="ListParagraph"/>
        <w:numPr>
          <w:ilvl w:val="0"/>
          <w:numId w:val="44"/>
        </w:numPr>
      </w:pPr>
      <w:r>
        <w:t>If the SCell is part of the same intra-band contiguous CA</w:t>
      </w:r>
      <w:r w:rsidR="00414FD7">
        <w:t xml:space="preserve"> with the PCell, the same PCell timing can be used here as well, as long as the deployment uses the same timing across all the cells. This would be similar to expanding the BW of the operating cell, just that the expanded bandwidth would be viewed a separate serving cell.</w:t>
      </w:r>
    </w:p>
    <w:p w14:paraId="6B309DA4" w14:textId="1CD8E15C" w:rsidR="00ED3A23" w:rsidRPr="00ED3A23" w:rsidRDefault="00414FD7" w:rsidP="005454E4">
      <w:r>
        <w:t>Both of these cases require input from RAN4 on the validity of whether the activation time can be reduced or not. RAN2 can send an LS to RAN4 enquiring this.</w:t>
      </w:r>
    </w:p>
    <w:p w14:paraId="0AC3AE47" w14:textId="528BF2E2" w:rsidR="005454E4" w:rsidRDefault="005454E4" w:rsidP="005454E4">
      <w:pPr>
        <w:rPr>
          <w:b/>
        </w:rPr>
      </w:pPr>
      <w:r>
        <w:rPr>
          <w:b/>
        </w:rPr>
        <w:t>Observation</w:t>
      </w:r>
      <w:r w:rsidR="00CB0C7B">
        <w:rPr>
          <w:b/>
        </w:rPr>
        <w:t xml:space="preserve"> 7</w:t>
      </w:r>
      <w:r>
        <w:rPr>
          <w:b/>
        </w:rPr>
        <w:t xml:space="preserve">: </w:t>
      </w:r>
      <w:r w:rsidR="00414FD7">
        <w:rPr>
          <w:b/>
        </w:rPr>
        <w:t xml:space="preserve">In cases where the PCell can provide the timing for the SCells (SSB less SCells or intra-band contiguous CA in synchronous deployment), there is a possibility to reduce the CA activation time. </w:t>
      </w:r>
      <w:r>
        <w:rPr>
          <w:b/>
        </w:rPr>
        <w:t xml:space="preserve"> </w:t>
      </w:r>
      <w:r w:rsidR="00414FD7">
        <w:rPr>
          <w:b/>
        </w:rPr>
        <w:t>This requires input from RAN4.</w:t>
      </w:r>
    </w:p>
    <w:p w14:paraId="4FED9D66" w14:textId="1C56CFC6" w:rsidR="00414FD7" w:rsidRDefault="00414FD7" w:rsidP="005454E4">
      <w:pPr>
        <w:rPr>
          <w:b/>
        </w:rPr>
      </w:pPr>
      <w:r>
        <w:rPr>
          <w:b/>
        </w:rPr>
        <w:lastRenderedPageBreak/>
        <w:t>Proposal</w:t>
      </w:r>
      <w:r w:rsidR="00CB0C7B">
        <w:rPr>
          <w:b/>
        </w:rPr>
        <w:t xml:space="preserve"> 3</w:t>
      </w:r>
      <w:r>
        <w:rPr>
          <w:b/>
        </w:rPr>
        <w:t>: RAN2 to discuss if an LS can be sent to RAN4 enquiring on the possibility of reducing CA activation time for SCell which use the PCell as the timing reference (SSB-less SCells or synchronous intra-band contiguous CA etc..)</w:t>
      </w:r>
    </w:p>
    <w:p w14:paraId="2AE6D99F" w14:textId="77777777" w:rsidR="00FB082B" w:rsidRPr="003A28F3" w:rsidRDefault="00FB082B" w:rsidP="006D66EA">
      <w:pPr>
        <w:pStyle w:val="Heading1"/>
      </w:pPr>
      <w:r w:rsidRPr="003A28F3">
        <w:t xml:space="preserve">Conclusion and </w:t>
      </w:r>
      <w:r w:rsidRPr="006D66EA">
        <w:t>proposals</w:t>
      </w:r>
    </w:p>
    <w:p w14:paraId="04EA90ED" w14:textId="77777777" w:rsidR="00CB0C7B" w:rsidRPr="00FC77DF" w:rsidRDefault="00CB0C7B" w:rsidP="00CB0C7B">
      <w:pPr>
        <w:rPr>
          <w:b/>
        </w:rPr>
      </w:pPr>
      <w:r w:rsidRPr="00FC77DF">
        <w:rPr>
          <w:b/>
        </w:rPr>
        <w:t>Observation</w:t>
      </w:r>
      <w:r>
        <w:rPr>
          <w:b/>
        </w:rPr>
        <w:t xml:space="preserve"> 1</w:t>
      </w:r>
      <w:r w:rsidRPr="00FC77DF">
        <w:rPr>
          <w:b/>
        </w:rPr>
        <w:t>: In LTE, the CSI acquisition and reporting time took more than two-third of the SCell activation time, and the time required for the UE to be aligned with the SCell timing and be ready to receive PDCCH was fixed at 8ms.</w:t>
      </w:r>
    </w:p>
    <w:p w14:paraId="35C693F0" w14:textId="77777777" w:rsidR="00CB0C7B" w:rsidRPr="00FC77DF" w:rsidRDefault="00CB0C7B" w:rsidP="00CB0C7B">
      <w:pPr>
        <w:rPr>
          <w:b/>
        </w:rPr>
      </w:pPr>
      <w:r w:rsidRPr="00FC77DF">
        <w:rPr>
          <w:b/>
        </w:rPr>
        <w:t>Observation</w:t>
      </w:r>
      <w:r>
        <w:rPr>
          <w:b/>
        </w:rPr>
        <w:t xml:space="preserve"> 2</w:t>
      </w:r>
      <w:r w:rsidRPr="00FC77DF">
        <w:rPr>
          <w:b/>
        </w:rPr>
        <w:t>: With dormant SCell state in LTE euCA, the CSI (CQI) acquisition and reporting time is not needed, as the NW already has the CQI info from the UE for the SCell. Dormant SCell state reduces at</w:t>
      </w:r>
      <w:r>
        <w:rPr>
          <w:b/>
        </w:rPr>
        <w:t xml:space="preserve"> </w:t>
      </w:r>
      <w:r w:rsidRPr="00FC77DF">
        <w:rPr>
          <w:b/>
        </w:rPr>
        <w:t xml:space="preserve">least </w:t>
      </w:r>
      <w:r w:rsidRPr="00393965">
        <w:rPr>
          <w:b/>
          <w:highlight w:val="yellow"/>
        </w:rPr>
        <w:t xml:space="preserve">66% (75% or more </w:t>
      </w:r>
      <w:r>
        <w:rPr>
          <w:b/>
          <w:highlight w:val="yellow"/>
        </w:rPr>
        <w:t>in many cases</w:t>
      </w:r>
      <w:r w:rsidRPr="00393965">
        <w:rPr>
          <w:b/>
          <w:highlight w:val="yellow"/>
        </w:rPr>
        <w:t>)</w:t>
      </w:r>
      <w:r w:rsidRPr="00FC77DF">
        <w:rPr>
          <w:b/>
        </w:rPr>
        <w:t xml:space="preserve"> of the activation time by removing the need for CSI (CQI) reporting.</w:t>
      </w:r>
    </w:p>
    <w:p w14:paraId="1E262EBD" w14:textId="77777777" w:rsidR="00CB0C7B" w:rsidRPr="00FC77DF" w:rsidRDefault="00CB0C7B" w:rsidP="00CB0C7B">
      <w:pPr>
        <w:rPr>
          <w:b/>
        </w:rPr>
      </w:pPr>
      <w:r w:rsidRPr="00FC77DF">
        <w:rPr>
          <w:b/>
        </w:rPr>
        <w:t>Observation</w:t>
      </w:r>
      <w:r>
        <w:rPr>
          <w:b/>
        </w:rPr>
        <w:t xml:space="preserve"> 3</w:t>
      </w:r>
      <w:r w:rsidRPr="00FC77DF">
        <w:rPr>
          <w:b/>
        </w:rPr>
        <w:t>: In NR, the time UE needs to bring up the RF and be aligned to the SCell timing, is variable and is dependent on the SMTC location in time with respect to when the SCell is activated.</w:t>
      </w:r>
      <w:r>
        <w:rPr>
          <w:b/>
        </w:rPr>
        <w:t xml:space="preserve"> Beam alignment is also done in this time.</w:t>
      </w:r>
    </w:p>
    <w:p w14:paraId="39DBC640" w14:textId="77777777" w:rsidR="00CB0C7B" w:rsidRPr="00FC77DF" w:rsidRDefault="00CB0C7B" w:rsidP="00CB0C7B">
      <w:pPr>
        <w:rPr>
          <w:b/>
        </w:rPr>
      </w:pPr>
      <w:r w:rsidRPr="00FC77DF">
        <w:rPr>
          <w:b/>
        </w:rPr>
        <w:t>Observation</w:t>
      </w:r>
      <w:r>
        <w:rPr>
          <w:b/>
        </w:rPr>
        <w:t xml:space="preserve"> 4</w:t>
      </w:r>
      <w:r w:rsidRPr="00FC77DF">
        <w:rPr>
          <w:b/>
        </w:rPr>
        <w:t>: In NR, the fast CSI feedback feature is agreed in rel-15 which requires the UE to perform the CSI acquisition/reporting within 3 ms (depending on the subcarrier spacing used).</w:t>
      </w:r>
    </w:p>
    <w:p w14:paraId="3F516AEE" w14:textId="77777777" w:rsidR="00CB0C7B" w:rsidRDefault="00CB0C7B" w:rsidP="00CB0C7B">
      <w:pPr>
        <w:rPr>
          <w:b/>
        </w:rPr>
      </w:pPr>
      <w:r w:rsidRPr="00FC77DF">
        <w:rPr>
          <w:b/>
        </w:rPr>
        <w:t>Observation</w:t>
      </w:r>
      <w:r>
        <w:rPr>
          <w:b/>
        </w:rPr>
        <w:t xml:space="preserve"> 5</w:t>
      </w:r>
      <w:r w:rsidRPr="00FC77DF">
        <w:rPr>
          <w:b/>
        </w:rPr>
        <w:t xml:space="preserve">: Dormant SCell in NR address the reduction/elimination of CSI reporting, which is only 3 ms, compared to the SCell timing alignment time which can be as high as </w:t>
      </w:r>
      <w:r>
        <w:rPr>
          <w:b/>
        </w:rPr>
        <w:t>160</w:t>
      </w:r>
      <w:r w:rsidRPr="00FC77DF">
        <w:rPr>
          <w:b/>
        </w:rPr>
        <w:t xml:space="preserve">ms. The savings with Dormant SCell in NR is meagre </w:t>
      </w:r>
      <w:r w:rsidRPr="00393965">
        <w:rPr>
          <w:b/>
          <w:highlight w:val="yellow"/>
        </w:rPr>
        <w:t>(~5%, 20% at best)</w:t>
      </w:r>
      <w:r>
        <w:rPr>
          <w:b/>
        </w:rPr>
        <w:t xml:space="preserve"> </w:t>
      </w:r>
      <w:r w:rsidRPr="00FC77DF">
        <w:rPr>
          <w:b/>
        </w:rPr>
        <w:t xml:space="preserve">compared to the power consumption hit at the UE, and compared to the used-up CSI (or SMTC) resources from the gNB for each of the deactivated SCells in each(or all) of the UEs. </w:t>
      </w:r>
    </w:p>
    <w:p w14:paraId="317FF298" w14:textId="77777777" w:rsidR="00CB0C7B" w:rsidRDefault="00CB0C7B" w:rsidP="00CB0C7B">
      <w:pPr>
        <w:rPr>
          <w:b/>
        </w:rPr>
      </w:pPr>
      <w:r>
        <w:rPr>
          <w:b/>
        </w:rPr>
        <w:t>Rel-15: 8ms (activation)+ Xms( SMTC alignment) + 3ms (CSI acquisition/reporting)</w:t>
      </w:r>
    </w:p>
    <w:p w14:paraId="148A8BA9" w14:textId="77777777" w:rsidR="00CB0C7B" w:rsidRDefault="00CB0C7B" w:rsidP="00CB0C7B">
      <w:pPr>
        <w:rPr>
          <w:b/>
        </w:rPr>
      </w:pPr>
      <w:r>
        <w:rPr>
          <w:b/>
        </w:rPr>
        <w:t xml:space="preserve">Dormant cell: 8ms (activation)+ Xms( SMTC alignment) </w:t>
      </w:r>
    </w:p>
    <w:p w14:paraId="221C8F17" w14:textId="77777777" w:rsidR="00CB0C7B" w:rsidRDefault="00CB0C7B" w:rsidP="00CB0C7B">
      <w:pPr>
        <w:rPr>
          <w:b/>
        </w:rPr>
      </w:pPr>
    </w:p>
    <w:p w14:paraId="3CAA1DC7" w14:textId="77777777" w:rsidR="00CB0C7B" w:rsidRPr="00B646AC" w:rsidRDefault="00CB0C7B" w:rsidP="00CB0C7B">
      <w:pPr>
        <w:pStyle w:val="Caption"/>
        <w:keepNext/>
        <w:jc w:val="center"/>
      </w:pPr>
      <w:r w:rsidRPr="00DF4872">
        <w:rPr>
          <w:i w:val="0"/>
        </w:rPr>
        <w:t xml:space="preserve">Table </w:t>
      </w:r>
      <w:r w:rsidRPr="00DF4872">
        <w:rPr>
          <w:i w:val="0"/>
        </w:rPr>
        <w:fldChar w:fldCharType="begin"/>
      </w:r>
      <w:r w:rsidRPr="00DF4872">
        <w:rPr>
          <w:i w:val="0"/>
        </w:rPr>
        <w:instrText xml:space="preserve"> SEQ Table \* ARABIC </w:instrText>
      </w:r>
      <w:r w:rsidRPr="00DF4872">
        <w:rPr>
          <w:i w:val="0"/>
        </w:rPr>
        <w:fldChar w:fldCharType="separate"/>
      </w:r>
      <w:r w:rsidRPr="00DF4872">
        <w:rPr>
          <w:i w:val="0"/>
          <w:noProof/>
        </w:rPr>
        <w:t>1</w:t>
      </w:r>
      <w:r w:rsidRPr="00DF4872">
        <w:rPr>
          <w:i w:val="0"/>
        </w:rPr>
        <w:fldChar w:fldCharType="end"/>
      </w:r>
      <w:r>
        <w:rPr>
          <w:i w:val="0"/>
        </w:rPr>
        <w:t>: potential delay reduction</w:t>
      </w:r>
    </w:p>
    <w:tbl>
      <w:tblPr>
        <w:tblStyle w:val="TableGrid"/>
        <w:tblW w:w="0" w:type="auto"/>
        <w:tblLook w:val="04A0" w:firstRow="1" w:lastRow="0" w:firstColumn="1" w:lastColumn="0" w:noHBand="0" w:noVBand="1"/>
      </w:tblPr>
      <w:tblGrid>
        <w:gridCol w:w="1435"/>
        <w:gridCol w:w="3073"/>
        <w:gridCol w:w="2254"/>
        <w:gridCol w:w="2254"/>
      </w:tblGrid>
      <w:tr w:rsidR="00CB0C7B" w14:paraId="2A9F0F3E" w14:textId="77777777" w:rsidTr="00B02956">
        <w:tc>
          <w:tcPr>
            <w:tcW w:w="1435" w:type="dxa"/>
          </w:tcPr>
          <w:p w14:paraId="65452C83" w14:textId="77777777" w:rsidR="00CB0C7B" w:rsidRPr="00DF4872" w:rsidRDefault="00CB0C7B" w:rsidP="00B02956">
            <w:pPr>
              <w:rPr>
                <w:sz w:val="18"/>
              </w:rPr>
            </w:pPr>
            <w:r>
              <w:rPr>
                <w:sz w:val="18"/>
              </w:rPr>
              <w:t>SMTC periodicity (X)</w:t>
            </w:r>
          </w:p>
        </w:tc>
        <w:tc>
          <w:tcPr>
            <w:tcW w:w="3073" w:type="dxa"/>
          </w:tcPr>
          <w:p w14:paraId="29C999E6" w14:textId="77777777" w:rsidR="00CB0C7B" w:rsidRDefault="00CB0C7B" w:rsidP="00B02956">
            <w:pPr>
              <w:ind w:firstLine="720"/>
              <w:rPr>
                <w:sz w:val="18"/>
              </w:rPr>
            </w:pPr>
            <w:r>
              <w:rPr>
                <w:sz w:val="18"/>
              </w:rPr>
              <w:t>Rel-15</w:t>
            </w:r>
          </w:p>
          <w:p w14:paraId="3621CD25" w14:textId="77777777" w:rsidR="00CB0C7B" w:rsidRPr="00DF4872" w:rsidRDefault="00CB0C7B" w:rsidP="00B02956">
            <w:pPr>
              <w:ind w:firstLine="720"/>
              <w:rPr>
                <w:sz w:val="18"/>
              </w:rPr>
            </w:pPr>
          </w:p>
        </w:tc>
        <w:tc>
          <w:tcPr>
            <w:tcW w:w="2254" w:type="dxa"/>
          </w:tcPr>
          <w:p w14:paraId="49C7CDF2" w14:textId="77777777" w:rsidR="00CB0C7B" w:rsidRPr="00DF4872" w:rsidRDefault="00CB0C7B" w:rsidP="00B02956">
            <w:pPr>
              <w:rPr>
                <w:sz w:val="18"/>
              </w:rPr>
            </w:pPr>
            <w:r>
              <w:rPr>
                <w:sz w:val="18"/>
              </w:rPr>
              <w:t>Dormant cell</w:t>
            </w:r>
          </w:p>
        </w:tc>
        <w:tc>
          <w:tcPr>
            <w:tcW w:w="2254" w:type="dxa"/>
          </w:tcPr>
          <w:p w14:paraId="11349E06" w14:textId="77777777" w:rsidR="00CB0C7B" w:rsidRPr="00DF4872" w:rsidRDefault="00CB0C7B" w:rsidP="00B02956">
            <w:pPr>
              <w:rPr>
                <w:sz w:val="18"/>
              </w:rPr>
            </w:pPr>
            <w:r w:rsidRPr="00DF4872">
              <w:rPr>
                <w:sz w:val="18"/>
              </w:rPr>
              <w:t>Delay redution</w:t>
            </w:r>
          </w:p>
        </w:tc>
      </w:tr>
      <w:tr w:rsidR="00CB0C7B" w14:paraId="55946013" w14:textId="77777777" w:rsidTr="00B02956">
        <w:tc>
          <w:tcPr>
            <w:tcW w:w="1435" w:type="dxa"/>
          </w:tcPr>
          <w:p w14:paraId="331886CE" w14:textId="77777777" w:rsidR="00CB0C7B" w:rsidRPr="00DF4872" w:rsidRDefault="00CB0C7B" w:rsidP="00B02956">
            <w:pPr>
              <w:rPr>
                <w:sz w:val="18"/>
              </w:rPr>
            </w:pPr>
            <w:r>
              <w:rPr>
                <w:sz w:val="18"/>
              </w:rPr>
              <w:t>5</w:t>
            </w:r>
          </w:p>
        </w:tc>
        <w:tc>
          <w:tcPr>
            <w:tcW w:w="3073" w:type="dxa"/>
          </w:tcPr>
          <w:p w14:paraId="4EF8590A" w14:textId="77777777" w:rsidR="00CB0C7B" w:rsidRPr="00DF4872" w:rsidRDefault="00CB0C7B" w:rsidP="00B02956">
            <w:pPr>
              <w:rPr>
                <w:sz w:val="18"/>
              </w:rPr>
            </w:pPr>
            <w:r>
              <w:rPr>
                <w:sz w:val="18"/>
              </w:rPr>
              <w:t>16ms</w:t>
            </w:r>
          </w:p>
        </w:tc>
        <w:tc>
          <w:tcPr>
            <w:tcW w:w="2254" w:type="dxa"/>
          </w:tcPr>
          <w:p w14:paraId="287CA40F" w14:textId="77777777" w:rsidR="00CB0C7B" w:rsidRPr="00DF4872" w:rsidRDefault="00CB0C7B" w:rsidP="00B02956">
            <w:pPr>
              <w:rPr>
                <w:sz w:val="18"/>
              </w:rPr>
            </w:pPr>
            <w:r>
              <w:rPr>
                <w:sz w:val="18"/>
              </w:rPr>
              <w:t>13ms</w:t>
            </w:r>
          </w:p>
        </w:tc>
        <w:tc>
          <w:tcPr>
            <w:tcW w:w="2254" w:type="dxa"/>
          </w:tcPr>
          <w:p w14:paraId="50AE9B9B" w14:textId="77777777" w:rsidR="00CB0C7B" w:rsidRPr="00DF4872" w:rsidRDefault="00CB0C7B" w:rsidP="00B02956">
            <w:pPr>
              <w:rPr>
                <w:sz w:val="18"/>
              </w:rPr>
            </w:pPr>
            <w:r>
              <w:rPr>
                <w:sz w:val="18"/>
              </w:rPr>
              <w:t>18 %</w:t>
            </w:r>
          </w:p>
        </w:tc>
      </w:tr>
      <w:tr w:rsidR="00CB0C7B" w14:paraId="01FEF006" w14:textId="77777777" w:rsidTr="00B02956">
        <w:tc>
          <w:tcPr>
            <w:tcW w:w="1435" w:type="dxa"/>
          </w:tcPr>
          <w:p w14:paraId="38369FC8" w14:textId="77777777" w:rsidR="00CB0C7B" w:rsidRDefault="00CB0C7B" w:rsidP="00B02956">
            <w:pPr>
              <w:rPr>
                <w:sz w:val="18"/>
              </w:rPr>
            </w:pPr>
            <w:r>
              <w:rPr>
                <w:sz w:val="18"/>
              </w:rPr>
              <w:t>20</w:t>
            </w:r>
          </w:p>
        </w:tc>
        <w:tc>
          <w:tcPr>
            <w:tcW w:w="3073" w:type="dxa"/>
          </w:tcPr>
          <w:p w14:paraId="229C7E32" w14:textId="77777777" w:rsidR="00CB0C7B" w:rsidRDefault="00CB0C7B" w:rsidP="00B02956">
            <w:pPr>
              <w:rPr>
                <w:sz w:val="18"/>
              </w:rPr>
            </w:pPr>
            <w:r>
              <w:rPr>
                <w:sz w:val="18"/>
              </w:rPr>
              <w:t>31ms</w:t>
            </w:r>
          </w:p>
        </w:tc>
        <w:tc>
          <w:tcPr>
            <w:tcW w:w="2254" w:type="dxa"/>
          </w:tcPr>
          <w:p w14:paraId="68A20307" w14:textId="77777777" w:rsidR="00CB0C7B" w:rsidRDefault="00CB0C7B" w:rsidP="00B02956">
            <w:pPr>
              <w:rPr>
                <w:sz w:val="18"/>
              </w:rPr>
            </w:pPr>
            <w:r>
              <w:rPr>
                <w:sz w:val="18"/>
              </w:rPr>
              <w:t>28ms</w:t>
            </w:r>
          </w:p>
        </w:tc>
        <w:tc>
          <w:tcPr>
            <w:tcW w:w="2254" w:type="dxa"/>
          </w:tcPr>
          <w:p w14:paraId="2A5B0C98" w14:textId="77777777" w:rsidR="00CB0C7B" w:rsidRDefault="00CB0C7B" w:rsidP="00B02956">
            <w:pPr>
              <w:rPr>
                <w:sz w:val="18"/>
              </w:rPr>
            </w:pPr>
            <w:r>
              <w:rPr>
                <w:sz w:val="18"/>
              </w:rPr>
              <w:t>9.6%</w:t>
            </w:r>
          </w:p>
        </w:tc>
      </w:tr>
      <w:tr w:rsidR="00CB0C7B" w14:paraId="5064C29B" w14:textId="77777777" w:rsidTr="00B02956">
        <w:tc>
          <w:tcPr>
            <w:tcW w:w="1435" w:type="dxa"/>
          </w:tcPr>
          <w:p w14:paraId="2C4AD0A0" w14:textId="77777777" w:rsidR="00CB0C7B" w:rsidRDefault="00CB0C7B" w:rsidP="00B02956">
            <w:pPr>
              <w:rPr>
                <w:sz w:val="18"/>
              </w:rPr>
            </w:pPr>
            <w:r>
              <w:rPr>
                <w:sz w:val="18"/>
              </w:rPr>
              <w:t>40</w:t>
            </w:r>
          </w:p>
        </w:tc>
        <w:tc>
          <w:tcPr>
            <w:tcW w:w="3073" w:type="dxa"/>
          </w:tcPr>
          <w:p w14:paraId="4D3257AD" w14:textId="6C360349" w:rsidR="00CB0C7B" w:rsidRDefault="00CB0C7B" w:rsidP="000913BC">
            <w:pPr>
              <w:rPr>
                <w:sz w:val="18"/>
              </w:rPr>
            </w:pPr>
            <w:r>
              <w:rPr>
                <w:sz w:val="18"/>
              </w:rPr>
              <w:t>51</w:t>
            </w:r>
            <w:r w:rsidR="000913BC">
              <w:rPr>
                <w:sz w:val="18"/>
              </w:rPr>
              <w:t>ms</w:t>
            </w:r>
          </w:p>
        </w:tc>
        <w:tc>
          <w:tcPr>
            <w:tcW w:w="2254" w:type="dxa"/>
          </w:tcPr>
          <w:p w14:paraId="1F5A789E" w14:textId="77777777" w:rsidR="00CB0C7B" w:rsidRDefault="00CB0C7B" w:rsidP="00B02956">
            <w:pPr>
              <w:rPr>
                <w:sz w:val="18"/>
              </w:rPr>
            </w:pPr>
            <w:r>
              <w:rPr>
                <w:sz w:val="18"/>
              </w:rPr>
              <w:t>48ms</w:t>
            </w:r>
          </w:p>
        </w:tc>
        <w:tc>
          <w:tcPr>
            <w:tcW w:w="2254" w:type="dxa"/>
          </w:tcPr>
          <w:p w14:paraId="6CD20709" w14:textId="77777777" w:rsidR="00CB0C7B" w:rsidRDefault="00CB0C7B" w:rsidP="00B02956">
            <w:pPr>
              <w:rPr>
                <w:sz w:val="18"/>
              </w:rPr>
            </w:pPr>
            <w:r>
              <w:rPr>
                <w:sz w:val="18"/>
              </w:rPr>
              <w:t>5.8%</w:t>
            </w:r>
          </w:p>
        </w:tc>
      </w:tr>
      <w:tr w:rsidR="00CB0C7B" w14:paraId="17DD0AAF" w14:textId="77777777" w:rsidTr="00B02956">
        <w:tc>
          <w:tcPr>
            <w:tcW w:w="1435" w:type="dxa"/>
          </w:tcPr>
          <w:p w14:paraId="448A8229" w14:textId="77777777" w:rsidR="00CB0C7B" w:rsidRPr="00DF4872" w:rsidRDefault="00CB0C7B" w:rsidP="00B02956">
            <w:pPr>
              <w:rPr>
                <w:sz w:val="18"/>
              </w:rPr>
            </w:pPr>
            <w:r>
              <w:rPr>
                <w:sz w:val="18"/>
              </w:rPr>
              <w:t>80</w:t>
            </w:r>
          </w:p>
        </w:tc>
        <w:tc>
          <w:tcPr>
            <w:tcW w:w="3073" w:type="dxa"/>
          </w:tcPr>
          <w:p w14:paraId="10B02E2C" w14:textId="77777777" w:rsidR="00CB0C7B" w:rsidRPr="00DF4872" w:rsidRDefault="00CB0C7B" w:rsidP="00B02956">
            <w:pPr>
              <w:rPr>
                <w:sz w:val="18"/>
              </w:rPr>
            </w:pPr>
            <w:r>
              <w:rPr>
                <w:sz w:val="18"/>
              </w:rPr>
              <w:t>91ms</w:t>
            </w:r>
          </w:p>
        </w:tc>
        <w:tc>
          <w:tcPr>
            <w:tcW w:w="2254" w:type="dxa"/>
          </w:tcPr>
          <w:p w14:paraId="51E80834" w14:textId="77777777" w:rsidR="00CB0C7B" w:rsidRPr="00DF4872" w:rsidRDefault="00CB0C7B" w:rsidP="00B02956">
            <w:pPr>
              <w:rPr>
                <w:sz w:val="18"/>
              </w:rPr>
            </w:pPr>
            <w:r>
              <w:rPr>
                <w:sz w:val="18"/>
              </w:rPr>
              <w:t>88ms</w:t>
            </w:r>
          </w:p>
        </w:tc>
        <w:tc>
          <w:tcPr>
            <w:tcW w:w="2254" w:type="dxa"/>
          </w:tcPr>
          <w:p w14:paraId="4D8F91E6" w14:textId="77777777" w:rsidR="00CB0C7B" w:rsidRPr="00DF4872" w:rsidRDefault="00CB0C7B" w:rsidP="00B02956">
            <w:pPr>
              <w:rPr>
                <w:sz w:val="18"/>
              </w:rPr>
            </w:pPr>
            <w:r>
              <w:rPr>
                <w:sz w:val="18"/>
              </w:rPr>
              <w:t>3.3%</w:t>
            </w:r>
          </w:p>
        </w:tc>
      </w:tr>
    </w:tbl>
    <w:p w14:paraId="15EFA528" w14:textId="77777777" w:rsidR="00CB0C7B" w:rsidRDefault="00CB0C7B" w:rsidP="00CB0C7B">
      <w:pPr>
        <w:rPr>
          <w:b/>
        </w:rPr>
      </w:pPr>
    </w:p>
    <w:p w14:paraId="259FB13F" w14:textId="77777777" w:rsidR="00CB0C7B" w:rsidRDefault="00CB0C7B" w:rsidP="00CB0C7B">
      <w:pPr>
        <w:rPr>
          <w:b/>
        </w:rPr>
      </w:pPr>
      <w:r>
        <w:rPr>
          <w:b/>
        </w:rPr>
        <w:t>Proposal 1: LTE euCA Dormant SCell operation is not considered for NR.</w:t>
      </w:r>
    </w:p>
    <w:p w14:paraId="22A69F23" w14:textId="2009CAC3" w:rsidR="00CB0C7B" w:rsidRDefault="00CB0C7B" w:rsidP="00CB0C7B">
      <w:pPr>
        <w:rPr>
          <w:b/>
        </w:rPr>
      </w:pPr>
      <w:r>
        <w:rPr>
          <w:b/>
        </w:rPr>
        <w:t>Observation 6</w:t>
      </w:r>
      <w:r w:rsidRPr="005756E5">
        <w:rPr>
          <w:b/>
        </w:rPr>
        <w:t>:  If RAN2 wants to pursue the option of NW providing the necessary reference signals to the UE to assist in faster timing alignments with the SCell, RAN2 would require RAN4 and RAN1 input on the reference signal needed, as well as the timing requirements on when these reference signals can be provided to the UE after activation. An LS can be sent to RAN1/4 in this regard.</w:t>
      </w:r>
    </w:p>
    <w:p w14:paraId="6D33C8BF" w14:textId="6EFD94FA" w:rsidR="00CB0C7B" w:rsidRDefault="00CB0C7B" w:rsidP="00CB0C7B">
      <w:pPr>
        <w:rPr>
          <w:b/>
        </w:rPr>
      </w:pPr>
      <w:r>
        <w:rPr>
          <w:b/>
        </w:rPr>
        <w:t xml:space="preserve">Proposal 2: RAN2 to discuss if the option </w:t>
      </w:r>
      <w:r w:rsidRPr="005756E5">
        <w:rPr>
          <w:b/>
        </w:rPr>
        <w:t xml:space="preserve">of NW providing the reference signals to the UE to assist in faster timing alignments </w:t>
      </w:r>
      <w:r>
        <w:rPr>
          <w:b/>
        </w:rPr>
        <w:t>after</w:t>
      </w:r>
      <w:r w:rsidRPr="005756E5">
        <w:rPr>
          <w:b/>
        </w:rPr>
        <w:t xml:space="preserve"> the SCell</w:t>
      </w:r>
      <w:r>
        <w:rPr>
          <w:b/>
        </w:rPr>
        <w:t xml:space="preserve"> activation is to be pursued.</w:t>
      </w:r>
    </w:p>
    <w:p w14:paraId="0B9A90A2" w14:textId="77777777" w:rsidR="00CB0C7B" w:rsidRDefault="00CB0C7B" w:rsidP="00CB0C7B">
      <w:pPr>
        <w:rPr>
          <w:b/>
        </w:rPr>
      </w:pPr>
      <w:r>
        <w:rPr>
          <w:b/>
        </w:rPr>
        <w:lastRenderedPageBreak/>
        <w:t>Observation 7: In cases where the PCell can provide the timing for the SCells (SSB less SCells or intra-band contiguous CA in synchronous deployment), there is a possibility to reduce the CA activation time.  This requires input from RAN4.</w:t>
      </w:r>
    </w:p>
    <w:p w14:paraId="43AB5C89" w14:textId="77777777" w:rsidR="00CB0C7B" w:rsidRDefault="00CB0C7B" w:rsidP="00CB0C7B">
      <w:pPr>
        <w:rPr>
          <w:b/>
        </w:rPr>
      </w:pPr>
      <w:r>
        <w:rPr>
          <w:b/>
        </w:rPr>
        <w:t>Proposal 3: RAN2 to discuss if an LS can be sent to RAN4 enquiring on the possibility of reducing CA activation time for SCell which use the PCell as the timing reference (SSB-less SCells or synchronous intra-band contiguous CA etc..)</w:t>
      </w:r>
    </w:p>
    <w:p w14:paraId="1004C92E" w14:textId="77777777" w:rsidR="00CB0C7B" w:rsidRPr="00FC77DF" w:rsidRDefault="00CB0C7B" w:rsidP="00CB0C7B">
      <w:pPr>
        <w:rPr>
          <w:b/>
        </w:rPr>
      </w:pPr>
    </w:p>
    <w:p w14:paraId="4D6CD6C4" w14:textId="64340AAF" w:rsidR="002F737D" w:rsidRDefault="002F737D" w:rsidP="00BA4BFA">
      <w:pPr>
        <w:pStyle w:val="N1"/>
        <w:ind w:left="0"/>
      </w:pPr>
    </w:p>
    <w:sectPr w:rsidR="002F737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C525E" w14:textId="77777777" w:rsidR="00F40073" w:rsidRDefault="00F40073" w:rsidP="00DF7110">
      <w:pPr>
        <w:spacing w:after="0" w:line="240" w:lineRule="auto"/>
      </w:pPr>
      <w:r>
        <w:separator/>
      </w:r>
    </w:p>
  </w:endnote>
  <w:endnote w:type="continuationSeparator" w:id="0">
    <w:p w14:paraId="09E05626" w14:textId="77777777" w:rsidR="00F40073" w:rsidRDefault="00F40073"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E3E3C" w14:textId="77777777" w:rsidR="00F40073" w:rsidRDefault="00F40073" w:rsidP="00DF7110">
      <w:pPr>
        <w:spacing w:after="0" w:line="240" w:lineRule="auto"/>
      </w:pPr>
      <w:r>
        <w:separator/>
      </w:r>
    </w:p>
  </w:footnote>
  <w:footnote w:type="continuationSeparator" w:id="0">
    <w:p w14:paraId="0313BF7F" w14:textId="77777777" w:rsidR="00F40073" w:rsidRDefault="00F40073"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7F181354"/>
    <w:multiLevelType w:val="hybridMultilevel"/>
    <w:tmpl w:val="49A24CE0"/>
    <w:lvl w:ilvl="0" w:tplc="4058D418">
      <w:start w:val="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28"/>
  </w:num>
  <w:num w:numId="4">
    <w:abstractNumId w:val="40"/>
  </w:num>
  <w:num w:numId="5">
    <w:abstractNumId w:val="22"/>
  </w:num>
  <w:num w:numId="6">
    <w:abstractNumId w:val="40"/>
  </w:num>
  <w:num w:numId="7">
    <w:abstractNumId w:val="41"/>
  </w:num>
  <w:num w:numId="8">
    <w:abstractNumId w:val="25"/>
  </w:num>
  <w:num w:numId="9">
    <w:abstractNumId w:val="20"/>
  </w:num>
  <w:num w:numId="10">
    <w:abstractNumId w:val="10"/>
  </w:num>
  <w:num w:numId="11">
    <w:abstractNumId w:val="30"/>
  </w:num>
  <w:num w:numId="12">
    <w:abstractNumId w:val="3"/>
  </w:num>
  <w:num w:numId="13">
    <w:abstractNumId w:val="21"/>
  </w:num>
  <w:num w:numId="14">
    <w:abstractNumId w:val="13"/>
  </w:num>
  <w:num w:numId="15">
    <w:abstractNumId w:val="15"/>
  </w:num>
  <w:num w:numId="16">
    <w:abstractNumId w:val="35"/>
  </w:num>
  <w:num w:numId="17">
    <w:abstractNumId w:val="26"/>
  </w:num>
  <w:num w:numId="18">
    <w:abstractNumId w:val="17"/>
  </w:num>
  <w:num w:numId="19">
    <w:abstractNumId w:val="39"/>
  </w:num>
  <w:num w:numId="20">
    <w:abstractNumId w:val="32"/>
  </w:num>
  <w:num w:numId="21">
    <w:abstractNumId w:val="8"/>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29"/>
  </w:num>
  <w:num w:numId="26">
    <w:abstractNumId w:val="16"/>
  </w:num>
  <w:num w:numId="27">
    <w:abstractNumId w:val="24"/>
  </w:num>
  <w:num w:numId="28">
    <w:abstractNumId w:val="33"/>
  </w:num>
  <w:num w:numId="29">
    <w:abstractNumId w:val="37"/>
  </w:num>
  <w:num w:numId="30">
    <w:abstractNumId w:val="23"/>
  </w:num>
  <w:num w:numId="31">
    <w:abstractNumId w:val="34"/>
  </w:num>
  <w:num w:numId="32">
    <w:abstractNumId w:val="2"/>
  </w:num>
  <w:num w:numId="33">
    <w:abstractNumId w:val="0"/>
  </w:num>
  <w:num w:numId="34">
    <w:abstractNumId w:val="12"/>
  </w:num>
  <w:num w:numId="35">
    <w:abstractNumId w:val="27"/>
  </w:num>
  <w:num w:numId="36">
    <w:abstractNumId w:val="4"/>
  </w:num>
  <w:num w:numId="37">
    <w:abstractNumId w:val="36"/>
  </w:num>
  <w:num w:numId="38">
    <w:abstractNumId w:val="19"/>
  </w:num>
  <w:num w:numId="39">
    <w:abstractNumId w:val="7"/>
  </w:num>
  <w:num w:numId="40">
    <w:abstractNumId w:val="5"/>
  </w:num>
  <w:num w:numId="41">
    <w:abstractNumId w:val="6"/>
  </w:num>
  <w:num w:numId="42">
    <w:abstractNumId w:val="38"/>
  </w:num>
  <w:num w:numId="43">
    <w:abstractNumId w:val="11"/>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5890"/>
    <w:rsid w:val="000260C4"/>
    <w:rsid w:val="00027DC1"/>
    <w:rsid w:val="000318D7"/>
    <w:rsid w:val="00032E19"/>
    <w:rsid w:val="000330A9"/>
    <w:rsid w:val="00033C3E"/>
    <w:rsid w:val="00034A19"/>
    <w:rsid w:val="00035239"/>
    <w:rsid w:val="0003548E"/>
    <w:rsid w:val="00035A0E"/>
    <w:rsid w:val="00035C44"/>
    <w:rsid w:val="0004213C"/>
    <w:rsid w:val="00043B00"/>
    <w:rsid w:val="00043F8C"/>
    <w:rsid w:val="00044FAB"/>
    <w:rsid w:val="000458A6"/>
    <w:rsid w:val="000467AB"/>
    <w:rsid w:val="000467BE"/>
    <w:rsid w:val="00046C64"/>
    <w:rsid w:val="000503D8"/>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13BC"/>
    <w:rsid w:val="000927B0"/>
    <w:rsid w:val="00095A4A"/>
    <w:rsid w:val="00095C12"/>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2C25"/>
    <w:rsid w:val="000C4BD4"/>
    <w:rsid w:val="000C523A"/>
    <w:rsid w:val="000C66C7"/>
    <w:rsid w:val="000C7A7E"/>
    <w:rsid w:val="000D031F"/>
    <w:rsid w:val="000D0609"/>
    <w:rsid w:val="000D1D56"/>
    <w:rsid w:val="000D2585"/>
    <w:rsid w:val="000D2D3F"/>
    <w:rsid w:val="000D2D90"/>
    <w:rsid w:val="000D33D7"/>
    <w:rsid w:val="000D3700"/>
    <w:rsid w:val="000D53F8"/>
    <w:rsid w:val="000D54E1"/>
    <w:rsid w:val="000D59A5"/>
    <w:rsid w:val="000D5D4E"/>
    <w:rsid w:val="000D5E4D"/>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3F7"/>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5DA"/>
    <w:rsid w:val="001236A8"/>
    <w:rsid w:val="00123BC3"/>
    <w:rsid w:val="00124DAB"/>
    <w:rsid w:val="0012564D"/>
    <w:rsid w:val="00125AD2"/>
    <w:rsid w:val="001262C5"/>
    <w:rsid w:val="00126930"/>
    <w:rsid w:val="001272E8"/>
    <w:rsid w:val="00127538"/>
    <w:rsid w:val="0012761E"/>
    <w:rsid w:val="001301D0"/>
    <w:rsid w:val="0013107C"/>
    <w:rsid w:val="00131FCD"/>
    <w:rsid w:val="00133E38"/>
    <w:rsid w:val="00133E44"/>
    <w:rsid w:val="0013435E"/>
    <w:rsid w:val="00134CB8"/>
    <w:rsid w:val="00136199"/>
    <w:rsid w:val="001366EF"/>
    <w:rsid w:val="001368E9"/>
    <w:rsid w:val="00141B91"/>
    <w:rsid w:val="00142378"/>
    <w:rsid w:val="00142AD4"/>
    <w:rsid w:val="00143023"/>
    <w:rsid w:val="00143410"/>
    <w:rsid w:val="00143EDE"/>
    <w:rsid w:val="001440DA"/>
    <w:rsid w:val="00144312"/>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2F9"/>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0498"/>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C70F2"/>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2B80"/>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1693F"/>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2687"/>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06D"/>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664B"/>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0E16"/>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37E8E"/>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3965"/>
    <w:rsid w:val="0039401E"/>
    <w:rsid w:val="00394688"/>
    <w:rsid w:val="003956E8"/>
    <w:rsid w:val="00395782"/>
    <w:rsid w:val="00395B4A"/>
    <w:rsid w:val="00397CF5"/>
    <w:rsid w:val="003A0016"/>
    <w:rsid w:val="003A007B"/>
    <w:rsid w:val="003A065D"/>
    <w:rsid w:val="003A073E"/>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1FB"/>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1EC"/>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3226"/>
    <w:rsid w:val="003F41AD"/>
    <w:rsid w:val="003F65B5"/>
    <w:rsid w:val="003F72CE"/>
    <w:rsid w:val="003F7B2C"/>
    <w:rsid w:val="00400B33"/>
    <w:rsid w:val="00400DFD"/>
    <w:rsid w:val="00403643"/>
    <w:rsid w:val="00407640"/>
    <w:rsid w:val="00407B1F"/>
    <w:rsid w:val="00407CFD"/>
    <w:rsid w:val="0041071E"/>
    <w:rsid w:val="00411406"/>
    <w:rsid w:val="00411C95"/>
    <w:rsid w:val="0041262B"/>
    <w:rsid w:val="00412645"/>
    <w:rsid w:val="0041304A"/>
    <w:rsid w:val="00413984"/>
    <w:rsid w:val="00414BF2"/>
    <w:rsid w:val="00414FD7"/>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0AAD"/>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656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08B"/>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1B23"/>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13D"/>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54E4"/>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56E5"/>
    <w:rsid w:val="0057680F"/>
    <w:rsid w:val="005768D7"/>
    <w:rsid w:val="00577492"/>
    <w:rsid w:val="00580438"/>
    <w:rsid w:val="005818CE"/>
    <w:rsid w:val="00581967"/>
    <w:rsid w:val="00582E32"/>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542"/>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57E"/>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18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151"/>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0D07"/>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217"/>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05C"/>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2C6"/>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296"/>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242A"/>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78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E79CF"/>
    <w:rsid w:val="008F0FD3"/>
    <w:rsid w:val="008F1923"/>
    <w:rsid w:val="008F1BF2"/>
    <w:rsid w:val="008F235D"/>
    <w:rsid w:val="008F2B4B"/>
    <w:rsid w:val="008F3876"/>
    <w:rsid w:val="008F3B2E"/>
    <w:rsid w:val="008F4925"/>
    <w:rsid w:val="008F5091"/>
    <w:rsid w:val="008F5351"/>
    <w:rsid w:val="008F5DA5"/>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717"/>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8BC"/>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216"/>
    <w:rsid w:val="00A828CC"/>
    <w:rsid w:val="00A8355B"/>
    <w:rsid w:val="00A83661"/>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97B7C"/>
    <w:rsid w:val="00AA08DC"/>
    <w:rsid w:val="00AA0C7A"/>
    <w:rsid w:val="00AA136A"/>
    <w:rsid w:val="00AA2FBF"/>
    <w:rsid w:val="00AA3643"/>
    <w:rsid w:val="00AA3D38"/>
    <w:rsid w:val="00AA432E"/>
    <w:rsid w:val="00AA5338"/>
    <w:rsid w:val="00AA58A5"/>
    <w:rsid w:val="00AA5C53"/>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0E33"/>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5AC6"/>
    <w:rsid w:val="00AF6D55"/>
    <w:rsid w:val="00AF75FD"/>
    <w:rsid w:val="00B015F3"/>
    <w:rsid w:val="00B01B58"/>
    <w:rsid w:val="00B02280"/>
    <w:rsid w:val="00B03F42"/>
    <w:rsid w:val="00B05F0A"/>
    <w:rsid w:val="00B10692"/>
    <w:rsid w:val="00B13BF3"/>
    <w:rsid w:val="00B15D2A"/>
    <w:rsid w:val="00B1695D"/>
    <w:rsid w:val="00B17719"/>
    <w:rsid w:val="00B17D85"/>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55D"/>
    <w:rsid w:val="00B52CA7"/>
    <w:rsid w:val="00B536A6"/>
    <w:rsid w:val="00B5385C"/>
    <w:rsid w:val="00B53C42"/>
    <w:rsid w:val="00B54901"/>
    <w:rsid w:val="00B55661"/>
    <w:rsid w:val="00B55B0E"/>
    <w:rsid w:val="00B56F87"/>
    <w:rsid w:val="00B5775B"/>
    <w:rsid w:val="00B57B0D"/>
    <w:rsid w:val="00B6046E"/>
    <w:rsid w:val="00B60530"/>
    <w:rsid w:val="00B61D0C"/>
    <w:rsid w:val="00B62FC2"/>
    <w:rsid w:val="00B63DBE"/>
    <w:rsid w:val="00B646AC"/>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8ED"/>
    <w:rsid w:val="00B80A3D"/>
    <w:rsid w:val="00B80AB0"/>
    <w:rsid w:val="00B80E60"/>
    <w:rsid w:val="00B814F7"/>
    <w:rsid w:val="00B818C2"/>
    <w:rsid w:val="00B8268B"/>
    <w:rsid w:val="00B830DA"/>
    <w:rsid w:val="00B83957"/>
    <w:rsid w:val="00B83D4F"/>
    <w:rsid w:val="00B84168"/>
    <w:rsid w:val="00B841F0"/>
    <w:rsid w:val="00B84C64"/>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4BFA"/>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41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DC"/>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0C7B"/>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3E4"/>
    <w:rsid w:val="00CE7F87"/>
    <w:rsid w:val="00CF0BEB"/>
    <w:rsid w:val="00CF30CF"/>
    <w:rsid w:val="00CF58FC"/>
    <w:rsid w:val="00CF68DC"/>
    <w:rsid w:val="00CF701F"/>
    <w:rsid w:val="00CF71E2"/>
    <w:rsid w:val="00D00E1E"/>
    <w:rsid w:val="00D010E3"/>
    <w:rsid w:val="00D0127C"/>
    <w:rsid w:val="00D01489"/>
    <w:rsid w:val="00D0199D"/>
    <w:rsid w:val="00D019C1"/>
    <w:rsid w:val="00D05285"/>
    <w:rsid w:val="00D05810"/>
    <w:rsid w:val="00D05CD3"/>
    <w:rsid w:val="00D0664F"/>
    <w:rsid w:val="00D06EA4"/>
    <w:rsid w:val="00D070C5"/>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85F"/>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47040"/>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07B"/>
    <w:rsid w:val="00D814ED"/>
    <w:rsid w:val="00D81A6A"/>
    <w:rsid w:val="00D82F31"/>
    <w:rsid w:val="00D835BB"/>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87A"/>
    <w:rsid w:val="00DE1ABB"/>
    <w:rsid w:val="00DE22DD"/>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4872"/>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B2"/>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A23"/>
    <w:rsid w:val="00ED3B10"/>
    <w:rsid w:val="00ED4D65"/>
    <w:rsid w:val="00ED5497"/>
    <w:rsid w:val="00ED5801"/>
    <w:rsid w:val="00ED6C4E"/>
    <w:rsid w:val="00ED7044"/>
    <w:rsid w:val="00ED7231"/>
    <w:rsid w:val="00EE03D5"/>
    <w:rsid w:val="00EE0E47"/>
    <w:rsid w:val="00EE12DC"/>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1DF"/>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11EF"/>
    <w:rsid w:val="00F3300B"/>
    <w:rsid w:val="00F335BB"/>
    <w:rsid w:val="00F33B36"/>
    <w:rsid w:val="00F33C88"/>
    <w:rsid w:val="00F34185"/>
    <w:rsid w:val="00F3563D"/>
    <w:rsid w:val="00F35B3C"/>
    <w:rsid w:val="00F36AE0"/>
    <w:rsid w:val="00F3749C"/>
    <w:rsid w:val="00F4004C"/>
    <w:rsid w:val="00F40073"/>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2EC2"/>
    <w:rsid w:val="00F7337B"/>
    <w:rsid w:val="00F737D0"/>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C77DF"/>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qFormat/>
    <w:locked/>
    <w:rsid w:val="001440DA"/>
    <w:rPr>
      <w:rFonts w:ascii="Courier New" w:eastAsia="Times New Roman" w:hAnsi="Courier New" w:cs="Courier New"/>
      <w:noProof/>
      <w:sz w:val="16"/>
    </w:rPr>
  </w:style>
  <w:style w:type="paragraph" w:customStyle="1" w:styleId="PL">
    <w:name w:val="PL"/>
    <w:link w:val="PLChar"/>
    <w:qFormat/>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table" w:styleId="TableGrid">
    <w:name w:val="Table Grid"/>
    <w:basedOn w:val="TableNormal"/>
    <w:uiPriority w:val="39"/>
    <w:rsid w:val="00280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C21FB"/>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5731434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1689</Words>
  <Characters>7922</Characters>
  <Application>Microsoft Office Word</Application>
  <DocSecurity>0</DocSecurity>
  <Lines>180</Lines>
  <Paragraphs>114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7</cp:revision>
  <dcterms:created xsi:type="dcterms:W3CDTF">2019-03-29T05:03:00Z</dcterms:created>
  <dcterms:modified xsi:type="dcterms:W3CDTF">2019-05-02T23:29:00Z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d04483d5-577d-4bd4-8fd2-f42cf59d693d</vt:lpwstr>
  </property>
  <property fmtid="{D5CDD505-2E9C-101B-9397-08002B2CF9AE}" pid="3" name="CTP_BU">
    <vt:lpwstr>NEXT GEN &amp; STANDARDS GROUP</vt:lpwstr>
  </property>
  <property fmtid="{D5CDD505-2E9C-101B-9397-08002B2CF9AE}" pid="4" name="CTP_TimeStamp">
    <vt:lpwstr>2019-05-02 23:29:20Z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