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55D9E76B"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w:t>
      </w:r>
      <w:r w:rsidR="00AB6267">
        <w:rPr>
          <w:sz w:val="24"/>
          <w:lang w:val="en-GB" w:eastAsia="zh-CN"/>
        </w:rPr>
        <w:t>#</w:t>
      </w:r>
      <w:r>
        <w:rPr>
          <w:sz w:val="24"/>
          <w:lang w:val="en-GB" w:eastAsia="zh-CN"/>
        </w:rPr>
        <w:t>10</w:t>
      </w:r>
      <w:r w:rsidR="00E01BC7">
        <w:rPr>
          <w:sz w:val="24"/>
          <w:lang w:val="en-GB" w:eastAsia="zh-CN"/>
        </w:rPr>
        <w:t>6</w:t>
      </w:r>
      <w:r w:rsidRPr="00EE6198">
        <w:rPr>
          <w:sz w:val="24"/>
          <w:lang w:val="en-GB" w:eastAsia="zh-CN"/>
        </w:rPr>
        <w:tab/>
      </w:r>
      <w:r>
        <w:rPr>
          <w:sz w:val="24"/>
          <w:lang w:val="en-GB" w:eastAsia="zh-CN"/>
        </w:rPr>
        <w:t>R2-</w:t>
      </w:r>
      <w:r w:rsidR="00555F0B">
        <w:rPr>
          <w:sz w:val="24"/>
          <w:lang w:val="en-GB" w:eastAsia="zh-CN"/>
        </w:rPr>
        <w:t>19</w:t>
      </w:r>
      <w:r w:rsidR="00545766">
        <w:rPr>
          <w:sz w:val="24"/>
          <w:lang w:val="en-GB" w:eastAsia="zh-CN"/>
        </w:rPr>
        <w:t>06296</w:t>
      </w:r>
    </w:p>
    <w:p w14:paraId="4CB781DA" w14:textId="70E83006" w:rsidR="009D00AF" w:rsidRPr="00FD5466" w:rsidRDefault="009D00AF" w:rsidP="009D00AF">
      <w:pPr>
        <w:pStyle w:val="3GPPHeader"/>
      </w:pPr>
      <w:r>
        <w:rPr>
          <w:noProof/>
        </w:rPr>
        <w:t>Reno</w:t>
      </w:r>
      <w:r w:rsidRPr="00017109">
        <w:rPr>
          <w:rFonts w:cs="Arial"/>
          <w:color w:val="000000"/>
          <w:kern w:val="2"/>
          <w:lang w:val="en-US"/>
        </w:rPr>
        <w:t xml:space="preserve">, </w:t>
      </w:r>
      <w:r>
        <w:rPr>
          <w:rFonts w:cs="Arial"/>
          <w:color w:val="000000"/>
          <w:kern w:val="2"/>
          <w:lang w:val="en-US"/>
        </w:rPr>
        <w:t>USA</w:t>
      </w:r>
      <w:r w:rsidRPr="00017109">
        <w:rPr>
          <w:rFonts w:cs="Arial"/>
          <w:color w:val="000000"/>
          <w:kern w:val="2"/>
          <w:lang w:val="en-US"/>
        </w:rPr>
        <w:t xml:space="preserve">, </w:t>
      </w:r>
      <w:r>
        <w:rPr>
          <w:rFonts w:cs="Arial"/>
          <w:color w:val="000000"/>
          <w:kern w:val="2"/>
          <w:lang w:val="en-US"/>
        </w:rPr>
        <w:t>13thMay</w:t>
      </w:r>
      <w:r w:rsidRPr="001773B6">
        <w:rPr>
          <w:rFonts w:cs="Arial"/>
          <w:color w:val="000000"/>
          <w:kern w:val="2"/>
          <w:lang w:val="en-US"/>
        </w:rPr>
        <w:t xml:space="preserve"> </w:t>
      </w:r>
      <w:r>
        <w:rPr>
          <w:rFonts w:cs="Arial"/>
          <w:color w:val="000000"/>
          <w:kern w:val="2"/>
          <w:lang w:val="en-US"/>
        </w:rPr>
        <w:t>–</w:t>
      </w:r>
      <w:r w:rsidRPr="001773B6">
        <w:rPr>
          <w:rFonts w:cs="Arial"/>
          <w:color w:val="000000"/>
          <w:kern w:val="2"/>
          <w:lang w:val="en-US"/>
        </w:rPr>
        <w:t xml:space="preserve"> </w:t>
      </w:r>
      <w:r>
        <w:rPr>
          <w:rFonts w:cs="Arial"/>
          <w:color w:val="000000"/>
          <w:kern w:val="2"/>
          <w:lang w:val="en-US"/>
        </w:rPr>
        <w:t>17thMay</w:t>
      </w:r>
      <w:r w:rsidRPr="001773B6">
        <w:rPr>
          <w:rFonts w:cs="Arial"/>
          <w:color w:val="000000"/>
          <w:kern w:val="2"/>
          <w:lang w:val="en-US"/>
        </w:rPr>
        <w:t xml:space="preserve"> 2019</w:t>
      </w: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238FE803"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F6BBA">
        <w:rPr>
          <w:rFonts w:eastAsia="SimSun" w:cs="Arial"/>
          <w:b/>
          <w:bCs/>
          <w:sz w:val="24"/>
          <w:lang w:val="en-US"/>
        </w:rPr>
        <w:t>11.4.</w:t>
      </w:r>
      <w:r w:rsidR="00545766">
        <w:rPr>
          <w:rFonts w:eastAsia="SimSun" w:cs="Arial"/>
          <w:b/>
          <w:bCs/>
          <w:sz w:val="24"/>
          <w:lang w:val="en-US"/>
        </w:rPr>
        <w:t>5</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3CC6C4CD"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3506FC">
        <w:rPr>
          <w:rFonts w:ascii="Arial" w:hAnsi="Arial" w:cs="Arial"/>
          <w:b/>
          <w:bCs/>
          <w:sz w:val="24"/>
        </w:rPr>
        <w:t>PC5-RRC Co</w:t>
      </w:r>
      <w:r w:rsidR="00545766">
        <w:rPr>
          <w:rFonts w:ascii="Arial" w:hAnsi="Arial" w:cs="Arial"/>
          <w:b/>
          <w:bCs/>
          <w:sz w:val="24"/>
        </w:rPr>
        <w:t>nsiderations for NR V2X</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AB589D2" w14:textId="77CCAD8D" w:rsidR="008A2AF6" w:rsidRDefault="00E01BC7"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Agreements in the past couple of RAN2 meetings related to PC5-RRC connection establishment at AS level for V2X unicast communication</w:t>
      </w:r>
      <w:r w:rsidR="003506FC">
        <w:rPr>
          <w:rFonts w:ascii="Times New Roman" w:hAnsi="Times New Roman"/>
          <w:sz w:val="20"/>
          <w:szCs w:val="20"/>
          <w:lang w:eastAsia="ja-JP"/>
        </w:rPr>
        <w:t xml:space="preserve"> </w:t>
      </w:r>
      <w:r>
        <w:rPr>
          <w:rFonts w:ascii="Times New Roman" w:hAnsi="Times New Roman"/>
          <w:sz w:val="20"/>
          <w:szCs w:val="20"/>
          <w:lang w:eastAsia="ja-JP"/>
        </w:rPr>
        <w:t>are shown below</w:t>
      </w:r>
      <w:r w:rsidR="003506FC">
        <w:rPr>
          <w:rFonts w:ascii="Times New Roman" w:hAnsi="Times New Roman"/>
          <w:sz w:val="20"/>
          <w:szCs w:val="20"/>
          <w:lang w:eastAsia="ja-JP"/>
        </w:rPr>
        <w:t xml:space="preserve">. </w:t>
      </w:r>
      <w:r>
        <w:rPr>
          <w:rFonts w:ascii="Times New Roman" w:hAnsi="Times New Roman"/>
          <w:sz w:val="20"/>
          <w:szCs w:val="20"/>
          <w:lang w:eastAsia="ja-JP"/>
        </w:rPr>
        <w:t>A</w:t>
      </w:r>
      <w:r w:rsidR="001576D7">
        <w:rPr>
          <w:rFonts w:ascii="Times New Roman" w:hAnsi="Times New Roman"/>
          <w:sz w:val="20"/>
          <w:szCs w:val="20"/>
          <w:lang w:eastAsia="ja-JP"/>
        </w:rPr>
        <w:t>S-level configuration</w:t>
      </w:r>
      <w:r>
        <w:rPr>
          <w:rFonts w:ascii="Times New Roman" w:hAnsi="Times New Roman"/>
          <w:sz w:val="20"/>
          <w:szCs w:val="20"/>
          <w:lang w:eastAsia="ja-JP"/>
        </w:rPr>
        <w:t>/UE capability</w:t>
      </w:r>
      <w:r w:rsidR="001576D7">
        <w:rPr>
          <w:rFonts w:ascii="Times New Roman" w:hAnsi="Times New Roman"/>
          <w:sz w:val="20"/>
          <w:szCs w:val="20"/>
          <w:lang w:eastAsia="ja-JP"/>
        </w:rPr>
        <w:t xml:space="preserve"> exchange </w:t>
      </w:r>
      <w:r w:rsidR="00822213">
        <w:rPr>
          <w:rFonts w:ascii="Times New Roman" w:hAnsi="Times New Roman"/>
          <w:sz w:val="20"/>
          <w:szCs w:val="20"/>
          <w:lang w:eastAsia="ja-JP"/>
        </w:rPr>
        <w:t xml:space="preserve">using RRC signalling over PC5 </w:t>
      </w:r>
      <w:r w:rsidR="001576D7">
        <w:rPr>
          <w:rFonts w:ascii="Times New Roman" w:hAnsi="Times New Roman"/>
          <w:sz w:val="20"/>
          <w:szCs w:val="20"/>
          <w:lang w:eastAsia="ja-JP"/>
        </w:rPr>
        <w:t xml:space="preserve">has been agreed, however, the ‘connection’ establishment procedure is still </w:t>
      </w:r>
      <w:r w:rsidR="00822213">
        <w:rPr>
          <w:rFonts w:ascii="Times New Roman" w:hAnsi="Times New Roman"/>
          <w:sz w:val="20"/>
          <w:szCs w:val="20"/>
          <w:lang w:eastAsia="ja-JP"/>
        </w:rPr>
        <w:t xml:space="preserve">not decided </w:t>
      </w:r>
      <w:r w:rsidR="001576D7">
        <w:rPr>
          <w:rFonts w:ascii="Times New Roman" w:hAnsi="Times New Roman"/>
          <w:sz w:val="20"/>
          <w:szCs w:val="20"/>
          <w:lang w:eastAsia="ja-JP"/>
        </w:rPr>
        <w:t xml:space="preserve">as </w:t>
      </w:r>
      <w:r w:rsidR="003506FC">
        <w:rPr>
          <w:rFonts w:ascii="Times New Roman" w:hAnsi="Times New Roman"/>
          <w:sz w:val="20"/>
          <w:szCs w:val="20"/>
          <w:lang w:eastAsia="ja-JP"/>
        </w:rPr>
        <w:t>the company views were</w:t>
      </w:r>
      <w:r>
        <w:rPr>
          <w:rFonts w:ascii="Times New Roman" w:hAnsi="Times New Roman"/>
          <w:sz w:val="20"/>
          <w:szCs w:val="20"/>
          <w:lang w:eastAsia="ja-JP"/>
        </w:rPr>
        <w:t xml:space="preserve"> divided</w:t>
      </w:r>
      <w:r w:rsidR="003506FC">
        <w:rPr>
          <w:rFonts w:ascii="Times New Roman" w:hAnsi="Times New Roman"/>
          <w:sz w:val="20"/>
          <w:szCs w:val="20"/>
          <w:lang w:eastAsia="ja-JP"/>
        </w:rPr>
        <w:t>. In this contribution</w:t>
      </w:r>
      <w:r>
        <w:rPr>
          <w:rFonts w:ascii="Times New Roman" w:hAnsi="Times New Roman"/>
          <w:sz w:val="20"/>
          <w:szCs w:val="20"/>
          <w:lang w:eastAsia="ja-JP"/>
        </w:rPr>
        <w:t>,</w:t>
      </w:r>
      <w:r w:rsidR="003506FC">
        <w:rPr>
          <w:rFonts w:ascii="Times New Roman" w:hAnsi="Times New Roman"/>
          <w:sz w:val="20"/>
          <w:szCs w:val="20"/>
          <w:lang w:eastAsia="ja-JP"/>
        </w:rPr>
        <w:t xml:space="preserve"> we </w:t>
      </w:r>
      <w:r>
        <w:rPr>
          <w:rFonts w:ascii="Times New Roman" w:hAnsi="Times New Roman"/>
          <w:sz w:val="20"/>
          <w:szCs w:val="20"/>
          <w:lang w:eastAsia="ja-JP"/>
        </w:rPr>
        <w:t>provide our view</w:t>
      </w:r>
      <w:r w:rsidR="00822213">
        <w:rPr>
          <w:rFonts w:ascii="Times New Roman" w:hAnsi="Times New Roman"/>
          <w:sz w:val="20"/>
          <w:szCs w:val="20"/>
          <w:lang w:eastAsia="ja-JP"/>
        </w:rPr>
        <w:t xml:space="preserve"> on the </w:t>
      </w:r>
      <w:r>
        <w:rPr>
          <w:rFonts w:ascii="Times New Roman" w:hAnsi="Times New Roman"/>
          <w:sz w:val="20"/>
          <w:szCs w:val="20"/>
          <w:lang w:eastAsia="ja-JP"/>
        </w:rPr>
        <w:t>aspects highlighted below</w:t>
      </w:r>
      <w:r w:rsidR="003506FC">
        <w:rPr>
          <w:rFonts w:ascii="Times New Roman" w:hAnsi="Times New Roman"/>
          <w:sz w:val="20"/>
          <w:szCs w:val="20"/>
          <w:lang w:eastAsia="ja-JP"/>
        </w:rPr>
        <w:t xml:space="preserve"> </w:t>
      </w:r>
      <w:r>
        <w:rPr>
          <w:rFonts w:ascii="Times New Roman" w:hAnsi="Times New Roman"/>
          <w:sz w:val="20"/>
          <w:szCs w:val="20"/>
          <w:lang w:eastAsia="ja-JP"/>
        </w:rPr>
        <w:t>related to PC5-RRC connection establishment procedure handling</w:t>
      </w:r>
      <w:r w:rsidR="003506FC">
        <w:rPr>
          <w:rFonts w:ascii="Times New Roman" w:hAnsi="Times New Roman"/>
          <w:sz w:val="20"/>
          <w:szCs w:val="20"/>
          <w:lang w:eastAsia="ja-JP"/>
        </w:rPr>
        <w:t xml:space="preserve">. </w:t>
      </w:r>
    </w:p>
    <w:p w14:paraId="7977FDEB" w14:textId="08CCCE74" w:rsidR="001576D7" w:rsidRP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b/>
          <w:sz w:val="20"/>
        </w:rPr>
      </w:pPr>
      <w:r w:rsidRPr="001576D7">
        <w:rPr>
          <w:rFonts w:ascii="Arial" w:hAnsi="Arial" w:cs="Arial"/>
          <w:b/>
          <w:sz w:val="20"/>
        </w:rPr>
        <w:t xml:space="preserve">Agreements on V2X unicast </w:t>
      </w:r>
      <w:r w:rsidR="00BA06AC">
        <w:rPr>
          <w:rFonts w:ascii="Arial" w:hAnsi="Arial" w:cs="Arial"/>
          <w:b/>
          <w:sz w:val="20"/>
        </w:rPr>
        <w:t xml:space="preserve">related to PC5-RRC </w:t>
      </w:r>
      <w:r w:rsidRPr="001576D7">
        <w:rPr>
          <w:rFonts w:ascii="Arial" w:hAnsi="Arial" w:cs="Arial"/>
          <w:b/>
          <w:sz w:val="20"/>
        </w:rPr>
        <w:t>(RAN2#105):</w:t>
      </w:r>
    </w:p>
    <w:p w14:paraId="0B552B37" w14:textId="77777777" w:rsidR="001576D7" w:rsidRPr="001576D7" w:rsidRDefault="001576D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sz w:val="20"/>
        </w:rPr>
        <w:t xml:space="preserve">1: </w:t>
      </w:r>
      <w:r w:rsidRPr="001576D7">
        <w:rPr>
          <w:rFonts w:ascii="Arial" w:hAnsi="Arial" w:cs="Arial"/>
          <w:noProof/>
          <w:sz w:val="20"/>
        </w:rPr>
        <w:t>PC5-RRC is used to exchange UE capability and AS-layer configuration at least.</w:t>
      </w:r>
    </w:p>
    <w:p w14:paraId="5D67A6C9" w14:textId="77777777" w:rsidR="001576D7" w:rsidRPr="001576D7" w:rsidRDefault="001576D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noProof/>
          <w:sz w:val="20"/>
        </w:rPr>
        <w:t>2: PC5-RRC based UE capability transfer procedure is triggered during or after PC5-S signalling for direct link setup. Further details can be discussed in WI stage.</w:t>
      </w:r>
    </w:p>
    <w:p w14:paraId="6C7643A2" w14:textId="77777777" w:rsidR="001576D7" w:rsidRPr="001576D7" w:rsidRDefault="001576D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noProof/>
          <w:sz w:val="20"/>
        </w:rPr>
        <w:t>3: PC5-RRC based UE capability transfer can be done in either one-way or two-way manner. Further details can be discussed in WI stage.</w:t>
      </w:r>
    </w:p>
    <w:p w14:paraId="100D9D28" w14:textId="77777777" w:rsidR="001576D7" w:rsidRPr="001576D7" w:rsidRDefault="001576D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noProof/>
          <w:sz w:val="20"/>
        </w:rPr>
        <w:t>4: Further details on which UE to send out its own capability information can be discussed in WI stage.</w:t>
      </w:r>
    </w:p>
    <w:p w14:paraId="7552D262" w14:textId="77777777" w:rsidR="001576D7" w:rsidRPr="00E01BC7" w:rsidRDefault="001576D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5: PC5-RRC based AS-layer configuration procedure is triggered during or after PC5-S signalling for direct link setup. Further details can be discussed in WI stage.</w:t>
      </w:r>
    </w:p>
    <w:p w14:paraId="055DE50D" w14:textId="77777777" w:rsidR="001576D7" w:rsidRPr="00E01BC7" w:rsidRDefault="001576D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6: PC5-RRC based AS-layer configuration can be done in a two-way manner. Further details can be discussed in WI stage.</w:t>
      </w:r>
    </w:p>
    <w:p w14:paraId="265582FD" w14:textId="5F7A5C4B" w:rsidR="00E01BC7" w:rsidRDefault="001576D7" w:rsidP="00E01BC7">
      <w:pPr>
        <w:pBdr>
          <w:top w:val="single" w:sz="4" w:space="1" w:color="auto"/>
          <w:left w:val="single" w:sz="4" w:space="31" w:color="auto"/>
          <w:bottom w:val="single" w:sz="4" w:space="1" w:color="auto"/>
          <w:right w:val="single" w:sz="4" w:space="4" w:color="auto"/>
        </w:pBdr>
        <w:tabs>
          <w:tab w:val="left" w:pos="1350"/>
        </w:tabs>
        <w:spacing w:after="0"/>
        <w:ind w:left="1170"/>
      </w:pPr>
      <w:r w:rsidRPr="00E01BC7">
        <w:rPr>
          <w:rFonts w:ascii="Arial" w:hAnsi="Arial" w:cs="Arial"/>
          <w:noProof/>
          <w:sz w:val="20"/>
        </w:rPr>
        <w:t>7: Further details on which UE to send out PC5-RRC based AS-layer configuration can be discussed in WI stag</w:t>
      </w:r>
      <w:r w:rsidR="00E01BC7" w:rsidRPr="00E01BC7">
        <w:rPr>
          <w:rFonts w:ascii="Arial" w:hAnsi="Arial" w:cs="Arial"/>
          <w:noProof/>
          <w:sz w:val="20"/>
        </w:rPr>
        <w:t>e.</w:t>
      </w:r>
    </w:p>
    <w:p w14:paraId="197366F2" w14:textId="6E227E59" w:rsidR="00E01BC7" w:rsidRPr="001576D7" w:rsidRDefault="00E01BC7" w:rsidP="00E01BC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b/>
          <w:sz w:val="20"/>
        </w:rPr>
      </w:pPr>
      <w:r w:rsidRPr="001576D7">
        <w:rPr>
          <w:rFonts w:ascii="Arial" w:hAnsi="Arial" w:cs="Arial"/>
          <w:b/>
          <w:sz w:val="20"/>
        </w:rPr>
        <w:t>Agreements on V2X unicast</w:t>
      </w:r>
      <w:r w:rsidR="00BA06AC" w:rsidRPr="00BA06AC">
        <w:rPr>
          <w:rFonts w:ascii="Arial" w:hAnsi="Arial" w:cs="Arial"/>
          <w:b/>
          <w:sz w:val="20"/>
        </w:rPr>
        <w:t xml:space="preserve"> </w:t>
      </w:r>
      <w:r w:rsidR="00BA06AC">
        <w:rPr>
          <w:rFonts w:ascii="Arial" w:hAnsi="Arial" w:cs="Arial"/>
          <w:b/>
          <w:sz w:val="20"/>
        </w:rPr>
        <w:t>related to PC5-RRC</w:t>
      </w:r>
      <w:r w:rsidRPr="001576D7">
        <w:rPr>
          <w:rFonts w:ascii="Arial" w:hAnsi="Arial" w:cs="Arial"/>
          <w:b/>
          <w:sz w:val="20"/>
        </w:rPr>
        <w:t xml:space="preserve"> (RAN2#105</w:t>
      </w:r>
      <w:r>
        <w:rPr>
          <w:rFonts w:ascii="Arial" w:hAnsi="Arial" w:cs="Arial"/>
          <w:b/>
          <w:sz w:val="20"/>
        </w:rPr>
        <w:t>bis</w:t>
      </w:r>
      <w:r w:rsidRPr="001576D7">
        <w:rPr>
          <w:rFonts w:ascii="Arial" w:hAnsi="Arial" w:cs="Arial"/>
          <w:b/>
          <w:sz w:val="20"/>
        </w:rPr>
        <w:t>):</w:t>
      </w:r>
    </w:p>
    <w:p w14:paraId="73940346"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 xml:space="preserve">1: </w:t>
      </w:r>
      <w:r w:rsidRPr="00E01BC7">
        <w:rPr>
          <w:rFonts w:ascii="Arial" w:hAnsi="Arial" w:cs="Arial"/>
          <w:noProof/>
          <w:sz w:val="20"/>
        </w:rPr>
        <w:tab/>
        <w:t>PC5-RRC connection is needed to establish SL UE context. Synchronization of SL UE context between two UEs is supported by the concept of PC5-RRC connection.</w:t>
      </w:r>
    </w:p>
    <w:p w14:paraId="104E7C35"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highlight w:val="yellow"/>
        </w:rPr>
        <w:t>- Need for PC5-RRC state is FFS.</w:t>
      </w:r>
    </w:p>
    <w:p w14:paraId="2DFFC6C3"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&gt; Option 1: Define PC5-RRC state for unicast operation.</w:t>
      </w:r>
    </w:p>
    <w:p w14:paraId="4878E195"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&gt; Option 2: Refer to PC5-S state for unicast operation</w:t>
      </w:r>
    </w:p>
    <w:p w14:paraId="6072FA8D"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t>- SL UE context may include at least SL UE capability of the destination UE.</w:t>
      </w:r>
    </w:p>
    <w:p w14:paraId="3602E2DE"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highlight w:val="yellow"/>
        </w:rPr>
      </w:pPr>
      <w:r w:rsidRPr="00E01BC7">
        <w:rPr>
          <w:rFonts w:ascii="Arial" w:hAnsi="Arial" w:cs="Arial"/>
          <w:noProof/>
          <w:sz w:val="20"/>
        </w:rPr>
        <w:tab/>
      </w:r>
      <w:r w:rsidRPr="00E01BC7">
        <w:rPr>
          <w:rFonts w:ascii="Arial" w:hAnsi="Arial" w:cs="Arial"/>
          <w:noProof/>
          <w:sz w:val="20"/>
        </w:rPr>
        <w:tab/>
      </w:r>
      <w:r w:rsidRPr="00E01BC7">
        <w:rPr>
          <w:rFonts w:ascii="Arial" w:hAnsi="Arial" w:cs="Arial"/>
          <w:noProof/>
          <w:sz w:val="20"/>
          <w:highlight w:val="yellow"/>
        </w:rPr>
        <w:t>&gt; FFS whether AS configuration information can be also stored in SL UE context.</w:t>
      </w:r>
    </w:p>
    <w:p w14:paraId="27C62ADA"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highlight w:val="yellow"/>
        </w:rPr>
        <w:tab/>
        <w:t>- UE context is per destination UE.</w:t>
      </w:r>
    </w:p>
    <w:p w14:paraId="7866BC9E"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 xml:space="preserve">&gt; It is considered that UE may store UE capability of the destination UE for a newly </w:t>
      </w:r>
    </w:p>
    <w:p w14:paraId="185EE7EC"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coming service between UEs in unicast.</w:t>
      </w:r>
    </w:p>
    <w:p w14:paraId="0BF3F937"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 xml:space="preserve">&gt; It may depend on SA2 discussion related to layer-2 ID allocation. RAN2 will come </w:t>
      </w:r>
    </w:p>
    <w:p w14:paraId="29AC7A77"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back if there is a problem based on SA2 progress.</w:t>
      </w:r>
    </w:p>
    <w:p w14:paraId="58E2E5A5" w14:textId="77777777" w:rsidR="00E01BC7" w:rsidRPr="00E01BC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highlight w:val="yellow"/>
        </w:rPr>
        <w:t>- FFS whether explicit PC5-RRC connection establishment procedure is needed or not.</w:t>
      </w:r>
    </w:p>
    <w:p w14:paraId="2962D717" w14:textId="22202EFD" w:rsidR="001576D7" w:rsidRDefault="00E01BC7" w:rsidP="00E01BC7">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 xml:space="preserve">2: </w:t>
      </w:r>
      <w:r w:rsidRPr="00E01BC7">
        <w:rPr>
          <w:rFonts w:ascii="Arial" w:hAnsi="Arial" w:cs="Arial"/>
          <w:noProof/>
          <w:sz w:val="20"/>
        </w:rPr>
        <w:tab/>
        <w:t>Security aspect comes back after SA3 progress (if there is any issue/problem).</w:t>
      </w:r>
      <w:r w:rsidRPr="00E01BC7">
        <w:rPr>
          <w:rFonts w:ascii="Arial" w:hAnsi="Arial" w:cs="Arial"/>
          <w:noProof/>
          <w:sz w:val="20"/>
        </w:rPr>
        <w:tab/>
      </w:r>
    </w:p>
    <w:p w14:paraId="28014832" w14:textId="77777777" w:rsidR="00E01BC7" w:rsidRDefault="00E01BC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noProof/>
          <w:sz w:val="20"/>
        </w:rPr>
      </w:pPr>
    </w:p>
    <w:p w14:paraId="4174F363" w14:textId="77777777" w:rsidR="008A2AF6" w:rsidRPr="001C137C" w:rsidRDefault="008A2AF6" w:rsidP="00C94AE1">
      <w:pPr>
        <w:pStyle w:val="Tdoc"/>
        <w:ind w:hanging="630"/>
      </w:pPr>
      <w:r>
        <w:lastRenderedPageBreak/>
        <w:t>Discussion</w:t>
      </w:r>
    </w:p>
    <w:p w14:paraId="00BE0F2B" w14:textId="3078CACF" w:rsidR="003C0DA3" w:rsidRDefault="00D844B4"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Modelling</w:t>
      </w:r>
      <w:r w:rsidR="00183622">
        <w:rPr>
          <w:rFonts w:ascii="Arial" w:eastAsia="MS Mincho" w:hAnsi="Arial" w:cs="Arial"/>
          <w:bCs/>
          <w:sz w:val="26"/>
          <w:szCs w:val="26"/>
          <w:lang w:val="en-GB" w:eastAsia="en-GB"/>
        </w:rPr>
        <w:t xml:space="preserve"> </w:t>
      </w:r>
      <w:r w:rsidR="00071C64">
        <w:rPr>
          <w:rFonts w:ascii="Arial" w:eastAsia="MS Mincho" w:hAnsi="Arial" w:cs="Arial"/>
          <w:bCs/>
          <w:sz w:val="26"/>
          <w:szCs w:val="26"/>
          <w:lang w:val="en-GB" w:eastAsia="en-GB"/>
        </w:rPr>
        <w:t>S</w:t>
      </w:r>
      <w:r w:rsidR="00183622">
        <w:rPr>
          <w:rFonts w:ascii="Arial" w:eastAsia="MS Mincho" w:hAnsi="Arial" w:cs="Arial"/>
          <w:bCs/>
          <w:sz w:val="26"/>
          <w:szCs w:val="26"/>
          <w:lang w:val="en-GB" w:eastAsia="en-GB"/>
        </w:rPr>
        <w:t xml:space="preserve">idelink </w:t>
      </w:r>
      <w:r w:rsidR="00316CB0">
        <w:rPr>
          <w:rFonts w:ascii="Arial" w:eastAsia="MS Mincho" w:hAnsi="Arial" w:cs="Arial"/>
          <w:bCs/>
          <w:sz w:val="26"/>
          <w:szCs w:val="26"/>
          <w:lang w:val="en-GB" w:eastAsia="en-GB"/>
        </w:rPr>
        <w:t>PC5-RRC</w:t>
      </w:r>
    </w:p>
    <w:p w14:paraId="002E5CC9" w14:textId="77777777" w:rsidR="00183622" w:rsidRDefault="00183622" w:rsidP="00EC74C9">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138C8CD" w14:textId="250934FA" w:rsidR="00FC44BB" w:rsidRDefault="001843F0"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this section, we plan to discuss whether PC5-RRC needs to be modelled to have explicit connection establishment procedure and whether correspondingly, PC5-RRC state is necessary. The companies’ views are divided with respect to the connection establishment procedure and </w:t>
      </w:r>
      <w:r w:rsidR="00FC44BB">
        <w:rPr>
          <w:rFonts w:ascii="Times New Roman" w:eastAsia="MS Mincho" w:hAnsi="Times New Roman"/>
          <w:bCs/>
          <w:sz w:val="20"/>
          <w:szCs w:val="26"/>
          <w:lang w:val="en-GB" w:eastAsia="en-GB"/>
        </w:rPr>
        <w:t xml:space="preserve">we think </w:t>
      </w:r>
      <w:r>
        <w:rPr>
          <w:rFonts w:ascii="Times New Roman" w:eastAsia="MS Mincho" w:hAnsi="Times New Roman"/>
          <w:bCs/>
          <w:sz w:val="20"/>
          <w:szCs w:val="26"/>
          <w:lang w:val="en-GB" w:eastAsia="en-GB"/>
        </w:rPr>
        <w:t>it would be good to understand the pros and cons of the procedure to make an appropriate technical decision.</w:t>
      </w:r>
      <w:r w:rsidR="002537DF">
        <w:rPr>
          <w:rFonts w:ascii="Times New Roman" w:eastAsia="MS Mincho" w:hAnsi="Times New Roman"/>
          <w:bCs/>
          <w:sz w:val="20"/>
          <w:szCs w:val="26"/>
          <w:lang w:val="en-GB" w:eastAsia="en-GB"/>
        </w:rPr>
        <w:t xml:space="preserve"> </w:t>
      </w:r>
    </w:p>
    <w:p w14:paraId="372CB753" w14:textId="77777777" w:rsidR="007B061D" w:rsidRDefault="007B061D"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90B13E6" w14:textId="3B863126" w:rsidR="000719AD" w:rsidRPr="00EA2B5D" w:rsidRDefault="00AE2DDC" w:rsidP="00EA2B5D">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Need for PC5-RRC connection establishment procedure</w:t>
      </w:r>
    </w:p>
    <w:p w14:paraId="261860F6" w14:textId="77777777" w:rsidR="00AE2DDC" w:rsidRDefault="00AE2DDC"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89D7BB0" w14:textId="42F583BD" w:rsidR="00FC44BB" w:rsidRDefault="00FC44BB"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part of the consideration where PC5-RRC signalling exchange takes place after PC5-S based connection establishment, we first analyse whether PC5-RRC needs to mimic Uu RRC for any specific purpose. As already discussed by some companies during the study item email discussion, the primary functions of Uu based RRC including obtaining RNTI from the network, establishing SRB1, and providing gNB with specific CN access information do not entirely correlate to those needed for sidelink connection establishment. Some aspects of Uu connection establishment when compared to sidelink are shown in table 1 below:</w:t>
      </w:r>
    </w:p>
    <w:p w14:paraId="5C9EF344" w14:textId="77777777" w:rsidR="00FC44BB" w:rsidRDefault="00FC44BB"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8E759DC" w14:textId="77777777" w:rsidR="00FC44BB" w:rsidRDefault="00FC44BB" w:rsidP="00FC44BB">
      <w:pPr>
        <w:pStyle w:val="ListParagraph"/>
        <w:widowControl w:val="0"/>
        <w:tabs>
          <w:tab w:val="left" w:pos="907"/>
        </w:tabs>
        <w:spacing w:before="240" w:after="60" w:line="240" w:lineRule="auto"/>
        <w:ind w:left="0"/>
        <w:jc w:val="center"/>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Table 1. Need for Uu-based connection establishment procedures for sidelink</w:t>
      </w:r>
    </w:p>
    <w:p w14:paraId="3E6F24D0" w14:textId="77777777" w:rsidR="00FC44BB" w:rsidRDefault="00FC44BB"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tbl>
      <w:tblPr>
        <w:tblStyle w:val="TableGrid"/>
        <w:tblW w:w="0" w:type="auto"/>
        <w:tblLayout w:type="fixed"/>
        <w:tblLook w:val="04A0" w:firstRow="1" w:lastRow="0" w:firstColumn="1" w:lastColumn="0" w:noHBand="0" w:noVBand="1"/>
      </w:tblPr>
      <w:tblGrid>
        <w:gridCol w:w="1975"/>
        <w:gridCol w:w="3330"/>
        <w:gridCol w:w="4045"/>
      </w:tblGrid>
      <w:tr w:rsidR="00FC44BB" w:rsidRPr="00071C64" w14:paraId="27358974" w14:textId="77777777" w:rsidTr="000E1816">
        <w:tc>
          <w:tcPr>
            <w:tcW w:w="1975" w:type="dxa"/>
          </w:tcPr>
          <w:p w14:paraId="48E41BE0" w14:textId="77777777" w:rsidR="00FC44BB" w:rsidRPr="00071C64" w:rsidRDefault="00FC44BB" w:rsidP="000E1816">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Functionality</w:t>
            </w:r>
          </w:p>
        </w:tc>
        <w:tc>
          <w:tcPr>
            <w:tcW w:w="3330" w:type="dxa"/>
          </w:tcPr>
          <w:p w14:paraId="720E31D2" w14:textId="77777777" w:rsidR="00FC44BB" w:rsidRPr="00071C64" w:rsidRDefault="00FC44BB" w:rsidP="000E1816">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Support for Uu based RRC</w:t>
            </w:r>
          </w:p>
        </w:tc>
        <w:tc>
          <w:tcPr>
            <w:tcW w:w="4045" w:type="dxa"/>
          </w:tcPr>
          <w:p w14:paraId="259A3024" w14:textId="77777777" w:rsidR="00FC44BB" w:rsidRPr="00071C64" w:rsidRDefault="00FC44BB" w:rsidP="000E1816">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Support for sidelink (unicast specific)</w:t>
            </w:r>
          </w:p>
        </w:tc>
      </w:tr>
      <w:tr w:rsidR="00FC44BB" w:rsidRPr="00071C64" w14:paraId="3DE6114A" w14:textId="77777777" w:rsidTr="000E1816">
        <w:tc>
          <w:tcPr>
            <w:tcW w:w="1975" w:type="dxa"/>
          </w:tcPr>
          <w:p w14:paraId="60E31D37" w14:textId="12D8CA4F"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Pr>
                <w:rFonts w:ascii="Arial" w:eastAsia="MS Mincho" w:hAnsi="Arial" w:cs="Arial"/>
                <w:bCs/>
                <w:sz w:val="16"/>
                <w:szCs w:val="26"/>
                <w:lang w:val="en-GB" w:eastAsia="en-GB"/>
              </w:rPr>
              <w:t>Upper layer connection establishment</w:t>
            </w:r>
          </w:p>
        </w:tc>
        <w:tc>
          <w:tcPr>
            <w:tcW w:w="3330" w:type="dxa"/>
          </w:tcPr>
          <w:p w14:paraId="03E49FC6" w14:textId="306F44FA"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Pr>
                <w:rFonts w:ascii="Arial" w:eastAsia="MS Mincho" w:hAnsi="Arial" w:cs="Arial"/>
                <w:bCs/>
                <w:sz w:val="16"/>
                <w:szCs w:val="26"/>
                <w:lang w:val="en-GB" w:eastAsia="en-GB"/>
              </w:rPr>
              <w:t xml:space="preserve">No such signalling. NAS initiates RRC upon receiving application service request </w:t>
            </w:r>
          </w:p>
        </w:tc>
        <w:tc>
          <w:tcPr>
            <w:tcW w:w="4045" w:type="dxa"/>
          </w:tcPr>
          <w:p w14:paraId="74D22BC5" w14:textId="660DF20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Pr>
                <w:rFonts w:ascii="Arial" w:eastAsia="MS Mincho" w:hAnsi="Arial" w:cs="Arial"/>
                <w:bCs/>
                <w:sz w:val="16"/>
                <w:szCs w:val="26"/>
                <w:lang w:val="en-GB" w:eastAsia="en-GB"/>
              </w:rPr>
              <w:t>Direct communication message exchange at upper layer including security upon receiving application service request</w:t>
            </w:r>
          </w:p>
        </w:tc>
      </w:tr>
      <w:tr w:rsidR="00FC44BB" w:rsidRPr="00071C64" w14:paraId="2544050F" w14:textId="77777777" w:rsidTr="000E1816">
        <w:tc>
          <w:tcPr>
            <w:tcW w:w="1975" w:type="dxa"/>
          </w:tcPr>
          <w:p w14:paraId="4BE6FFB5"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RACH</w:t>
            </w:r>
          </w:p>
        </w:tc>
        <w:tc>
          <w:tcPr>
            <w:tcW w:w="3330" w:type="dxa"/>
          </w:tcPr>
          <w:p w14:paraId="77EC910D"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Needed for congestion control /collision avoidance </w:t>
            </w:r>
          </w:p>
        </w:tc>
        <w:tc>
          <w:tcPr>
            <w:tcW w:w="4045" w:type="dxa"/>
          </w:tcPr>
          <w:p w14:paraId="498598CE"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Sensing is already done and channel is available, so RACH is not necessary</w:t>
            </w:r>
          </w:p>
        </w:tc>
      </w:tr>
      <w:tr w:rsidR="00FC44BB" w:rsidRPr="00071C64" w14:paraId="11A63B4E" w14:textId="77777777" w:rsidTr="000E1816">
        <w:tc>
          <w:tcPr>
            <w:tcW w:w="1975" w:type="dxa"/>
          </w:tcPr>
          <w:p w14:paraId="3D82CB58"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Setup Request/Response</w:t>
            </w:r>
          </w:p>
        </w:tc>
        <w:tc>
          <w:tcPr>
            <w:tcW w:w="3330" w:type="dxa"/>
          </w:tcPr>
          <w:p w14:paraId="5DBFBFF7"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To setup SRB1 before receiving UE context from CN </w:t>
            </w:r>
          </w:p>
        </w:tc>
        <w:tc>
          <w:tcPr>
            <w:tcW w:w="4045" w:type="dxa"/>
          </w:tcPr>
          <w:p w14:paraId="20344E22"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Preconfigured SL SRB is sufficient to exchange PC5-RRC signalling (as long as security is taken care). No need to obtain UE context from CN.</w:t>
            </w:r>
          </w:p>
        </w:tc>
      </w:tr>
      <w:tr w:rsidR="00FC44BB" w:rsidRPr="00071C64" w14:paraId="32B0423C" w14:textId="77777777" w:rsidTr="000E1816">
        <w:tc>
          <w:tcPr>
            <w:tcW w:w="1975" w:type="dxa"/>
          </w:tcPr>
          <w:p w14:paraId="313DE7B8"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Release of connection</w:t>
            </w:r>
          </w:p>
        </w:tc>
        <w:tc>
          <w:tcPr>
            <w:tcW w:w="3330" w:type="dxa"/>
          </w:tcPr>
          <w:p w14:paraId="2EEF4327"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Release initiated by network to release resources (move UE to idle) or re-direct to a different frequency</w:t>
            </w:r>
          </w:p>
        </w:tc>
        <w:tc>
          <w:tcPr>
            <w:tcW w:w="4045" w:type="dxa"/>
          </w:tcPr>
          <w:p w14:paraId="2BF009AF"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For V2X UEs, release procedure may not be necessary. Rely on upper layer keep alive signalling that has been already agreed. Support of sidelink PC5-RRC_IDLE is not needed (adds complexity)</w:t>
            </w:r>
          </w:p>
        </w:tc>
      </w:tr>
      <w:tr w:rsidR="00FC44BB" w:rsidRPr="00071C64" w14:paraId="7E261E03" w14:textId="77777777" w:rsidTr="000E1816">
        <w:tc>
          <w:tcPr>
            <w:tcW w:w="1975" w:type="dxa"/>
          </w:tcPr>
          <w:p w14:paraId="2EE9D276"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Suspension/resumption of connection</w:t>
            </w:r>
          </w:p>
        </w:tc>
        <w:tc>
          <w:tcPr>
            <w:tcW w:w="3330" w:type="dxa"/>
          </w:tcPr>
          <w:p w14:paraId="5B3BCA76"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To move UE to inactive wherein the source cell maintains UE context. </w:t>
            </w:r>
          </w:p>
        </w:tc>
        <w:tc>
          <w:tcPr>
            <w:tcW w:w="4045" w:type="dxa"/>
          </w:tcPr>
          <w:p w14:paraId="1FD309A7"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For V2X UEs, due to the dynamicity of the scenario, and given that there is no central node that can store the UE context for unicast communication, it is better not to suspend the sidelink connection once established. Support of sidelink PC5-RRC_INACTIVE is not needed (adds complexity)</w:t>
            </w:r>
          </w:p>
        </w:tc>
      </w:tr>
      <w:tr w:rsidR="00FC44BB" w:rsidRPr="00071C64" w14:paraId="5D88EEDC" w14:textId="77777777" w:rsidTr="000E1816">
        <w:tc>
          <w:tcPr>
            <w:tcW w:w="1975" w:type="dxa"/>
          </w:tcPr>
          <w:p w14:paraId="175A4AD5"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Connection reject</w:t>
            </w:r>
          </w:p>
        </w:tc>
        <w:tc>
          <w:tcPr>
            <w:tcW w:w="3330" w:type="dxa"/>
          </w:tcPr>
          <w:p w14:paraId="7DF59D06"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Sent by the network due to different reasons (e.g. congestion) with wait timer </w:t>
            </w:r>
          </w:p>
        </w:tc>
        <w:tc>
          <w:tcPr>
            <w:tcW w:w="4045" w:type="dxa"/>
          </w:tcPr>
          <w:p w14:paraId="5295F29A"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If upper layer direct link setup is successful, it is not clear why PC5-RRC reject would be necessary if a given service is authorized and supported by both the UEs. Support of PC5-RRC based reject is not needed.  </w:t>
            </w:r>
          </w:p>
        </w:tc>
      </w:tr>
      <w:tr w:rsidR="00FC44BB" w:rsidRPr="00071C64" w14:paraId="3B017672" w14:textId="77777777" w:rsidTr="000E1816">
        <w:tc>
          <w:tcPr>
            <w:tcW w:w="1975" w:type="dxa"/>
          </w:tcPr>
          <w:p w14:paraId="694063DB"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Connection re-establishment</w:t>
            </w:r>
          </w:p>
        </w:tc>
        <w:tc>
          <w:tcPr>
            <w:tcW w:w="3330" w:type="dxa"/>
          </w:tcPr>
          <w:p w14:paraId="6643C503"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To re-establish a connection for a RRC_CONNECTED UE</w:t>
            </w:r>
          </w:p>
        </w:tc>
        <w:tc>
          <w:tcPr>
            <w:tcW w:w="4045" w:type="dxa"/>
          </w:tcPr>
          <w:p w14:paraId="50E9F8FA"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Given the dynamicity of V2X UEs, the basic RLM procedure may be sufficient to be supported. </w:t>
            </w:r>
          </w:p>
        </w:tc>
      </w:tr>
      <w:tr w:rsidR="00FC44BB" w:rsidRPr="00071C64" w14:paraId="62D18B90" w14:textId="77777777" w:rsidTr="000E1816">
        <w:tc>
          <w:tcPr>
            <w:tcW w:w="1975" w:type="dxa"/>
          </w:tcPr>
          <w:p w14:paraId="4229D545"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Number of messages for connection</w:t>
            </w:r>
          </w:p>
        </w:tc>
        <w:tc>
          <w:tcPr>
            <w:tcW w:w="3330" w:type="dxa"/>
          </w:tcPr>
          <w:p w14:paraId="59E79A72"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3 (RRC setup) +2 (security) +2 (reconfiguration) before data can be communicated to the network. No separate upper layer connection. </w:t>
            </w:r>
          </w:p>
        </w:tc>
        <w:tc>
          <w:tcPr>
            <w:tcW w:w="4045" w:type="dxa"/>
          </w:tcPr>
          <w:p w14:paraId="251CF436" w14:textId="77777777" w:rsidR="00FC44BB" w:rsidRPr="00071C64" w:rsidRDefault="00FC44BB" w:rsidP="000E1816">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Minimize messages to support advanced V2X cases where delay is of paramount importance and peer UE may change due to varying communication range and speed. Upper layer connection is sufficient. </w:t>
            </w:r>
          </w:p>
        </w:tc>
      </w:tr>
    </w:tbl>
    <w:p w14:paraId="1BE40C40" w14:textId="3B2A2CF2" w:rsidR="00FC44BB" w:rsidRPr="006A66D3" w:rsidRDefault="0090331B" w:rsidP="00FC44BB">
      <w:pPr>
        <w:pStyle w:val="ListParagraph"/>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r>
        <w:rPr>
          <w:rFonts w:ascii="Times New Roman" w:eastAsia="Malgun Gothic" w:hAnsi="Times New Roman"/>
          <w:b/>
          <w:sz w:val="20"/>
          <w:szCs w:val="20"/>
          <w:lang w:val="en-GB" w:eastAsia="zh-CN"/>
        </w:rPr>
        <w:t>Observation:</w:t>
      </w:r>
      <w:r w:rsidR="00FC44BB" w:rsidRPr="006A66D3">
        <w:rPr>
          <w:rFonts w:ascii="Times New Roman" w:eastAsia="Malgun Gothic" w:hAnsi="Times New Roman"/>
          <w:b/>
          <w:sz w:val="20"/>
          <w:szCs w:val="20"/>
          <w:lang w:val="en-GB" w:eastAsia="zh-CN"/>
        </w:rPr>
        <w:t xml:space="preserve"> </w:t>
      </w:r>
      <w:r w:rsidR="00FC44BB">
        <w:rPr>
          <w:rFonts w:ascii="Times New Roman" w:eastAsia="Malgun Gothic" w:hAnsi="Times New Roman"/>
          <w:b/>
          <w:sz w:val="20"/>
          <w:szCs w:val="20"/>
          <w:lang w:val="en-GB" w:eastAsia="zh-CN"/>
        </w:rPr>
        <w:tab/>
      </w:r>
      <w:r w:rsidR="00FC44BB" w:rsidRPr="006A66D3">
        <w:rPr>
          <w:rFonts w:ascii="Times New Roman" w:eastAsia="Malgun Gothic" w:hAnsi="Times New Roman"/>
          <w:i/>
          <w:sz w:val="20"/>
          <w:szCs w:val="20"/>
          <w:lang w:val="en-GB" w:eastAsia="zh-CN"/>
        </w:rPr>
        <w:t xml:space="preserve">The functions of RRC for Uu </w:t>
      </w:r>
      <w:r>
        <w:rPr>
          <w:rFonts w:ascii="Times New Roman" w:eastAsia="Malgun Gothic" w:hAnsi="Times New Roman"/>
          <w:i/>
          <w:sz w:val="20"/>
          <w:szCs w:val="20"/>
          <w:lang w:val="en-GB" w:eastAsia="zh-CN"/>
        </w:rPr>
        <w:t xml:space="preserve">link </w:t>
      </w:r>
      <w:r w:rsidR="00FC44BB" w:rsidRPr="006A66D3">
        <w:rPr>
          <w:rFonts w:ascii="Times New Roman" w:eastAsia="Malgun Gothic" w:hAnsi="Times New Roman"/>
          <w:i/>
          <w:sz w:val="20"/>
          <w:szCs w:val="20"/>
          <w:lang w:val="en-GB" w:eastAsia="zh-CN"/>
        </w:rPr>
        <w:t>are not expected of sidelink unicast communication and also given the dynamicity of V2X should not be expected to be comparable.</w:t>
      </w:r>
    </w:p>
    <w:p w14:paraId="3041242C" w14:textId="0E75D07C" w:rsidR="00ED2700" w:rsidRPr="00ED2700" w:rsidRDefault="00FC44BB" w:rsidP="00ED2700">
      <w:pPr>
        <w:pStyle w:val="NormalWeb"/>
        <w:spacing w:before="0" w:after="0"/>
        <w:rPr>
          <w:rFonts w:eastAsia="MS Mincho"/>
          <w:bCs/>
          <w:sz w:val="20"/>
          <w:szCs w:val="26"/>
          <w:lang w:val="en-GB" w:eastAsia="en-GB"/>
        </w:rPr>
      </w:pPr>
      <w:r>
        <w:rPr>
          <w:rFonts w:eastAsia="MS Mincho"/>
          <w:bCs/>
          <w:sz w:val="20"/>
          <w:szCs w:val="26"/>
          <w:lang w:val="en-GB" w:eastAsia="en-GB"/>
        </w:rPr>
        <w:t xml:space="preserve">As shown in table 1, </w:t>
      </w:r>
      <w:r w:rsidR="00F7372C">
        <w:rPr>
          <w:rFonts w:eastAsia="MS Mincho"/>
          <w:bCs/>
          <w:sz w:val="20"/>
          <w:szCs w:val="26"/>
          <w:lang w:val="en-GB" w:eastAsia="en-GB"/>
        </w:rPr>
        <w:t xml:space="preserve">compared to Uu link, </w:t>
      </w:r>
      <w:r>
        <w:rPr>
          <w:rFonts w:eastAsia="MS Mincho"/>
          <w:bCs/>
          <w:sz w:val="20"/>
          <w:szCs w:val="26"/>
          <w:lang w:val="en-GB" w:eastAsia="en-GB"/>
        </w:rPr>
        <w:t xml:space="preserve">primarily for V2X sidelink, there is already upper layer connection establishment procedure </w:t>
      </w:r>
      <w:r w:rsidR="00F7372C">
        <w:rPr>
          <w:rFonts w:eastAsia="MS Mincho"/>
          <w:bCs/>
          <w:sz w:val="20"/>
          <w:szCs w:val="26"/>
          <w:lang w:val="en-GB" w:eastAsia="en-GB"/>
        </w:rPr>
        <w:t xml:space="preserve">(as shown in figure 1) </w:t>
      </w:r>
      <w:r>
        <w:rPr>
          <w:rFonts w:eastAsia="MS Mincho"/>
          <w:bCs/>
          <w:sz w:val="20"/>
          <w:szCs w:val="26"/>
          <w:lang w:val="en-GB" w:eastAsia="en-GB"/>
        </w:rPr>
        <w:t xml:space="preserve">that </w:t>
      </w:r>
      <w:r w:rsidR="008E022A">
        <w:rPr>
          <w:rFonts w:eastAsia="MS Mincho"/>
          <w:bCs/>
          <w:sz w:val="20"/>
          <w:szCs w:val="26"/>
          <w:lang w:val="en-GB" w:eastAsia="en-GB"/>
        </w:rPr>
        <w:t xml:space="preserve">is involved in </w:t>
      </w:r>
      <w:r>
        <w:rPr>
          <w:rFonts w:eastAsia="MS Mincho"/>
          <w:bCs/>
          <w:sz w:val="20"/>
          <w:szCs w:val="26"/>
          <w:lang w:val="en-GB" w:eastAsia="en-GB"/>
        </w:rPr>
        <w:t>finding an appropriate UE</w:t>
      </w:r>
      <w:r w:rsidR="008E022A">
        <w:rPr>
          <w:rFonts w:eastAsia="MS Mincho"/>
          <w:bCs/>
          <w:sz w:val="20"/>
          <w:szCs w:val="26"/>
          <w:lang w:val="en-GB" w:eastAsia="en-GB"/>
        </w:rPr>
        <w:t>(with specific QoS support)</w:t>
      </w:r>
      <w:r>
        <w:rPr>
          <w:rFonts w:eastAsia="MS Mincho"/>
          <w:bCs/>
          <w:sz w:val="20"/>
          <w:szCs w:val="26"/>
          <w:lang w:val="en-GB" w:eastAsia="en-GB"/>
        </w:rPr>
        <w:t xml:space="preserve"> to have unicast communication with. </w:t>
      </w:r>
      <w:r w:rsidR="00ED2700">
        <w:rPr>
          <w:rFonts w:eastAsia="MS Mincho"/>
          <w:bCs/>
          <w:sz w:val="20"/>
          <w:szCs w:val="26"/>
          <w:lang w:val="en-GB" w:eastAsia="en-GB"/>
        </w:rPr>
        <w:t>This refers to</w:t>
      </w:r>
      <w:r w:rsidR="00ED2700" w:rsidRPr="00ED2700">
        <w:rPr>
          <w:rFonts w:eastAsia="MS Mincho"/>
          <w:bCs/>
          <w:sz w:val="20"/>
          <w:szCs w:val="26"/>
          <w:lang w:val="en-GB" w:eastAsia="en-GB"/>
        </w:rPr>
        <w:t xml:space="preserve"> the agreed solution 11 for unicast l</w:t>
      </w:r>
      <w:r w:rsidR="00ED2700">
        <w:rPr>
          <w:rFonts w:eastAsia="MS Mincho"/>
          <w:bCs/>
          <w:sz w:val="20"/>
          <w:szCs w:val="26"/>
          <w:lang w:val="en-GB" w:eastAsia="en-GB"/>
        </w:rPr>
        <w:t xml:space="preserve">ink establishment in </w:t>
      </w:r>
      <w:r w:rsidR="00ED2700">
        <w:rPr>
          <w:rFonts w:eastAsia="MS Mincho"/>
          <w:bCs/>
          <w:sz w:val="20"/>
          <w:szCs w:val="26"/>
          <w:lang w:val="en-GB" w:eastAsia="en-GB"/>
        </w:rPr>
        <w:lastRenderedPageBreak/>
        <w:t xml:space="preserve">TR 23.786 which is </w:t>
      </w:r>
      <w:r w:rsidR="00ED2700" w:rsidRPr="00ED2700">
        <w:rPr>
          <w:rFonts w:eastAsia="MS Mincho"/>
          <w:bCs/>
          <w:sz w:val="20"/>
          <w:szCs w:val="26"/>
          <w:lang w:val="en-GB" w:eastAsia="en-GB"/>
        </w:rPr>
        <w:t>the layer-2 link establishment procedure as defined in TS 23.303</w:t>
      </w:r>
      <w:r w:rsidR="00ED2700">
        <w:rPr>
          <w:rFonts w:eastAsia="MS Mincho"/>
          <w:bCs/>
          <w:sz w:val="20"/>
          <w:szCs w:val="26"/>
          <w:lang w:val="en-GB" w:eastAsia="en-GB"/>
        </w:rPr>
        <w:t xml:space="preserve"> (corresponding to </w:t>
      </w:r>
      <w:r w:rsidR="00ED2700" w:rsidRPr="00ED2700">
        <w:rPr>
          <w:rFonts w:eastAsia="MS Mincho"/>
          <w:bCs/>
          <w:sz w:val="20"/>
          <w:szCs w:val="26"/>
          <w:lang w:val="en-GB" w:eastAsia="en-GB"/>
        </w:rPr>
        <w:t>upper layer communication exchange supported for ProSe as per TS 24.334</w:t>
      </w:r>
      <w:r w:rsidR="00ED2700">
        <w:rPr>
          <w:rFonts w:eastAsia="MS Mincho"/>
          <w:bCs/>
          <w:sz w:val="20"/>
          <w:szCs w:val="26"/>
          <w:lang w:val="en-GB" w:eastAsia="en-GB"/>
        </w:rPr>
        <w:t>) b</w:t>
      </w:r>
      <w:r w:rsidR="00ED2700" w:rsidRPr="00ED2700">
        <w:rPr>
          <w:rFonts w:eastAsia="MS Mincho"/>
          <w:bCs/>
          <w:sz w:val="20"/>
          <w:szCs w:val="26"/>
          <w:lang w:val="en-GB" w:eastAsia="en-GB"/>
        </w:rPr>
        <w:t>e</w:t>
      </w:r>
      <w:r w:rsidR="00ED2700">
        <w:rPr>
          <w:rFonts w:eastAsia="MS Mincho"/>
          <w:bCs/>
          <w:sz w:val="20"/>
          <w:szCs w:val="26"/>
          <w:lang w:val="en-GB" w:eastAsia="en-GB"/>
        </w:rPr>
        <w:t>ing</w:t>
      </w:r>
      <w:r w:rsidR="00ED2700" w:rsidRPr="00ED2700">
        <w:rPr>
          <w:rFonts w:eastAsia="MS Mincho"/>
          <w:bCs/>
          <w:sz w:val="20"/>
          <w:szCs w:val="26"/>
          <w:lang w:val="en-GB" w:eastAsia="en-GB"/>
        </w:rPr>
        <w:t xml:space="preserve"> reused for eV2X unicast link establishment. </w:t>
      </w:r>
    </w:p>
    <w:p w14:paraId="0608E42A" w14:textId="38AD5989" w:rsidR="00ED2700" w:rsidRDefault="00ED2700" w:rsidP="00F7372C">
      <w:pPr>
        <w:pStyle w:val="NormalWeb"/>
        <w:spacing w:before="0" w:beforeAutospacing="0" w:after="0" w:afterAutospacing="0"/>
        <w:rPr>
          <w:rFonts w:eastAsia="MS Mincho"/>
          <w:bCs/>
          <w:sz w:val="20"/>
          <w:szCs w:val="26"/>
          <w:lang w:val="en-GB" w:eastAsia="en-GB"/>
        </w:rPr>
      </w:pPr>
      <w:r>
        <w:rPr>
          <w:rFonts w:eastAsia="MS Mincho"/>
          <w:bCs/>
          <w:sz w:val="20"/>
          <w:szCs w:val="26"/>
          <w:lang w:val="en-GB" w:eastAsia="en-GB"/>
        </w:rPr>
        <w:t>Furthermore, s</w:t>
      </w:r>
      <w:r w:rsidR="00F7372C">
        <w:rPr>
          <w:rFonts w:eastAsia="MS Mincho"/>
          <w:bCs/>
          <w:sz w:val="20"/>
          <w:szCs w:val="26"/>
          <w:lang w:val="en-GB" w:eastAsia="en-GB"/>
        </w:rPr>
        <w:t xml:space="preserve">ince RACH is also not necessary, the motivation to establish and maintain a PC5-RRC connection for vehicular UEs is not clear. It makes the whole procedure more complicated than Uu </w:t>
      </w:r>
      <w:r>
        <w:rPr>
          <w:rFonts w:eastAsia="MS Mincho"/>
          <w:bCs/>
          <w:sz w:val="20"/>
          <w:szCs w:val="26"/>
          <w:lang w:val="en-GB" w:eastAsia="en-GB"/>
        </w:rPr>
        <w:t xml:space="preserve">RRC </w:t>
      </w:r>
      <w:r w:rsidR="00F7372C">
        <w:rPr>
          <w:rFonts w:eastAsia="MS Mincho"/>
          <w:bCs/>
          <w:sz w:val="20"/>
          <w:szCs w:val="26"/>
          <w:lang w:val="en-GB" w:eastAsia="en-GB"/>
        </w:rPr>
        <w:t>since a given UE may have multiple unicast links with multiple UEs as shown in figure 2. Correspondingly, i</w:t>
      </w:r>
      <w:r>
        <w:rPr>
          <w:rFonts w:eastAsia="MS Mincho"/>
          <w:bCs/>
          <w:sz w:val="20"/>
          <w:szCs w:val="26"/>
          <w:lang w:val="en-GB" w:eastAsia="en-GB"/>
        </w:rPr>
        <w:t>t might incur</w:t>
      </w:r>
      <w:r w:rsidR="00F7372C">
        <w:rPr>
          <w:rFonts w:eastAsia="MS Mincho"/>
          <w:bCs/>
          <w:sz w:val="20"/>
          <w:szCs w:val="26"/>
          <w:lang w:val="en-GB" w:eastAsia="en-GB"/>
        </w:rPr>
        <w:t xml:space="preserve"> unnecessary overhead to maintain multiple PC5-RRC states for the same UE. </w:t>
      </w:r>
    </w:p>
    <w:p w14:paraId="190BABB2" w14:textId="77777777" w:rsidR="00ED2700" w:rsidRDefault="00ED2700" w:rsidP="00F7372C">
      <w:pPr>
        <w:pStyle w:val="NormalWeb"/>
        <w:spacing w:before="0" w:beforeAutospacing="0" w:after="0" w:afterAutospacing="0"/>
        <w:rPr>
          <w:rFonts w:eastAsia="MS Mincho"/>
          <w:bCs/>
          <w:sz w:val="20"/>
          <w:szCs w:val="26"/>
          <w:lang w:val="en-GB" w:eastAsia="en-GB"/>
        </w:rPr>
      </w:pPr>
    </w:p>
    <w:p w14:paraId="51E83A1A" w14:textId="77777777" w:rsidR="00ED2700" w:rsidRDefault="00ED2700" w:rsidP="00ED2700">
      <w:pPr>
        <w:pStyle w:val="ListParagraph"/>
        <w:widowControl w:val="0"/>
        <w:tabs>
          <w:tab w:val="left" w:pos="907"/>
        </w:tabs>
        <w:spacing w:before="240" w:after="60" w:line="240" w:lineRule="auto"/>
        <w:ind w:left="0"/>
        <w:jc w:val="center"/>
        <w:outlineLvl w:val="2"/>
      </w:pPr>
      <w:r w:rsidRPr="000C24A6">
        <w:object w:dxaOrig="7444" w:dyaOrig="4298" w14:anchorId="2D41D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68.5pt" o:ole="">
            <v:imagedata r:id="rId9" o:title=""/>
          </v:shape>
          <o:OLEObject Type="Embed" ProgID="Visio.Drawing.11" ShapeID="_x0000_i1025" DrawAspect="Content" ObjectID="_1618340005" r:id="rId10"/>
        </w:object>
      </w:r>
    </w:p>
    <w:p w14:paraId="5509DB19" w14:textId="17897F9A" w:rsidR="00ED2700" w:rsidRDefault="00ED2700" w:rsidP="00ED2700">
      <w:pPr>
        <w:pStyle w:val="ListParagraph"/>
        <w:widowControl w:val="0"/>
        <w:tabs>
          <w:tab w:val="left" w:pos="907"/>
        </w:tabs>
        <w:spacing w:before="240" w:after="60" w:line="240" w:lineRule="auto"/>
        <w:ind w:left="0"/>
        <w:jc w:val="center"/>
        <w:outlineLvl w:val="2"/>
        <w:rPr>
          <w:sz w:val="20"/>
        </w:rPr>
      </w:pPr>
      <w:r w:rsidRPr="000F181A">
        <w:rPr>
          <w:sz w:val="20"/>
        </w:rPr>
        <w:t>Figure 1. Solution 11</w:t>
      </w:r>
      <w:r>
        <w:rPr>
          <w:sz w:val="20"/>
        </w:rPr>
        <w:t>. of TR 23.786</w:t>
      </w:r>
      <w:r w:rsidRPr="000F181A">
        <w:rPr>
          <w:sz w:val="20"/>
        </w:rPr>
        <w:t xml:space="preserve"> </w:t>
      </w:r>
      <w:r>
        <w:rPr>
          <w:sz w:val="20"/>
        </w:rPr>
        <w:t xml:space="preserve">(from TS 24.334) </w:t>
      </w:r>
      <w:r w:rsidRPr="000F181A">
        <w:rPr>
          <w:sz w:val="20"/>
        </w:rPr>
        <w:t>V2X service oriented layer 2 link establishment procedure</w:t>
      </w:r>
    </w:p>
    <w:p w14:paraId="07B70061" w14:textId="77777777" w:rsidR="00E430A0" w:rsidRPr="000F181A" w:rsidRDefault="00E430A0" w:rsidP="00ED2700">
      <w:pPr>
        <w:pStyle w:val="ListParagraph"/>
        <w:widowControl w:val="0"/>
        <w:tabs>
          <w:tab w:val="left" w:pos="907"/>
        </w:tabs>
        <w:spacing w:before="240" w:after="60" w:line="240" w:lineRule="auto"/>
        <w:ind w:left="0"/>
        <w:jc w:val="center"/>
        <w:outlineLvl w:val="2"/>
        <w:rPr>
          <w:rFonts w:ascii="Times New Roman" w:eastAsia="MS Mincho" w:hAnsi="Times New Roman"/>
          <w:bCs/>
          <w:sz w:val="18"/>
          <w:szCs w:val="26"/>
          <w:lang w:val="en-GB" w:eastAsia="en-GB"/>
        </w:rPr>
      </w:pPr>
    </w:p>
    <w:p w14:paraId="6FC680A3" w14:textId="352FD97A" w:rsidR="00ED2700" w:rsidRDefault="00E430A0" w:rsidP="0090331B">
      <w:pPr>
        <w:pStyle w:val="NormalWeb"/>
        <w:spacing w:before="0" w:beforeAutospacing="0" w:after="0" w:afterAutospacing="0"/>
        <w:jc w:val="center"/>
        <w:rPr>
          <w:rFonts w:eastAsia="MS Mincho"/>
          <w:bCs/>
          <w:sz w:val="20"/>
          <w:szCs w:val="26"/>
          <w:lang w:val="en-GB" w:eastAsia="en-GB"/>
        </w:rPr>
      </w:pPr>
      <w:r>
        <w:object w:dxaOrig="11460" w:dyaOrig="5571" w14:anchorId="285F30CA">
          <v:shape id="_x0000_i1026" type="#_x0000_t75" style="width:410.5pt;height:199.5pt" o:ole="">
            <v:imagedata r:id="rId11" o:title=""/>
          </v:shape>
          <o:OLEObject Type="Embed" ProgID="Visio.Drawing.15" ShapeID="_x0000_i1026" DrawAspect="Content" ObjectID="_1618340006" r:id="rId12"/>
        </w:object>
      </w:r>
    </w:p>
    <w:p w14:paraId="2D45DA22" w14:textId="77777777" w:rsidR="00ED2700" w:rsidRDefault="00ED2700" w:rsidP="00F7372C">
      <w:pPr>
        <w:pStyle w:val="NormalWeb"/>
        <w:spacing w:before="0" w:beforeAutospacing="0" w:after="0" w:afterAutospacing="0"/>
        <w:rPr>
          <w:rFonts w:eastAsia="MS Mincho"/>
          <w:bCs/>
          <w:sz w:val="20"/>
          <w:szCs w:val="26"/>
          <w:lang w:val="en-GB" w:eastAsia="en-GB"/>
        </w:rPr>
      </w:pPr>
    </w:p>
    <w:p w14:paraId="745E3568" w14:textId="357E1C3A" w:rsidR="00ED2700" w:rsidRDefault="00ED2700" w:rsidP="00ED2700">
      <w:pPr>
        <w:pStyle w:val="NormalWeb"/>
        <w:spacing w:before="0" w:beforeAutospacing="0" w:after="0" w:afterAutospacing="0"/>
        <w:jc w:val="center"/>
        <w:rPr>
          <w:rFonts w:asciiTheme="minorHAnsi" w:hAnsiTheme="minorHAnsi" w:cstheme="minorHAnsi"/>
          <w:sz w:val="20"/>
        </w:rPr>
      </w:pPr>
      <w:r w:rsidRPr="00ED2700">
        <w:rPr>
          <w:rFonts w:asciiTheme="minorHAnsi" w:hAnsiTheme="minorHAnsi" w:cstheme="minorHAnsi"/>
          <w:sz w:val="20"/>
        </w:rPr>
        <w:t xml:space="preserve">Figure 2. Example </w:t>
      </w:r>
      <w:r w:rsidR="00E430A0">
        <w:rPr>
          <w:rFonts w:asciiTheme="minorHAnsi" w:hAnsiTheme="minorHAnsi" w:cstheme="minorHAnsi"/>
          <w:sz w:val="20"/>
        </w:rPr>
        <w:t xml:space="preserve">showcasing </w:t>
      </w:r>
      <w:r w:rsidR="0090331B">
        <w:rPr>
          <w:rFonts w:asciiTheme="minorHAnsi" w:hAnsiTheme="minorHAnsi" w:cstheme="minorHAnsi"/>
          <w:sz w:val="20"/>
        </w:rPr>
        <w:t xml:space="preserve">NR </w:t>
      </w:r>
      <w:r w:rsidRPr="00ED2700">
        <w:rPr>
          <w:rFonts w:asciiTheme="minorHAnsi" w:hAnsiTheme="minorHAnsi" w:cstheme="minorHAnsi"/>
          <w:sz w:val="20"/>
        </w:rPr>
        <w:t>V2X UEs unicast communication</w:t>
      </w:r>
    </w:p>
    <w:p w14:paraId="264DA058" w14:textId="77777777" w:rsidR="00E430A0" w:rsidRPr="00ED2700" w:rsidRDefault="00E430A0" w:rsidP="00ED2700">
      <w:pPr>
        <w:pStyle w:val="NormalWeb"/>
        <w:spacing w:before="0" w:beforeAutospacing="0" w:after="0" w:afterAutospacing="0"/>
        <w:jc w:val="center"/>
        <w:rPr>
          <w:rFonts w:asciiTheme="minorHAnsi" w:eastAsia="MS Mincho" w:hAnsiTheme="minorHAnsi" w:cstheme="minorHAnsi"/>
          <w:bCs/>
          <w:sz w:val="20"/>
          <w:szCs w:val="26"/>
          <w:lang w:val="en-GB" w:eastAsia="en-GB"/>
        </w:rPr>
      </w:pPr>
    </w:p>
    <w:p w14:paraId="16C25983" w14:textId="2177153E" w:rsidR="00FC44BB" w:rsidRPr="00ED2700" w:rsidRDefault="00ED2700" w:rsidP="00F7372C">
      <w:pPr>
        <w:pStyle w:val="NormalWeb"/>
        <w:spacing w:before="0" w:beforeAutospacing="0" w:after="0" w:afterAutospacing="0"/>
        <w:rPr>
          <w:rFonts w:eastAsia="MS Mincho"/>
          <w:bCs/>
          <w:sz w:val="20"/>
          <w:szCs w:val="26"/>
          <w:lang w:val="en-GB" w:eastAsia="en-GB"/>
        </w:rPr>
      </w:pPr>
      <w:r>
        <w:rPr>
          <w:rFonts w:eastAsia="MS Mincho"/>
          <w:bCs/>
          <w:sz w:val="20"/>
          <w:szCs w:val="26"/>
          <w:lang w:val="en-GB" w:eastAsia="en-GB"/>
        </w:rPr>
        <w:t>Based on discussions above, i</w:t>
      </w:r>
      <w:r w:rsidR="00FC44BB">
        <w:rPr>
          <w:rFonts w:eastAsia="MS Mincho"/>
          <w:bCs/>
          <w:sz w:val="20"/>
          <w:szCs w:val="26"/>
          <w:lang w:val="en-GB" w:eastAsia="en-GB"/>
        </w:rPr>
        <w:t>n order to avoid standardization complexity, we think that it is not necessary to establish a specific PC5-RRC based connection between the sidelink V2X UEs for the purpose of u</w:t>
      </w:r>
      <w:r>
        <w:rPr>
          <w:rFonts w:eastAsia="MS Mincho"/>
          <w:bCs/>
          <w:sz w:val="20"/>
          <w:szCs w:val="26"/>
          <w:lang w:val="en-GB" w:eastAsia="en-GB"/>
        </w:rPr>
        <w:t xml:space="preserve">nicast communication only. </w:t>
      </w:r>
      <w:r w:rsidR="00FC44BB">
        <w:rPr>
          <w:rFonts w:eastAsia="MS Mincho"/>
          <w:bCs/>
          <w:sz w:val="20"/>
          <w:szCs w:val="26"/>
          <w:lang w:val="en-GB" w:eastAsia="en-GB"/>
        </w:rPr>
        <w:t>The possible sig</w:t>
      </w:r>
      <w:r w:rsidR="00F7372C">
        <w:rPr>
          <w:rFonts w:eastAsia="MS Mincho"/>
          <w:bCs/>
          <w:sz w:val="20"/>
          <w:szCs w:val="26"/>
          <w:lang w:val="en-GB" w:eastAsia="en-GB"/>
        </w:rPr>
        <w:t>nalling exchange showcasing the</w:t>
      </w:r>
      <w:r w:rsidR="00FC44BB">
        <w:rPr>
          <w:rFonts w:eastAsia="MS Mincho"/>
          <w:bCs/>
          <w:sz w:val="20"/>
          <w:szCs w:val="26"/>
          <w:lang w:val="en-GB" w:eastAsia="en-GB"/>
        </w:rPr>
        <w:t xml:space="preserve"> option </w:t>
      </w:r>
      <w:r w:rsidR="00F7372C">
        <w:rPr>
          <w:rFonts w:eastAsia="MS Mincho"/>
          <w:bCs/>
          <w:sz w:val="20"/>
          <w:szCs w:val="26"/>
          <w:lang w:val="en-GB" w:eastAsia="en-GB"/>
        </w:rPr>
        <w:t xml:space="preserve">of upper layer connection establishment followed by PC5-RRC exchange </w:t>
      </w:r>
      <w:r w:rsidR="00FC44BB">
        <w:rPr>
          <w:rFonts w:eastAsia="MS Mincho"/>
          <w:bCs/>
          <w:sz w:val="20"/>
          <w:szCs w:val="26"/>
          <w:lang w:val="en-GB" w:eastAsia="en-GB"/>
        </w:rPr>
        <w:t xml:space="preserve">is </w:t>
      </w:r>
      <w:r w:rsidR="00F7372C">
        <w:rPr>
          <w:rFonts w:eastAsia="MS Mincho"/>
          <w:bCs/>
          <w:sz w:val="20"/>
          <w:szCs w:val="26"/>
          <w:lang w:val="en-GB" w:eastAsia="en-GB"/>
        </w:rPr>
        <w:t xml:space="preserve">shown </w:t>
      </w:r>
      <w:r w:rsidR="00FC44BB">
        <w:rPr>
          <w:rFonts w:eastAsia="MS Mincho"/>
          <w:bCs/>
          <w:sz w:val="20"/>
          <w:szCs w:val="26"/>
          <w:lang w:val="en-GB" w:eastAsia="en-GB"/>
        </w:rPr>
        <w:t xml:space="preserve">in figure 3. </w:t>
      </w:r>
    </w:p>
    <w:p w14:paraId="53F1CB0B" w14:textId="3140EEC7" w:rsidR="00FC44BB" w:rsidRDefault="00FC44BB" w:rsidP="00FC44BB">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sidR="00F7372C">
        <w:rPr>
          <w:rFonts w:ascii="Times New Roman" w:eastAsia="Malgun Gothic" w:hAnsi="Times New Roman"/>
          <w:b/>
          <w:sz w:val="20"/>
          <w:szCs w:val="20"/>
          <w:lang w:val="en-GB" w:eastAsia="zh-CN"/>
        </w:rPr>
        <w:t>1</w:t>
      </w:r>
      <w:r w:rsidR="0090331B">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RAN2 to consider SL PC5-RRC signalling </w:t>
      </w:r>
      <w:r w:rsidR="00ED2700">
        <w:rPr>
          <w:rFonts w:ascii="Times New Roman" w:eastAsia="Malgun Gothic" w:hAnsi="Times New Roman"/>
          <w:i/>
          <w:sz w:val="20"/>
          <w:szCs w:val="20"/>
          <w:lang w:val="en-GB" w:eastAsia="zh-CN"/>
        </w:rPr>
        <w:t xml:space="preserve">only </w:t>
      </w:r>
      <w:r>
        <w:rPr>
          <w:rFonts w:ascii="Times New Roman" w:eastAsia="Malgun Gothic" w:hAnsi="Times New Roman"/>
          <w:i/>
          <w:sz w:val="20"/>
          <w:szCs w:val="20"/>
          <w:lang w:val="en-GB" w:eastAsia="zh-CN"/>
        </w:rPr>
        <w:t>for capabilities and configuration exchange between two V2X UEs and rely on upper layer for connection establishment to support unicast communication.</w:t>
      </w:r>
    </w:p>
    <w:p w14:paraId="30E3FEA9" w14:textId="77777777" w:rsidR="008B1AAA" w:rsidRDefault="008B1AAA" w:rsidP="00FC44BB">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271890B6" w14:textId="77777777" w:rsidR="008B1AAA" w:rsidRDefault="008B1AAA" w:rsidP="008B1AAA">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lastRenderedPageBreak/>
        <w:t>It is understood that the direct connection establishment maintained at the upper layer is on a per-service level. However, PC5-RRC signalling can be done on per-UE-pair level. It is FFS if a corresponding UE ID needs to be defined.</w:t>
      </w:r>
    </w:p>
    <w:p w14:paraId="3126051E" w14:textId="77777777" w:rsidR="008B1AAA" w:rsidRDefault="008B1AAA" w:rsidP="008B1AAA">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85EAB29" w14:textId="07F848AD" w:rsidR="008B1AAA" w:rsidRDefault="008B1AAA" w:rsidP="008B1AAA">
      <w:pPr>
        <w:pStyle w:val="ListParagraph"/>
        <w:widowControl w:val="0"/>
        <w:tabs>
          <w:tab w:val="left" w:pos="907"/>
        </w:tabs>
        <w:spacing w:before="240" w:after="60" w:line="240" w:lineRule="auto"/>
        <w:ind w:left="0"/>
        <w:jc w:val="center"/>
        <w:outlineLvl w:val="2"/>
        <w:rPr>
          <w:rFonts w:ascii="Times New Roman" w:eastAsia="MS Mincho" w:hAnsi="Times New Roman"/>
          <w:bCs/>
          <w:sz w:val="20"/>
          <w:szCs w:val="26"/>
          <w:lang w:val="en-GB" w:eastAsia="en-GB"/>
        </w:rPr>
      </w:pPr>
      <w:r>
        <w:object w:dxaOrig="6051" w:dyaOrig="6131" w14:anchorId="1A9F234C">
          <v:shape id="_x0000_i1027" type="#_x0000_t75" style="width:218.5pt;height:221.5pt" o:ole="">
            <v:imagedata r:id="rId13" o:title=""/>
          </v:shape>
          <o:OLEObject Type="Embed" ProgID="Visio.Drawing.15" ShapeID="_x0000_i1027" DrawAspect="Content" ObjectID="_1618340007" r:id="rId14"/>
        </w:object>
      </w:r>
    </w:p>
    <w:p w14:paraId="35AD673F" w14:textId="0E746B3F" w:rsidR="008B1AAA" w:rsidRDefault="008B1AAA" w:rsidP="00FC44BB">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79442F6B" w14:textId="1808CB5E" w:rsidR="00FC44BB" w:rsidRPr="00071C64" w:rsidRDefault="00FC44BB" w:rsidP="00FC44BB">
      <w:pPr>
        <w:pStyle w:val="ListParagraph"/>
        <w:widowControl w:val="0"/>
        <w:tabs>
          <w:tab w:val="left" w:pos="907"/>
        </w:tabs>
        <w:spacing w:before="240" w:after="60" w:line="240" w:lineRule="auto"/>
        <w:ind w:left="0"/>
        <w:jc w:val="center"/>
        <w:outlineLvl w:val="2"/>
        <w:rPr>
          <w:rFonts w:ascii="Times New Roman" w:eastAsia="MS Mincho" w:hAnsi="Times New Roman"/>
          <w:bCs/>
          <w:sz w:val="18"/>
          <w:szCs w:val="26"/>
          <w:lang w:val="en-GB" w:eastAsia="en-GB"/>
        </w:rPr>
      </w:pPr>
      <w:r w:rsidRPr="00071C64">
        <w:rPr>
          <w:sz w:val="20"/>
        </w:rPr>
        <w:t xml:space="preserve">Figure 3. PC5-RRC signalling exchange </w:t>
      </w:r>
      <w:r w:rsidR="00F7372C">
        <w:rPr>
          <w:sz w:val="20"/>
        </w:rPr>
        <w:t>after</w:t>
      </w:r>
      <w:r w:rsidRPr="00071C64">
        <w:rPr>
          <w:sz w:val="20"/>
        </w:rPr>
        <w:t xml:space="preserve"> direct communication link setup</w:t>
      </w:r>
    </w:p>
    <w:p w14:paraId="47DC04FF" w14:textId="77777777" w:rsidR="00FC44BB" w:rsidRDefault="00FC44BB"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EB87E7B" w14:textId="633AE54C" w:rsidR="00FC44BB" w:rsidRDefault="004C3934" w:rsidP="00FC44BB">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Need for PC5-RRC state</w:t>
      </w:r>
    </w:p>
    <w:p w14:paraId="353E1D1F" w14:textId="77777777" w:rsidR="004C3934" w:rsidRDefault="004C3934"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64ACA5CA" w14:textId="1CD7AEA5" w:rsidR="004B3197" w:rsidRDefault="003A5DE0"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Some of t</w:t>
      </w:r>
      <w:r w:rsidR="004C3934">
        <w:rPr>
          <w:rFonts w:ascii="Times New Roman" w:eastAsia="MS Mincho" w:hAnsi="Times New Roman"/>
          <w:bCs/>
          <w:sz w:val="20"/>
          <w:szCs w:val="26"/>
          <w:lang w:val="en-GB" w:eastAsia="en-GB"/>
        </w:rPr>
        <w:t xml:space="preserve">he </w:t>
      </w:r>
      <w:r w:rsidR="008F0CB7">
        <w:rPr>
          <w:rFonts w:ascii="Times New Roman" w:eastAsia="MS Mincho" w:hAnsi="Times New Roman"/>
          <w:bCs/>
          <w:sz w:val="20"/>
          <w:szCs w:val="26"/>
          <w:lang w:val="en-GB" w:eastAsia="en-GB"/>
        </w:rPr>
        <w:t xml:space="preserve">primary </w:t>
      </w:r>
      <w:r w:rsidR="004C3934">
        <w:rPr>
          <w:rFonts w:ascii="Times New Roman" w:eastAsia="MS Mincho" w:hAnsi="Times New Roman"/>
          <w:bCs/>
          <w:sz w:val="20"/>
          <w:szCs w:val="26"/>
          <w:lang w:val="en-GB" w:eastAsia="en-GB"/>
        </w:rPr>
        <w:t>motivation</w:t>
      </w:r>
      <w:r w:rsidR="008F0CB7">
        <w:rPr>
          <w:rFonts w:ascii="Times New Roman" w:eastAsia="MS Mincho" w:hAnsi="Times New Roman"/>
          <w:bCs/>
          <w:sz w:val="20"/>
          <w:szCs w:val="26"/>
          <w:lang w:val="en-GB" w:eastAsia="en-GB"/>
        </w:rPr>
        <w:t>s</w:t>
      </w:r>
      <w:r w:rsidR="004C3934">
        <w:rPr>
          <w:rFonts w:ascii="Times New Roman" w:eastAsia="MS Mincho" w:hAnsi="Times New Roman"/>
          <w:bCs/>
          <w:sz w:val="20"/>
          <w:szCs w:val="26"/>
          <w:lang w:val="en-GB" w:eastAsia="en-GB"/>
        </w:rPr>
        <w:t xml:space="preserve"> for </w:t>
      </w:r>
      <w:r>
        <w:rPr>
          <w:rFonts w:ascii="Times New Roman" w:eastAsia="MS Mincho" w:hAnsi="Times New Roman"/>
          <w:bCs/>
          <w:sz w:val="20"/>
          <w:szCs w:val="26"/>
          <w:lang w:val="en-GB" w:eastAsia="en-GB"/>
        </w:rPr>
        <w:t xml:space="preserve">the introduction of </w:t>
      </w:r>
      <w:r w:rsidR="008F0CB7">
        <w:rPr>
          <w:rFonts w:ascii="Times New Roman" w:eastAsia="MS Mincho" w:hAnsi="Times New Roman"/>
          <w:bCs/>
          <w:sz w:val="20"/>
          <w:szCs w:val="26"/>
          <w:lang w:val="en-GB" w:eastAsia="en-GB"/>
        </w:rPr>
        <w:t xml:space="preserve">different RRC states </w:t>
      </w:r>
      <w:r>
        <w:rPr>
          <w:rFonts w:ascii="Times New Roman" w:eastAsia="MS Mincho" w:hAnsi="Times New Roman"/>
          <w:bCs/>
          <w:sz w:val="20"/>
          <w:szCs w:val="26"/>
          <w:lang w:val="en-GB" w:eastAsia="en-GB"/>
        </w:rPr>
        <w:t>in</w:t>
      </w:r>
      <w:r w:rsidR="008F0CB7">
        <w:rPr>
          <w:rFonts w:ascii="Times New Roman" w:eastAsia="MS Mincho" w:hAnsi="Times New Roman"/>
          <w:bCs/>
          <w:sz w:val="20"/>
          <w:szCs w:val="26"/>
          <w:lang w:val="en-GB" w:eastAsia="en-GB"/>
        </w:rPr>
        <w:t xml:space="preserve"> Uu are to save UE power and reduce overhead in the network. Both are not </w:t>
      </w:r>
      <w:r>
        <w:rPr>
          <w:rFonts w:ascii="Times New Roman" w:eastAsia="MS Mincho" w:hAnsi="Times New Roman"/>
          <w:bCs/>
          <w:sz w:val="20"/>
          <w:szCs w:val="26"/>
          <w:lang w:val="en-GB" w:eastAsia="en-GB"/>
        </w:rPr>
        <w:t>applicable</w:t>
      </w:r>
      <w:r w:rsidR="008F0CB7">
        <w:rPr>
          <w:rFonts w:ascii="Times New Roman" w:eastAsia="MS Mincho" w:hAnsi="Times New Roman"/>
          <w:bCs/>
          <w:sz w:val="20"/>
          <w:szCs w:val="26"/>
          <w:lang w:val="en-GB" w:eastAsia="en-GB"/>
        </w:rPr>
        <w:t xml:space="preserve"> for V2X UE</w:t>
      </w:r>
      <w:r>
        <w:rPr>
          <w:rFonts w:ascii="Times New Roman" w:eastAsia="MS Mincho" w:hAnsi="Times New Roman"/>
          <w:bCs/>
          <w:sz w:val="20"/>
          <w:szCs w:val="26"/>
          <w:lang w:val="en-GB" w:eastAsia="en-GB"/>
        </w:rPr>
        <w:t>s w</w:t>
      </w:r>
      <w:r w:rsidR="008F0CB7">
        <w:rPr>
          <w:rFonts w:ascii="Times New Roman" w:eastAsia="MS Mincho" w:hAnsi="Times New Roman"/>
          <w:bCs/>
          <w:sz w:val="20"/>
          <w:szCs w:val="26"/>
          <w:lang w:val="en-GB" w:eastAsia="en-GB"/>
        </w:rPr>
        <w:t xml:space="preserve">hich would most likely correspond to vehicles. </w:t>
      </w:r>
      <w:r>
        <w:rPr>
          <w:rFonts w:ascii="Times New Roman" w:eastAsia="MS Mincho" w:hAnsi="Times New Roman"/>
          <w:bCs/>
          <w:sz w:val="20"/>
          <w:szCs w:val="26"/>
          <w:lang w:val="en-GB" w:eastAsia="en-GB"/>
        </w:rPr>
        <w:t xml:space="preserve">Platooning is an advanced V2X use case wherein </w:t>
      </w:r>
      <w:r w:rsidR="00E94F28">
        <w:rPr>
          <w:rFonts w:ascii="Times New Roman" w:eastAsia="MS Mincho" w:hAnsi="Times New Roman"/>
          <w:bCs/>
          <w:sz w:val="20"/>
          <w:szCs w:val="26"/>
          <w:lang w:val="en-GB" w:eastAsia="en-GB"/>
        </w:rPr>
        <w:t>a</w:t>
      </w:r>
      <w:r>
        <w:rPr>
          <w:rFonts w:ascii="Times New Roman" w:eastAsia="MS Mincho" w:hAnsi="Times New Roman"/>
          <w:bCs/>
          <w:sz w:val="20"/>
          <w:szCs w:val="26"/>
          <w:lang w:val="en-GB" w:eastAsia="en-GB"/>
        </w:rPr>
        <w:t xml:space="preserve"> group of UEs </w:t>
      </w:r>
      <w:r w:rsidR="00E94F28">
        <w:rPr>
          <w:rFonts w:ascii="Times New Roman" w:eastAsia="MS Mincho" w:hAnsi="Times New Roman"/>
          <w:bCs/>
          <w:sz w:val="20"/>
          <w:szCs w:val="26"/>
          <w:lang w:val="en-GB" w:eastAsia="en-GB"/>
        </w:rPr>
        <w:t xml:space="preserve">potentially </w:t>
      </w:r>
      <w:r>
        <w:rPr>
          <w:rFonts w:ascii="Times New Roman" w:eastAsia="MS Mincho" w:hAnsi="Times New Roman"/>
          <w:bCs/>
          <w:sz w:val="20"/>
          <w:szCs w:val="26"/>
          <w:lang w:val="en-GB" w:eastAsia="en-GB"/>
        </w:rPr>
        <w:t xml:space="preserve">stay together over a long period of time, however, </w:t>
      </w:r>
      <w:r w:rsidR="00E94F28">
        <w:rPr>
          <w:rFonts w:ascii="Times New Roman" w:eastAsia="MS Mincho" w:hAnsi="Times New Roman"/>
          <w:bCs/>
          <w:sz w:val="20"/>
          <w:szCs w:val="26"/>
          <w:lang w:val="en-GB" w:eastAsia="en-GB"/>
        </w:rPr>
        <w:t>this utilizes</w:t>
      </w:r>
      <w:r>
        <w:rPr>
          <w:rFonts w:ascii="Times New Roman" w:eastAsia="MS Mincho" w:hAnsi="Times New Roman"/>
          <w:bCs/>
          <w:sz w:val="20"/>
          <w:szCs w:val="26"/>
          <w:lang w:val="en-GB" w:eastAsia="en-GB"/>
        </w:rPr>
        <w:t xml:space="preserve"> groupcast mode of communication and PC5-RRC is not being considered </w:t>
      </w:r>
      <w:r w:rsidR="006401C0">
        <w:rPr>
          <w:rFonts w:ascii="Times New Roman" w:eastAsia="MS Mincho" w:hAnsi="Times New Roman"/>
          <w:bCs/>
          <w:sz w:val="20"/>
          <w:szCs w:val="26"/>
          <w:lang w:val="en-GB" w:eastAsia="en-GB"/>
        </w:rPr>
        <w:t>for this case. I</w:t>
      </w:r>
      <w:r>
        <w:rPr>
          <w:rFonts w:ascii="Times New Roman" w:eastAsia="MS Mincho" w:hAnsi="Times New Roman"/>
          <w:bCs/>
          <w:sz w:val="20"/>
          <w:szCs w:val="26"/>
          <w:lang w:val="en-GB" w:eastAsia="en-GB"/>
        </w:rPr>
        <w:t>t is not clear why V2X UEs would need to enter PC5-RRC_IDLE state and re-enter connected state wishing to connect to the same UEs as before.</w:t>
      </w:r>
      <w:r w:rsidR="00E94F28">
        <w:rPr>
          <w:rFonts w:ascii="Times New Roman" w:eastAsia="MS Mincho" w:hAnsi="Times New Roman"/>
          <w:bCs/>
          <w:sz w:val="20"/>
          <w:szCs w:val="26"/>
          <w:lang w:val="en-GB" w:eastAsia="en-GB"/>
        </w:rPr>
        <w:t xml:space="preserve"> Similarly, r</w:t>
      </w:r>
      <w:r>
        <w:rPr>
          <w:rFonts w:ascii="Times New Roman" w:eastAsia="MS Mincho" w:hAnsi="Times New Roman"/>
          <w:bCs/>
          <w:sz w:val="20"/>
          <w:szCs w:val="26"/>
          <w:lang w:val="en-GB" w:eastAsia="en-GB"/>
        </w:rPr>
        <w:t xml:space="preserve">eferring </w:t>
      </w:r>
      <w:r w:rsidR="00E94F28">
        <w:rPr>
          <w:rFonts w:ascii="Times New Roman" w:eastAsia="MS Mincho" w:hAnsi="Times New Roman"/>
          <w:bCs/>
          <w:sz w:val="20"/>
          <w:szCs w:val="26"/>
          <w:lang w:val="en-GB" w:eastAsia="en-GB"/>
        </w:rPr>
        <w:t xml:space="preserve">to table 1 details, suspension of PC5-RRC ‘connection’ between two V2X UEs is not seen as necessary to save </w:t>
      </w:r>
      <w:r w:rsidR="00A40862">
        <w:rPr>
          <w:rFonts w:ascii="Times New Roman" w:eastAsia="MS Mincho" w:hAnsi="Times New Roman"/>
          <w:bCs/>
          <w:sz w:val="20"/>
          <w:szCs w:val="26"/>
          <w:lang w:val="en-GB" w:eastAsia="en-GB"/>
        </w:rPr>
        <w:t xml:space="preserve">UE </w:t>
      </w:r>
      <w:r w:rsidR="00E94F28">
        <w:rPr>
          <w:rFonts w:ascii="Times New Roman" w:eastAsia="MS Mincho" w:hAnsi="Times New Roman"/>
          <w:bCs/>
          <w:sz w:val="20"/>
          <w:szCs w:val="26"/>
          <w:lang w:val="en-GB" w:eastAsia="en-GB"/>
        </w:rPr>
        <w:t xml:space="preserve">power or </w:t>
      </w:r>
      <w:r w:rsidR="00A40862">
        <w:rPr>
          <w:rFonts w:ascii="Times New Roman" w:eastAsia="MS Mincho" w:hAnsi="Times New Roman"/>
          <w:bCs/>
          <w:sz w:val="20"/>
          <w:szCs w:val="26"/>
          <w:lang w:val="en-GB" w:eastAsia="en-GB"/>
        </w:rPr>
        <w:t xml:space="preserve">UE’s </w:t>
      </w:r>
      <w:r w:rsidR="00E94F28">
        <w:rPr>
          <w:rFonts w:ascii="Times New Roman" w:eastAsia="MS Mincho" w:hAnsi="Times New Roman"/>
          <w:bCs/>
          <w:sz w:val="20"/>
          <w:szCs w:val="26"/>
          <w:lang w:val="en-GB" w:eastAsia="en-GB"/>
        </w:rPr>
        <w:t>context at a cen</w:t>
      </w:r>
      <w:r w:rsidR="004B3197">
        <w:rPr>
          <w:rFonts w:ascii="Times New Roman" w:eastAsia="MS Mincho" w:hAnsi="Times New Roman"/>
          <w:bCs/>
          <w:sz w:val="20"/>
          <w:szCs w:val="26"/>
          <w:lang w:val="en-GB" w:eastAsia="en-GB"/>
        </w:rPr>
        <w:t xml:space="preserve">tral node. </w:t>
      </w:r>
      <w:r w:rsidR="006401C0">
        <w:rPr>
          <w:rFonts w:ascii="Times New Roman" w:eastAsia="MS Mincho" w:hAnsi="Times New Roman"/>
          <w:bCs/>
          <w:sz w:val="20"/>
          <w:szCs w:val="26"/>
          <w:lang w:val="en-GB" w:eastAsia="en-GB"/>
        </w:rPr>
        <w:t xml:space="preserve">Thereby, PC5-RRC is considered to be ‘always on’ as long as upper layer does not indicate that the direct communication is released. </w:t>
      </w:r>
      <w:r w:rsidR="004B3197">
        <w:rPr>
          <w:rFonts w:ascii="Times New Roman" w:eastAsia="MS Mincho" w:hAnsi="Times New Roman"/>
          <w:bCs/>
          <w:sz w:val="20"/>
          <w:szCs w:val="26"/>
          <w:lang w:val="en-GB" w:eastAsia="en-GB"/>
        </w:rPr>
        <w:t>Considering the two options discussed during last RAN2 meeting as outlined below, we p</w:t>
      </w:r>
      <w:r w:rsidR="006401C0">
        <w:rPr>
          <w:rFonts w:ascii="Times New Roman" w:eastAsia="MS Mincho" w:hAnsi="Times New Roman"/>
          <w:bCs/>
          <w:sz w:val="20"/>
          <w:szCs w:val="26"/>
          <w:lang w:val="en-GB" w:eastAsia="en-GB"/>
        </w:rPr>
        <w:t>refer option 2 for UE’s state</w:t>
      </w:r>
      <w:r w:rsidR="00DD4719">
        <w:rPr>
          <w:rFonts w:ascii="Times New Roman" w:eastAsia="MS Mincho" w:hAnsi="Times New Roman"/>
          <w:bCs/>
          <w:sz w:val="20"/>
          <w:szCs w:val="26"/>
          <w:lang w:val="en-GB" w:eastAsia="en-GB"/>
        </w:rPr>
        <w:t xml:space="preserve">. </w:t>
      </w:r>
    </w:p>
    <w:p w14:paraId="78E7E03A" w14:textId="59741C54" w:rsidR="00DD4719" w:rsidRPr="00A40862" w:rsidRDefault="00DD4719" w:rsidP="00DD4719">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b/>
      </w:r>
      <w:r>
        <w:rPr>
          <w:rFonts w:ascii="Times New Roman" w:eastAsia="MS Mincho" w:hAnsi="Times New Roman"/>
          <w:bCs/>
          <w:sz w:val="20"/>
          <w:szCs w:val="26"/>
          <w:lang w:val="en-GB" w:eastAsia="en-GB"/>
        </w:rPr>
        <w:tab/>
        <w:t xml:space="preserve">- </w:t>
      </w:r>
      <w:r w:rsidRPr="00A40862">
        <w:rPr>
          <w:rFonts w:ascii="Times New Roman" w:eastAsia="MS Mincho" w:hAnsi="Times New Roman"/>
          <w:bCs/>
          <w:sz w:val="20"/>
          <w:szCs w:val="26"/>
          <w:lang w:val="en-GB" w:eastAsia="en-GB"/>
        </w:rPr>
        <w:t xml:space="preserve"> Option 1: Define PC5-RRC state for unicast operation</w:t>
      </w:r>
      <w:r w:rsidR="00111372">
        <w:rPr>
          <w:rFonts w:ascii="Times New Roman" w:eastAsia="MS Mincho" w:hAnsi="Times New Roman"/>
          <w:bCs/>
          <w:sz w:val="20"/>
          <w:szCs w:val="26"/>
          <w:lang w:val="en-GB" w:eastAsia="en-GB"/>
        </w:rPr>
        <w:t>, wherein PC5-RRC connection has to be explicitly established through additional signalling (after PC5-S connection is established) and its state is maintained by establishing and releasing of the connection</w:t>
      </w:r>
      <w:r w:rsidRPr="00A40862">
        <w:rPr>
          <w:rFonts w:ascii="Times New Roman" w:eastAsia="MS Mincho" w:hAnsi="Times New Roman"/>
          <w:bCs/>
          <w:sz w:val="20"/>
          <w:szCs w:val="26"/>
          <w:lang w:val="en-GB" w:eastAsia="en-GB"/>
        </w:rPr>
        <w:t>.</w:t>
      </w:r>
    </w:p>
    <w:p w14:paraId="7291FC5D" w14:textId="0C3462A7" w:rsidR="00DD4719" w:rsidRDefault="00DD4719" w:rsidP="0090331B">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b/>
      </w:r>
      <w:r>
        <w:rPr>
          <w:rFonts w:ascii="Times New Roman" w:eastAsia="MS Mincho" w:hAnsi="Times New Roman"/>
          <w:bCs/>
          <w:sz w:val="20"/>
          <w:szCs w:val="26"/>
          <w:lang w:val="en-GB" w:eastAsia="en-GB"/>
        </w:rPr>
        <w:tab/>
        <w:t xml:space="preserve">-  </w:t>
      </w:r>
      <w:r w:rsidRPr="00A40862">
        <w:rPr>
          <w:rFonts w:ascii="Times New Roman" w:eastAsia="MS Mincho" w:hAnsi="Times New Roman"/>
          <w:bCs/>
          <w:sz w:val="20"/>
          <w:szCs w:val="26"/>
          <w:lang w:val="en-GB" w:eastAsia="en-GB"/>
        </w:rPr>
        <w:t>Option 2: Refer to PC5-S state for unicast operation</w:t>
      </w:r>
      <w:r w:rsidR="00740DCF">
        <w:rPr>
          <w:rFonts w:ascii="Times New Roman" w:eastAsia="MS Mincho" w:hAnsi="Times New Roman"/>
          <w:bCs/>
          <w:sz w:val="20"/>
          <w:szCs w:val="26"/>
          <w:lang w:val="en-GB" w:eastAsia="en-GB"/>
        </w:rPr>
        <w:t xml:space="preserve">, wherein it is assumed that PC5-RRC </w:t>
      </w:r>
      <w:r w:rsidR="00111372">
        <w:rPr>
          <w:rFonts w:ascii="Times New Roman" w:eastAsia="MS Mincho" w:hAnsi="Times New Roman"/>
          <w:bCs/>
          <w:sz w:val="20"/>
          <w:szCs w:val="26"/>
          <w:lang w:val="en-GB" w:eastAsia="en-GB"/>
        </w:rPr>
        <w:t xml:space="preserve">is active and </w:t>
      </w:r>
      <w:r w:rsidR="00740DCF">
        <w:rPr>
          <w:rFonts w:ascii="Times New Roman" w:eastAsia="MS Mincho" w:hAnsi="Times New Roman"/>
          <w:bCs/>
          <w:sz w:val="20"/>
          <w:szCs w:val="26"/>
          <w:lang w:val="en-GB" w:eastAsia="en-GB"/>
        </w:rPr>
        <w:t xml:space="preserve">exchange </w:t>
      </w:r>
      <w:r w:rsidR="00111372">
        <w:rPr>
          <w:rFonts w:ascii="Times New Roman" w:eastAsia="MS Mincho" w:hAnsi="Times New Roman"/>
          <w:bCs/>
          <w:sz w:val="20"/>
          <w:szCs w:val="26"/>
          <w:lang w:val="en-GB" w:eastAsia="en-GB"/>
        </w:rPr>
        <w:t>of signalling</w:t>
      </w:r>
      <w:r w:rsidR="00740DCF">
        <w:rPr>
          <w:rFonts w:ascii="Times New Roman" w:eastAsia="MS Mincho" w:hAnsi="Times New Roman"/>
          <w:bCs/>
          <w:sz w:val="20"/>
          <w:szCs w:val="26"/>
          <w:lang w:val="en-GB" w:eastAsia="en-GB"/>
        </w:rPr>
        <w:t xml:space="preserve"> viable as long as upper layer direct communication esta</w:t>
      </w:r>
      <w:r w:rsidR="00111372">
        <w:rPr>
          <w:rFonts w:ascii="Times New Roman" w:eastAsia="MS Mincho" w:hAnsi="Times New Roman"/>
          <w:bCs/>
          <w:sz w:val="20"/>
          <w:szCs w:val="26"/>
          <w:lang w:val="en-GB" w:eastAsia="en-GB"/>
        </w:rPr>
        <w:t>blishment is still valid (i.e</w:t>
      </w:r>
      <w:r w:rsidR="00740DCF">
        <w:rPr>
          <w:rFonts w:ascii="Times New Roman" w:eastAsia="MS Mincho" w:hAnsi="Times New Roman"/>
          <w:bCs/>
          <w:sz w:val="20"/>
          <w:szCs w:val="26"/>
          <w:lang w:val="en-GB" w:eastAsia="en-GB"/>
        </w:rPr>
        <w:t xml:space="preserve">. upper layer </w:t>
      </w:r>
      <w:r w:rsidR="00111372">
        <w:rPr>
          <w:rFonts w:ascii="Times New Roman" w:eastAsia="MS Mincho" w:hAnsi="Times New Roman"/>
          <w:bCs/>
          <w:sz w:val="20"/>
          <w:szCs w:val="26"/>
          <w:lang w:val="en-GB" w:eastAsia="en-GB"/>
        </w:rPr>
        <w:t>has</w:t>
      </w:r>
      <w:r w:rsidR="00740DCF">
        <w:rPr>
          <w:rFonts w:ascii="Times New Roman" w:eastAsia="MS Mincho" w:hAnsi="Times New Roman"/>
          <w:bCs/>
          <w:sz w:val="20"/>
          <w:szCs w:val="26"/>
          <w:lang w:val="en-GB" w:eastAsia="en-GB"/>
        </w:rPr>
        <w:t xml:space="preserve"> not indicate</w:t>
      </w:r>
      <w:r w:rsidR="00111372">
        <w:rPr>
          <w:rFonts w:ascii="Times New Roman" w:eastAsia="MS Mincho" w:hAnsi="Times New Roman"/>
          <w:bCs/>
          <w:sz w:val="20"/>
          <w:szCs w:val="26"/>
          <w:lang w:val="en-GB" w:eastAsia="en-GB"/>
        </w:rPr>
        <w:t>d</w:t>
      </w:r>
      <w:r w:rsidR="00740DCF">
        <w:rPr>
          <w:rFonts w:ascii="Times New Roman" w:eastAsia="MS Mincho" w:hAnsi="Times New Roman"/>
          <w:bCs/>
          <w:sz w:val="20"/>
          <w:szCs w:val="26"/>
          <w:lang w:val="en-GB" w:eastAsia="en-GB"/>
        </w:rPr>
        <w:t xml:space="preserve"> release of the connection) </w:t>
      </w:r>
      <w:r w:rsidR="00111372">
        <w:rPr>
          <w:rFonts w:ascii="Times New Roman" w:eastAsia="MS Mincho" w:hAnsi="Times New Roman"/>
          <w:bCs/>
          <w:sz w:val="20"/>
          <w:szCs w:val="26"/>
          <w:lang w:val="en-GB" w:eastAsia="en-GB"/>
        </w:rPr>
        <w:t xml:space="preserve">and security procedure is completed. </w:t>
      </w:r>
    </w:p>
    <w:p w14:paraId="116D3760" w14:textId="77777777" w:rsidR="00DD4719" w:rsidRDefault="00DD4719" w:rsidP="00FC44BB">
      <w:pPr>
        <w:pStyle w:val="ListParagraph"/>
        <w:widowControl w:val="0"/>
        <w:tabs>
          <w:tab w:val="left" w:pos="907"/>
        </w:tabs>
        <w:spacing w:before="240" w:after="60" w:line="240" w:lineRule="auto"/>
        <w:ind w:left="0"/>
        <w:outlineLvl w:val="2"/>
        <w:rPr>
          <w:rFonts w:ascii="Times New Roman" w:eastAsia="Malgun Gothic" w:hAnsi="Times New Roman"/>
          <w:b/>
          <w:sz w:val="20"/>
          <w:szCs w:val="20"/>
          <w:lang w:val="en-GB" w:eastAsia="zh-CN"/>
        </w:rPr>
      </w:pPr>
    </w:p>
    <w:p w14:paraId="4E611A90" w14:textId="3ADB10B4" w:rsidR="004B3197" w:rsidRDefault="00DD4719" w:rsidP="00DD4719">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0090331B">
        <w:rPr>
          <w:rFonts w:ascii="Times New Roman" w:eastAsia="Malgun Gothic" w:hAnsi="Times New Roman"/>
          <w:sz w:val="20"/>
          <w:szCs w:val="20"/>
          <w:lang w:val="en-GB" w:eastAsia="zh-CN"/>
        </w:rPr>
        <w:t>:</w:t>
      </w:r>
      <w:r w:rsidR="0090331B">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No specific PC5-RRC state is defined for unicast operation. Upper layer communication exchange triggers PC5-RRC signalling</w:t>
      </w:r>
      <w:r w:rsidR="00111372">
        <w:rPr>
          <w:rFonts w:ascii="Times New Roman" w:eastAsia="Malgun Gothic" w:hAnsi="Times New Roman"/>
          <w:i/>
          <w:sz w:val="20"/>
          <w:szCs w:val="20"/>
          <w:lang w:val="en-GB" w:eastAsia="zh-CN"/>
        </w:rPr>
        <w:t xml:space="preserve"> and as long as the upper layer PC5-S connection is valid, PC5-RRC signalling messages can be exchanged. </w:t>
      </w:r>
    </w:p>
    <w:p w14:paraId="02C8D182" w14:textId="4DA26625" w:rsidR="00D844B4" w:rsidRDefault="00D844B4" w:rsidP="00D844B4">
      <w:pPr>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During the study, there were discussions about SL signalling radio bearer and whether one or two SL SRBs are needed. This decision is to be considered pending SL RRC connection establishment and security procedures. If there is no separate SL RRC connection setup procedure and if upper layer security is considered sufficient for sending SL RRC configuration signalling messages, we think that one default SL SRB is sufficient to be supported to carry configuration and capability information.</w:t>
      </w:r>
    </w:p>
    <w:p w14:paraId="6AF64259" w14:textId="1DD6D6E0" w:rsidR="00D844B4" w:rsidRDefault="00D844B4" w:rsidP="00D844B4">
      <w:pPr>
        <w:ind w:left="1440" w:hanging="1440"/>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lastRenderedPageBreak/>
        <w:t xml:space="preserve">Proposal 3: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The configuration procedure for SL SRB is FFS until SL RRC Connection establishment and security procedures are defined.</w:t>
      </w:r>
    </w:p>
    <w:p w14:paraId="7E44DA87" w14:textId="77777777" w:rsidR="004B3197" w:rsidRDefault="004B3197"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280738A" w14:textId="38DC67BC" w:rsidR="004B3197" w:rsidRDefault="006A5D08" w:rsidP="006A5D08">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Global UE ID</w:t>
      </w:r>
    </w:p>
    <w:p w14:paraId="5B611460" w14:textId="77777777" w:rsidR="006A5D08" w:rsidRDefault="006A5D08" w:rsidP="006A5D08">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4E333935" w14:textId="292C6F54" w:rsidR="00E94F28" w:rsidRDefault="004B3197"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long as a given</w:t>
      </w:r>
      <w:r w:rsidR="00E94F28">
        <w:rPr>
          <w:rFonts w:ascii="Times New Roman" w:eastAsia="MS Mincho" w:hAnsi="Times New Roman"/>
          <w:bCs/>
          <w:sz w:val="20"/>
          <w:szCs w:val="26"/>
          <w:lang w:val="en-GB" w:eastAsia="en-GB"/>
        </w:rPr>
        <w:t xml:space="preserve"> context</w:t>
      </w:r>
      <w:r>
        <w:rPr>
          <w:rFonts w:ascii="Times New Roman" w:eastAsia="MS Mincho" w:hAnsi="Times New Roman"/>
          <w:bCs/>
          <w:sz w:val="20"/>
          <w:szCs w:val="26"/>
          <w:lang w:val="en-GB" w:eastAsia="en-GB"/>
        </w:rPr>
        <w:t xml:space="preserve"> per destination UE </w:t>
      </w:r>
      <w:r w:rsidR="00E94F28">
        <w:rPr>
          <w:rFonts w:ascii="Times New Roman" w:eastAsia="MS Mincho" w:hAnsi="Times New Roman"/>
          <w:bCs/>
          <w:sz w:val="20"/>
          <w:szCs w:val="26"/>
          <w:lang w:val="en-GB" w:eastAsia="en-GB"/>
        </w:rPr>
        <w:t xml:space="preserve">is defined and considered useful, it can be stored at the </w:t>
      </w:r>
      <w:r>
        <w:rPr>
          <w:rFonts w:ascii="Times New Roman" w:eastAsia="MS Mincho" w:hAnsi="Times New Roman"/>
          <w:bCs/>
          <w:sz w:val="20"/>
          <w:szCs w:val="26"/>
          <w:lang w:val="en-GB" w:eastAsia="en-GB"/>
        </w:rPr>
        <w:t xml:space="preserve">SRC </w:t>
      </w:r>
      <w:r w:rsidR="00E94F28">
        <w:rPr>
          <w:rFonts w:ascii="Times New Roman" w:eastAsia="MS Mincho" w:hAnsi="Times New Roman"/>
          <w:bCs/>
          <w:sz w:val="20"/>
          <w:szCs w:val="26"/>
          <w:lang w:val="en-GB" w:eastAsia="en-GB"/>
        </w:rPr>
        <w:t>UE</w:t>
      </w:r>
      <w:r w:rsidR="006401C0">
        <w:rPr>
          <w:rFonts w:ascii="Times New Roman" w:eastAsia="MS Mincho" w:hAnsi="Times New Roman"/>
          <w:bCs/>
          <w:sz w:val="20"/>
          <w:szCs w:val="26"/>
          <w:lang w:val="en-GB" w:eastAsia="en-GB"/>
        </w:rPr>
        <w:t xml:space="preserve"> as long as the connection is valid and available</w:t>
      </w:r>
      <w:r w:rsidR="00E94F28">
        <w:rPr>
          <w:rFonts w:ascii="Times New Roman" w:eastAsia="MS Mincho" w:hAnsi="Times New Roman"/>
          <w:bCs/>
          <w:sz w:val="20"/>
          <w:szCs w:val="26"/>
          <w:lang w:val="en-GB" w:eastAsia="en-GB"/>
        </w:rPr>
        <w:t xml:space="preserve"> for retrieval at any time. In order to support the retrieval of such UE context, </w:t>
      </w:r>
      <w:r w:rsidR="006A5D08">
        <w:rPr>
          <w:rFonts w:ascii="Times New Roman" w:eastAsia="MS Mincho" w:hAnsi="Times New Roman"/>
          <w:bCs/>
          <w:sz w:val="20"/>
          <w:szCs w:val="26"/>
          <w:lang w:val="en-GB" w:eastAsia="en-GB"/>
        </w:rPr>
        <w:t xml:space="preserve">a </w:t>
      </w:r>
      <w:r>
        <w:rPr>
          <w:rFonts w:ascii="Times New Roman" w:eastAsia="MS Mincho" w:hAnsi="Times New Roman"/>
          <w:bCs/>
          <w:sz w:val="20"/>
          <w:szCs w:val="26"/>
          <w:lang w:val="en-GB" w:eastAsia="en-GB"/>
        </w:rPr>
        <w:t xml:space="preserve">global per-UE level ID has to be assigned and stored </w:t>
      </w:r>
      <w:r w:rsidR="006A5D08">
        <w:rPr>
          <w:rFonts w:ascii="Times New Roman" w:eastAsia="MS Mincho" w:hAnsi="Times New Roman"/>
          <w:bCs/>
          <w:sz w:val="20"/>
          <w:szCs w:val="26"/>
          <w:lang w:val="en-GB" w:eastAsia="en-GB"/>
        </w:rPr>
        <w:t>along with the context</w:t>
      </w:r>
      <w:r>
        <w:rPr>
          <w:rFonts w:ascii="Times New Roman" w:eastAsia="MS Mincho" w:hAnsi="Times New Roman"/>
          <w:bCs/>
          <w:sz w:val="20"/>
          <w:szCs w:val="26"/>
          <w:lang w:val="en-GB" w:eastAsia="en-GB"/>
        </w:rPr>
        <w:t xml:space="preserve">. This ID can be pre-configured in the UE </w:t>
      </w:r>
      <w:r w:rsidR="00727CCE">
        <w:rPr>
          <w:rFonts w:ascii="Times New Roman" w:eastAsia="MS Mincho" w:hAnsi="Times New Roman"/>
          <w:bCs/>
          <w:sz w:val="20"/>
          <w:szCs w:val="26"/>
          <w:lang w:val="en-GB" w:eastAsia="en-GB"/>
        </w:rPr>
        <w:t xml:space="preserve">for both in-coverage and out-of-coverage cases </w:t>
      </w:r>
      <w:r>
        <w:rPr>
          <w:rFonts w:ascii="Times New Roman" w:eastAsia="MS Mincho" w:hAnsi="Times New Roman"/>
          <w:bCs/>
          <w:sz w:val="20"/>
          <w:szCs w:val="26"/>
          <w:lang w:val="en-GB" w:eastAsia="en-GB"/>
        </w:rPr>
        <w:t xml:space="preserve">or </w:t>
      </w:r>
      <w:r w:rsidR="00727CCE">
        <w:rPr>
          <w:rFonts w:ascii="Times New Roman" w:eastAsia="MS Mincho" w:hAnsi="Times New Roman"/>
          <w:bCs/>
          <w:sz w:val="20"/>
          <w:szCs w:val="26"/>
          <w:lang w:val="en-GB" w:eastAsia="en-GB"/>
        </w:rPr>
        <w:t xml:space="preserve">specifically </w:t>
      </w:r>
      <w:r>
        <w:rPr>
          <w:rFonts w:ascii="Times New Roman" w:eastAsia="MS Mincho" w:hAnsi="Times New Roman"/>
          <w:bCs/>
          <w:sz w:val="20"/>
          <w:szCs w:val="26"/>
          <w:lang w:val="en-GB" w:eastAsia="en-GB"/>
        </w:rPr>
        <w:t>configured by th</w:t>
      </w:r>
      <w:r w:rsidR="00727CCE">
        <w:rPr>
          <w:rFonts w:ascii="Times New Roman" w:eastAsia="MS Mincho" w:hAnsi="Times New Roman"/>
          <w:bCs/>
          <w:sz w:val="20"/>
          <w:szCs w:val="26"/>
          <w:lang w:val="en-GB" w:eastAsia="en-GB"/>
        </w:rPr>
        <w:t>e gNB for in-coverage case</w:t>
      </w:r>
      <w:r>
        <w:rPr>
          <w:rFonts w:ascii="Times New Roman" w:eastAsia="MS Mincho" w:hAnsi="Times New Roman"/>
          <w:bCs/>
          <w:sz w:val="20"/>
          <w:szCs w:val="26"/>
          <w:lang w:val="en-GB" w:eastAsia="en-GB"/>
        </w:rPr>
        <w:t>. This</w:t>
      </w:r>
      <w:r w:rsidR="006A5D08">
        <w:rPr>
          <w:rFonts w:ascii="Times New Roman" w:eastAsia="MS Mincho" w:hAnsi="Times New Roman"/>
          <w:bCs/>
          <w:sz w:val="20"/>
          <w:szCs w:val="26"/>
          <w:lang w:val="en-GB" w:eastAsia="en-GB"/>
        </w:rPr>
        <w:t xml:space="preserve"> </w:t>
      </w:r>
      <w:r w:rsidR="00727CCE">
        <w:rPr>
          <w:rFonts w:ascii="Times New Roman" w:eastAsia="MS Mincho" w:hAnsi="Times New Roman"/>
          <w:bCs/>
          <w:sz w:val="20"/>
          <w:szCs w:val="26"/>
          <w:lang w:val="en-GB" w:eastAsia="en-GB"/>
        </w:rPr>
        <w:t xml:space="preserve">new ID </w:t>
      </w:r>
      <w:r w:rsidR="006A5D08">
        <w:rPr>
          <w:rFonts w:ascii="Times New Roman" w:eastAsia="MS Mincho" w:hAnsi="Times New Roman"/>
          <w:bCs/>
          <w:sz w:val="20"/>
          <w:szCs w:val="26"/>
          <w:lang w:val="en-GB" w:eastAsia="en-GB"/>
        </w:rPr>
        <w:t>requirement arises</w:t>
      </w:r>
      <w:r>
        <w:rPr>
          <w:rFonts w:ascii="Times New Roman" w:eastAsia="MS Mincho" w:hAnsi="Times New Roman"/>
          <w:bCs/>
          <w:sz w:val="20"/>
          <w:szCs w:val="26"/>
          <w:lang w:val="en-GB" w:eastAsia="en-GB"/>
        </w:rPr>
        <w:t xml:space="preserve"> because, as per SA2, multiple services supporting multiple unicast links may have different SRC/DEST Layer2 IDs making it difficult to choose the </w:t>
      </w:r>
      <w:r w:rsidR="006A5D08">
        <w:rPr>
          <w:rFonts w:ascii="Times New Roman" w:eastAsia="MS Mincho" w:hAnsi="Times New Roman"/>
          <w:bCs/>
          <w:sz w:val="20"/>
          <w:szCs w:val="26"/>
          <w:lang w:val="en-GB" w:eastAsia="en-GB"/>
        </w:rPr>
        <w:t xml:space="preserve">layer2 ID as the global UE ID. Such an ID has not been considered in SA2 because they are trying to satisfy SA1 requirement that the UE should not be tracked and </w:t>
      </w:r>
      <w:r w:rsidR="00727CCE">
        <w:rPr>
          <w:rFonts w:ascii="Times New Roman" w:eastAsia="MS Mincho" w:hAnsi="Times New Roman"/>
          <w:bCs/>
          <w:sz w:val="20"/>
          <w:szCs w:val="26"/>
          <w:lang w:val="en-GB" w:eastAsia="en-GB"/>
        </w:rPr>
        <w:t xml:space="preserve">map the </w:t>
      </w:r>
      <w:r w:rsidR="006A5D08">
        <w:rPr>
          <w:rFonts w:ascii="Times New Roman" w:eastAsia="MS Mincho" w:hAnsi="Times New Roman"/>
          <w:bCs/>
          <w:sz w:val="20"/>
          <w:szCs w:val="26"/>
          <w:lang w:val="en-GB" w:eastAsia="en-GB"/>
        </w:rPr>
        <w:t xml:space="preserve">layer2 ID </w:t>
      </w:r>
      <w:r w:rsidR="00727CCE">
        <w:rPr>
          <w:rFonts w:ascii="Times New Roman" w:eastAsia="MS Mincho" w:hAnsi="Times New Roman"/>
          <w:bCs/>
          <w:sz w:val="20"/>
          <w:szCs w:val="26"/>
          <w:lang w:val="en-GB" w:eastAsia="en-GB"/>
        </w:rPr>
        <w:t xml:space="preserve">in accordance with the </w:t>
      </w:r>
      <w:r w:rsidR="006A5D08">
        <w:rPr>
          <w:rFonts w:ascii="Times New Roman" w:eastAsia="MS Mincho" w:hAnsi="Times New Roman"/>
          <w:bCs/>
          <w:sz w:val="20"/>
          <w:szCs w:val="26"/>
          <w:lang w:val="en-GB" w:eastAsia="en-GB"/>
        </w:rPr>
        <w:t xml:space="preserve">application ID </w:t>
      </w:r>
      <w:r w:rsidR="00727CCE">
        <w:rPr>
          <w:rFonts w:ascii="Times New Roman" w:eastAsia="MS Mincho" w:hAnsi="Times New Roman"/>
          <w:bCs/>
          <w:sz w:val="20"/>
          <w:szCs w:val="26"/>
          <w:lang w:val="en-GB" w:eastAsia="en-GB"/>
        </w:rPr>
        <w:t>that changes often</w:t>
      </w:r>
      <w:r w:rsidR="006A5D08">
        <w:rPr>
          <w:rFonts w:ascii="Times New Roman" w:eastAsia="MS Mincho" w:hAnsi="Times New Roman"/>
          <w:bCs/>
          <w:sz w:val="20"/>
          <w:szCs w:val="26"/>
          <w:lang w:val="en-GB" w:eastAsia="en-GB"/>
        </w:rPr>
        <w:t>. However,</w:t>
      </w:r>
      <w:r w:rsidR="00727CCE">
        <w:rPr>
          <w:rFonts w:ascii="Times New Roman" w:eastAsia="MS Mincho" w:hAnsi="Times New Roman"/>
          <w:bCs/>
          <w:sz w:val="20"/>
          <w:szCs w:val="26"/>
          <w:lang w:val="en-GB" w:eastAsia="en-GB"/>
        </w:rPr>
        <w:t xml:space="preserve"> at AS layer</w:t>
      </w:r>
      <w:r w:rsidR="004D7053">
        <w:rPr>
          <w:rFonts w:ascii="Times New Roman" w:eastAsia="MS Mincho" w:hAnsi="Times New Roman"/>
          <w:bCs/>
          <w:sz w:val="20"/>
          <w:szCs w:val="26"/>
          <w:lang w:val="en-GB" w:eastAsia="en-GB"/>
        </w:rPr>
        <w:t xml:space="preserve">, in order to realize PC5-RRC based connectivity, a globally addressable identifier is needed and </w:t>
      </w:r>
      <w:r w:rsidR="00727CCE">
        <w:rPr>
          <w:rFonts w:ascii="Times New Roman" w:eastAsia="MS Mincho" w:hAnsi="Times New Roman"/>
          <w:bCs/>
          <w:sz w:val="20"/>
          <w:szCs w:val="26"/>
          <w:lang w:val="en-GB" w:eastAsia="en-GB"/>
        </w:rPr>
        <w:t>we can consider a secure per-UE level ID</w:t>
      </w:r>
      <w:r w:rsidR="006A5D08">
        <w:rPr>
          <w:rFonts w:ascii="Times New Roman" w:eastAsia="MS Mincho" w:hAnsi="Times New Roman"/>
          <w:bCs/>
          <w:sz w:val="20"/>
          <w:szCs w:val="26"/>
          <w:lang w:val="en-GB" w:eastAsia="en-GB"/>
        </w:rPr>
        <w:t xml:space="preserve"> to support UE context retrieval</w:t>
      </w:r>
      <w:r w:rsidR="00727CCE">
        <w:rPr>
          <w:rFonts w:ascii="Times New Roman" w:eastAsia="MS Mincho" w:hAnsi="Times New Roman"/>
          <w:bCs/>
          <w:sz w:val="20"/>
          <w:szCs w:val="26"/>
          <w:lang w:val="en-GB" w:eastAsia="en-GB"/>
        </w:rPr>
        <w:t>.</w:t>
      </w:r>
    </w:p>
    <w:p w14:paraId="7EBB4051" w14:textId="28B7A95C" w:rsidR="003C4B8B" w:rsidRPr="0090331B" w:rsidRDefault="006A5D08" w:rsidP="0090331B">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90331B">
        <w:rPr>
          <w:rFonts w:ascii="Times New Roman" w:eastAsia="Malgun Gothic" w:hAnsi="Times New Roman"/>
          <w:b/>
          <w:sz w:val="20"/>
          <w:szCs w:val="20"/>
          <w:lang w:val="en-GB" w:eastAsia="zh-CN"/>
        </w:rPr>
        <w:t xml:space="preserve">Proposal </w:t>
      </w:r>
      <w:r w:rsidR="00D844B4">
        <w:rPr>
          <w:rFonts w:ascii="Times New Roman" w:eastAsia="Malgun Gothic" w:hAnsi="Times New Roman"/>
          <w:b/>
          <w:sz w:val="20"/>
          <w:szCs w:val="20"/>
          <w:lang w:val="en-GB" w:eastAsia="zh-CN"/>
        </w:rPr>
        <w:t>4</w:t>
      </w:r>
      <w:r w:rsidRPr="0090331B">
        <w:rPr>
          <w:rFonts w:ascii="Times New Roman" w:eastAsia="Malgun Gothic" w:hAnsi="Times New Roman"/>
          <w:sz w:val="20"/>
          <w:szCs w:val="20"/>
          <w:lang w:val="en-GB" w:eastAsia="zh-CN"/>
        </w:rPr>
        <w:t xml:space="preserve">. </w:t>
      </w:r>
      <w:r w:rsidRPr="0090331B">
        <w:rPr>
          <w:rFonts w:ascii="Times New Roman" w:eastAsia="Malgun Gothic" w:hAnsi="Times New Roman"/>
          <w:sz w:val="20"/>
          <w:szCs w:val="20"/>
          <w:lang w:val="en-GB" w:eastAsia="zh-CN"/>
        </w:rPr>
        <w:tab/>
      </w:r>
      <w:r w:rsidR="003C4B8B" w:rsidRPr="0090331B">
        <w:rPr>
          <w:rFonts w:ascii="Times New Roman" w:eastAsia="Malgun Gothic" w:hAnsi="Times New Roman"/>
          <w:i/>
          <w:sz w:val="20"/>
          <w:szCs w:val="20"/>
          <w:lang w:val="en-GB" w:eastAsia="zh-CN"/>
        </w:rPr>
        <w:t>RAN2 to discuss and consider one of the following options for the definition of the per-UE level ID to be used for SL UE context storage: a) Self-assigned at AS layer b)Self-assigned at upper layer and passed down to AS layer c) Assigned by the network when in-coverage or at initial setup</w:t>
      </w:r>
      <w:r w:rsidR="003C4B8B">
        <w:rPr>
          <w:rFonts w:ascii="Times New Roman" w:eastAsia="Malgun Gothic" w:hAnsi="Times New Roman"/>
          <w:i/>
          <w:sz w:val="20"/>
          <w:szCs w:val="20"/>
          <w:lang w:val="en-GB" w:eastAsia="zh-CN"/>
        </w:rPr>
        <w:t>.</w:t>
      </w:r>
    </w:p>
    <w:p w14:paraId="784EE282" w14:textId="212BEC3D" w:rsidR="0063455F" w:rsidRPr="0063455F" w:rsidRDefault="0063455F" w:rsidP="00071C64">
      <w:pPr>
        <w:pStyle w:val="NormalWeb"/>
        <w:spacing w:before="0" w:beforeAutospacing="0" w:after="0" w:afterAutospacing="0"/>
        <w:ind w:left="1440" w:hanging="1440"/>
        <w:rPr>
          <w:color w:val="000000"/>
          <w:sz w:val="18"/>
          <w:szCs w:val="20"/>
          <w:lang w:val="en-GB"/>
        </w:rPr>
      </w:pPr>
    </w:p>
    <w:p w14:paraId="512C53DC" w14:textId="77777777" w:rsidR="008A2AF6" w:rsidRPr="00E0063E" w:rsidRDefault="008A2AF6" w:rsidP="00C94AE1">
      <w:pPr>
        <w:pStyle w:val="Tdoc"/>
        <w:ind w:left="360"/>
      </w:pPr>
      <w:r w:rsidRPr="00E0063E">
        <w:t>Conclusion</w:t>
      </w:r>
    </w:p>
    <w:p w14:paraId="2C9A0A72" w14:textId="2D129313"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5B0B3E">
        <w:rPr>
          <w:rFonts w:ascii="Times New Roman" w:eastAsia="Times New Roman" w:hAnsi="Times New Roman"/>
          <w:bCs/>
          <w:sz w:val="20"/>
          <w:szCs w:val="20"/>
          <w:lang w:val="en-GB" w:eastAsia="zh-CN"/>
        </w:rPr>
        <w:t>PC5-RRC signalling aspects</w:t>
      </w:r>
      <w:r w:rsidR="00DF5A46">
        <w:rPr>
          <w:rFonts w:ascii="Times New Roman" w:eastAsia="Times New Roman" w:hAnsi="Times New Roman"/>
          <w:bCs/>
          <w:sz w:val="20"/>
          <w:szCs w:val="20"/>
          <w:lang w:val="en-GB" w:eastAsia="zh-CN"/>
        </w:rPr>
        <w:t xml:space="preserve"> for NR V2X sidelink </w:t>
      </w:r>
      <w:r w:rsidR="0054408E">
        <w:rPr>
          <w:rFonts w:ascii="Times New Roman" w:eastAsia="Times New Roman" w:hAnsi="Times New Roman"/>
          <w:bCs/>
          <w:sz w:val="20"/>
          <w:szCs w:val="20"/>
          <w:lang w:val="en-GB" w:eastAsia="zh-CN"/>
        </w:rPr>
        <w:t xml:space="preserve">and have the following </w:t>
      </w:r>
      <w:r w:rsidR="005B0B3E">
        <w:rPr>
          <w:rFonts w:ascii="Times New Roman" w:eastAsia="Times New Roman" w:hAnsi="Times New Roman"/>
          <w:bCs/>
          <w:sz w:val="20"/>
          <w:szCs w:val="20"/>
          <w:lang w:val="en-GB" w:eastAsia="zh-CN"/>
        </w:rPr>
        <w:t xml:space="preserve">observation and </w:t>
      </w:r>
      <w:r w:rsidR="0054408E">
        <w:rPr>
          <w:rFonts w:ascii="Times New Roman" w:eastAsia="Times New Roman" w:hAnsi="Times New Roman"/>
          <w:bCs/>
          <w:sz w:val="20"/>
          <w:szCs w:val="20"/>
          <w:lang w:val="en-GB" w:eastAsia="zh-CN"/>
        </w:rPr>
        <w:t>proposal</w:t>
      </w:r>
      <w:r w:rsidR="00847EB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2FA96E5D" w14:textId="467C94F9" w:rsidR="00E430A0" w:rsidRPr="00E430A0" w:rsidRDefault="00740DCF" w:rsidP="0090331B">
      <w:pPr>
        <w:overflowPunct w:val="0"/>
        <w:autoSpaceDE w:val="0"/>
        <w:autoSpaceDN w:val="0"/>
        <w:adjustRightInd w:val="0"/>
        <w:spacing w:after="180" w:line="240" w:lineRule="auto"/>
        <w:ind w:left="1440" w:hanging="1440"/>
        <w:textAlignment w:val="baseline"/>
        <w:rPr>
          <w:rFonts w:ascii="Times New Roman" w:eastAsia="Times New Roman" w:hAnsi="Times New Roman"/>
          <w:b/>
          <w:bCs/>
          <w:sz w:val="20"/>
          <w:szCs w:val="20"/>
          <w:lang w:val="en-GB" w:eastAsia="zh-CN"/>
        </w:rPr>
      </w:pPr>
      <w:r>
        <w:rPr>
          <w:rFonts w:ascii="Times New Roman" w:eastAsia="Times New Roman" w:hAnsi="Times New Roman"/>
          <w:b/>
          <w:bCs/>
          <w:sz w:val="20"/>
          <w:szCs w:val="20"/>
          <w:lang w:val="en-GB" w:eastAsia="zh-CN"/>
        </w:rPr>
        <w:t>Observation</w:t>
      </w:r>
      <w:r w:rsidR="00E430A0" w:rsidRPr="00E430A0">
        <w:rPr>
          <w:rFonts w:ascii="Times New Roman" w:eastAsia="Times New Roman" w:hAnsi="Times New Roman"/>
          <w:b/>
          <w:bCs/>
          <w:sz w:val="20"/>
          <w:szCs w:val="20"/>
          <w:lang w:val="en-GB" w:eastAsia="zh-CN"/>
        </w:rPr>
        <w:t xml:space="preserve">. </w:t>
      </w:r>
      <w:r w:rsidR="00E430A0" w:rsidRPr="00E430A0">
        <w:rPr>
          <w:rFonts w:ascii="Times New Roman" w:eastAsia="Times New Roman" w:hAnsi="Times New Roman"/>
          <w:b/>
          <w:bCs/>
          <w:sz w:val="20"/>
          <w:szCs w:val="20"/>
          <w:lang w:val="en-GB" w:eastAsia="zh-CN"/>
        </w:rPr>
        <w:tab/>
      </w:r>
      <w:r w:rsidR="00E430A0" w:rsidRPr="00E430A0">
        <w:rPr>
          <w:rFonts w:ascii="Times New Roman" w:eastAsia="Times New Roman" w:hAnsi="Times New Roman"/>
          <w:bCs/>
          <w:i/>
          <w:sz w:val="20"/>
          <w:szCs w:val="20"/>
          <w:lang w:val="en-GB" w:eastAsia="zh-CN"/>
        </w:rPr>
        <w:t xml:space="preserve">The functions of RRC for Uu </w:t>
      </w:r>
      <w:r w:rsidR="0090331B">
        <w:rPr>
          <w:rFonts w:ascii="Times New Roman" w:eastAsia="Times New Roman" w:hAnsi="Times New Roman"/>
          <w:bCs/>
          <w:i/>
          <w:sz w:val="20"/>
          <w:szCs w:val="20"/>
          <w:lang w:val="en-GB" w:eastAsia="zh-CN"/>
        </w:rPr>
        <w:t xml:space="preserve">link </w:t>
      </w:r>
      <w:r w:rsidR="00E430A0" w:rsidRPr="00E430A0">
        <w:rPr>
          <w:rFonts w:ascii="Times New Roman" w:eastAsia="Times New Roman" w:hAnsi="Times New Roman"/>
          <w:bCs/>
          <w:i/>
          <w:sz w:val="20"/>
          <w:szCs w:val="20"/>
          <w:lang w:val="en-GB" w:eastAsia="zh-CN"/>
        </w:rPr>
        <w:t>are not expected of sidelink unicast communication and also given the dynamicity of V2X should not be expected to be comparable.</w:t>
      </w:r>
    </w:p>
    <w:p w14:paraId="03E528AC" w14:textId="7BB24E67" w:rsidR="00E430A0" w:rsidRPr="00E430A0" w:rsidRDefault="00E430A0" w:rsidP="0090331B">
      <w:pPr>
        <w:overflowPunct w:val="0"/>
        <w:autoSpaceDE w:val="0"/>
        <w:autoSpaceDN w:val="0"/>
        <w:adjustRightInd w:val="0"/>
        <w:spacing w:after="180" w:line="240" w:lineRule="auto"/>
        <w:ind w:left="1440" w:hanging="1440"/>
        <w:textAlignment w:val="baseline"/>
        <w:rPr>
          <w:rFonts w:ascii="Times New Roman" w:eastAsia="Times New Roman" w:hAnsi="Times New Roman"/>
          <w:bCs/>
          <w:i/>
          <w:sz w:val="20"/>
          <w:szCs w:val="20"/>
          <w:lang w:val="en-GB" w:eastAsia="zh-CN"/>
        </w:rPr>
      </w:pPr>
      <w:r w:rsidRPr="00E430A0">
        <w:rPr>
          <w:rFonts w:ascii="Times New Roman" w:eastAsia="Times New Roman" w:hAnsi="Times New Roman"/>
          <w:b/>
          <w:bCs/>
          <w:sz w:val="20"/>
          <w:szCs w:val="20"/>
          <w:lang w:val="en-GB" w:eastAsia="zh-CN"/>
        </w:rPr>
        <w:t>Proposal 1</w:t>
      </w:r>
      <w:r w:rsidR="0090331B">
        <w:rPr>
          <w:rFonts w:ascii="Times New Roman" w:eastAsia="Times New Roman" w:hAnsi="Times New Roman"/>
          <w:bCs/>
          <w:sz w:val="20"/>
          <w:szCs w:val="20"/>
          <w:lang w:val="en-GB" w:eastAsia="zh-CN"/>
        </w:rPr>
        <w:t>:</w:t>
      </w:r>
      <w:r w:rsidRPr="00E430A0">
        <w:rPr>
          <w:rFonts w:ascii="Times New Roman" w:eastAsia="Times New Roman" w:hAnsi="Times New Roman"/>
          <w:bCs/>
          <w:sz w:val="20"/>
          <w:szCs w:val="20"/>
          <w:lang w:val="en-GB" w:eastAsia="zh-CN"/>
        </w:rPr>
        <w:t xml:space="preserve"> </w:t>
      </w:r>
      <w:r w:rsidRPr="00E430A0">
        <w:rPr>
          <w:rFonts w:ascii="Times New Roman" w:eastAsia="Times New Roman" w:hAnsi="Times New Roman"/>
          <w:bCs/>
          <w:sz w:val="20"/>
          <w:szCs w:val="20"/>
          <w:lang w:val="en-GB" w:eastAsia="zh-CN"/>
        </w:rPr>
        <w:tab/>
      </w:r>
      <w:r w:rsidRPr="00E430A0">
        <w:rPr>
          <w:rFonts w:ascii="Times New Roman" w:eastAsia="Times New Roman" w:hAnsi="Times New Roman"/>
          <w:bCs/>
          <w:i/>
          <w:sz w:val="20"/>
          <w:szCs w:val="20"/>
          <w:lang w:val="en-GB" w:eastAsia="zh-CN"/>
        </w:rPr>
        <w:t>RAN2 to consider SL PC5-RRC signalling only for capabilities and configuration exchange between two V2X UEs and rely on upper layer for connection establishment to support unicast communication.</w:t>
      </w:r>
    </w:p>
    <w:p w14:paraId="0FE5879A" w14:textId="2054A446" w:rsidR="00E430A0" w:rsidRDefault="00E430A0" w:rsidP="0090331B">
      <w:pPr>
        <w:overflowPunct w:val="0"/>
        <w:autoSpaceDE w:val="0"/>
        <w:autoSpaceDN w:val="0"/>
        <w:adjustRightInd w:val="0"/>
        <w:spacing w:after="180" w:line="240" w:lineRule="auto"/>
        <w:ind w:left="1440" w:hanging="1440"/>
        <w:textAlignment w:val="baseline"/>
        <w:rPr>
          <w:rFonts w:ascii="Times New Roman" w:eastAsia="Times New Roman" w:hAnsi="Times New Roman"/>
          <w:bCs/>
          <w:i/>
          <w:sz w:val="20"/>
          <w:szCs w:val="20"/>
          <w:lang w:val="en-GB" w:eastAsia="zh-CN"/>
        </w:rPr>
      </w:pPr>
      <w:r w:rsidRPr="00E430A0">
        <w:rPr>
          <w:rFonts w:ascii="Times New Roman" w:eastAsia="Times New Roman" w:hAnsi="Times New Roman"/>
          <w:b/>
          <w:bCs/>
          <w:sz w:val="20"/>
          <w:szCs w:val="20"/>
          <w:lang w:val="en-GB" w:eastAsia="zh-CN"/>
        </w:rPr>
        <w:t>Proposal 2</w:t>
      </w:r>
      <w:r w:rsidR="0090331B">
        <w:rPr>
          <w:rFonts w:ascii="Times New Roman" w:eastAsia="Times New Roman" w:hAnsi="Times New Roman"/>
          <w:bCs/>
          <w:sz w:val="20"/>
          <w:szCs w:val="20"/>
          <w:lang w:val="en-GB" w:eastAsia="zh-CN"/>
        </w:rPr>
        <w:t>:</w:t>
      </w:r>
      <w:r w:rsidRPr="00E430A0">
        <w:rPr>
          <w:rFonts w:ascii="Times New Roman" w:eastAsia="Times New Roman" w:hAnsi="Times New Roman"/>
          <w:bCs/>
          <w:sz w:val="20"/>
          <w:szCs w:val="20"/>
          <w:lang w:val="en-GB" w:eastAsia="zh-CN"/>
        </w:rPr>
        <w:t xml:space="preserve"> </w:t>
      </w:r>
      <w:r w:rsidRPr="00E430A0">
        <w:rPr>
          <w:rFonts w:ascii="Times New Roman" w:eastAsia="Times New Roman" w:hAnsi="Times New Roman"/>
          <w:bCs/>
          <w:sz w:val="20"/>
          <w:szCs w:val="20"/>
          <w:lang w:val="en-GB" w:eastAsia="zh-CN"/>
        </w:rPr>
        <w:tab/>
      </w:r>
      <w:r w:rsidRPr="00E430A0">
        <w:rPr>
          <w:rFonts w:ascii="Times New Roman" w:eastAsia="Times New Roman" w:hAnsi="Times New Roman"/>
          <w:bCs/>
          <w:i/>
          <w:sz w:val="20"/>
          <w:szCs w:val="20"/>
          <w:lang w:val="en-GB" w:eastAsia="zh-CN"/>
        </w:rPr>
        <w:t xml:space="preserve">No specific PC5-RRC state is defined for unicast operation. </w:t>
      </w:r>
      <w:r w:rsidR="00111372" w:rsidRPr="00111372">
        <w:rPr>
          <w:rFonts w:ascii="Times New Roman" w:eastAsia="Times New Roman" w:hAnsi="Times New Roman"/>
          <w:bCs/>
          <w:i/>
          <w:sz w:val="20"/>
          <w:szCs w:val="20"/>
          <w:lang w:val="en-GB" w:eastAsia="zh-CN"/>
        </w:rPr>
        <w:t xml:space="preserve">Upper layer communication exchange triggers PC5-RRC signalling and as long as </w:t>
      </w:r>
      <w:r w:rsidR="00111372">
        <w:rPr>
          <w:rFonts w:ascii="Times New Roman" w:eastAsia="Times New Roman" w:hAnsi="Times New Roman"/>
          <w:bCs/>
          <w:i/>
          <w:sz w:val="20"/>
          <w:szCs w:val="20"/>
          <w:lang w:val="en-GB" w:eastAsia="zh-CN"/>
        </w:rPr>
        <w:t xml:space="preserve">the </w:t>
      </w:r>
      <w:r w:rsidR="00111372" w:rsidRPr="00111372">
        <w:rPr>
          <w:rFonts w:ascii="Times New Roman" w:eastAsia="Times New Roman" w:hAnsi="Times New Roman"/>
          <w:bCs/>
          <w:i/>
          <w:sz w:val="20"/>
          <w:szCs w:val="20"/>
          <w:lang w:val="en-GB" w:eastAsia="zh-CN"/>
        </w:rPr>
        <w:t>upper layer PC5-S connection is valid, PC5-RRC signalling messages can be exchanged.</w:t>
      </w:r>
    </w:p>
    <w:p w14:paraId="3E860C2A" w14:textId="378D7256" w:rsidR="00D844B4" w:rsidRPr="00E430A0" w:rsidRDefault="00D844B4" w:rsidP="0090331B">
      <w:pPr>
        <w:overflowPunct w:val="0"/>
        <w:autoSpaceDE w:val="0"/>
        <w:autoSpaceDN w:val="0"/>
        <w:adjustRightInd w:val="0"/>
        <w:spacing w:after="180" w:line="240" w:lineRule="auto"/>
        <w:ind w:left="1440" w:hanging="1440"/>
        <w:textAlignment w:val="baseline"/>
        <w:rPr>
          <w:rFonts w:ascii="Times New Roman" w:eastAsia="Times New Roman" w:hAnsi="Times New Roman"/>
          <w:bCs/>
          <w:sz w:val="20"/>
          <w:szCs w:val="20"/>
          <w:lang w:val="en-GB" w:eastAsia="zh-CN"/>
        </w:rPr>
      </w:pPr>
      <w:r>
        <w:rPr>
          <w:rFonts w:ascii="Times New Roman" w:eastAsia="Malgun Gothic" w:hAnsi="Times New Roman"/>
          <w:b/>
          <w:sz w:val="20"/>
          <w:szCs w:val="20"/>
          <w:lang w:val="en-GB" w:eastAsia="zh-CN"/>
        </w:rPr>
        <w:t xml:space="preserve">Proposal 3: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The configuration procedure for SL SRB is FFS until SL RRC Connection establishment and security procedures are defined.</w:t>
      </w:r>
    </w:p>
    <w:p w14:paraId="08C67B0F" w14:textId="220AE104" w:rsidR="00E430A0" w:rsidRDefault="00E430A0" w:rsidP="0090331B">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D51FD">
        <w:rPr>
          <w:rFonts w:ascii="Times New Roman" w:eastAsia="Malgun Gothic" w:hAnsi="Times New Roman"/>
          <w:b/>
          <w:sz w:val="20"/>
          <w:szCs w:val="20"/>
          <w:lang w:val="en-GB" w:eastAsia="zh-CN"/>
        </w:rPr>
        <w:t xml:space="preserve">Proposal </w:t>
      </w:r>
      <w:r w:rsidR="00D844B4">
        <w:rPr>
          <w:rFonts w:ascii="Times New Roman" w:eastAsia="Malgun Gothic" w:hAnsi="Times New Roman"/>
          <w:b/>
          <w:sz w:val="20"/>
          <w:szCs w:val="20"/>
          <w:lang w:val="en-GB" w:eastAsia="zh-CN"/>
        </w:rPr>
        <w:t>4</w:t>
      </w:r>
      <w:r w:rsidR="0090331B">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003C4B8B" w:rsidRPr="005D28E1">
        <w:rPr>
          <w:rFonts w:ascii="Times New Roman" w:eastAsia="Malgun Gothic" w:hAnsi="Times New Roman"/>
          <w:i/>
          <w:sz w:val="20"/>
          <w:szCs w:val="20"/>
          <w:lang w:val="en-GB" w:eastAsia="zh-CN"/>
        </w:rPr>
        <w:t>RAN2 to discuss and consider one of the following options for the definition of the per-UE level ID to be used for SL UE context storage: a) Self-assigned at AS layer b)Self-assigned at upper layer and passed down to AS layer c) Assigned by the network when in-coverage or at initial setup</w:t>
      </w:r>
      <w:r w:rsidR="003C4B8B">
        <w:rPr>
          <w:rFonts w:ascii="Times New Roman" w:eastAsia="Malgun Gothic" w:hAnsi="Times New Roman"/>
          <w:i/>
          <w:sz w:val="20"/>
          <w:szCs w:val="20"/>
          <w:lang w:val="en-GB" w:eastAsia="zh-CN"/>
        </w:rPr>
        <w:t>.</w:t>
      </w:r>
    </w:p>
    <w:p w14:paraId="18C7732E" w14:textId="77777777" w:rsidR="00110513" w:rsidRPr="00C94AE1" w:rsidRDefault="00110513" w:rsidP="00C94AE1">
      <w:pPr>
        <w:pStyle w:val="Tdoc"/>
        <w:ind w:left="360"/>
        <w:rPr>
          <w:i/>
          <w:lang w:val="en-GB"/>
        </w:rPr>
      </w:pPr>
      <w:r>
        <w:rPr>
          <w:lang w:val="en-GB"/>
        </w:rPr>
        <w:t>References</w:t>
      </w:r>
    </w:p>
    <w:p w14:paraId="0659CE1D" w14:textId="4A784634"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Pr="00C94AE1">
        <w:rPr>
          <w:rFonts w:ascii="Times New Roman" w:hAnsi="Times New Roman"/>
          <w:sz w:val="20"/>
          <w:szCs w:val="20"/>
          <w:lang w:val="en-GB"/>
        </w:rPr>
        <w:t>RP-1</w:t>
      </w:r>
      <w:r w:rsidR="008653EE">
        <w:rPr>
          <w:rFonts w:ascii="Times New Roman" w:hAnsi="Times New Roman"/>
          <w:sz w:val="20"/>
          <w:szCs w:val="20"/>
          <w:lang w:val="en-GB"/>
        </w:rPr>
        <w:t>90766</w:t>
      </w:r>
      <w:r w:rsidRPr="00C94AE1">
        <w:rPr>
          <w:rFonts w:ascii="Times New Roman" w:hAnsi="Times New Roman"/>
          <w:sz w:val="20"/>
          <w:lang w:val="en-GB"/>
        </w:rPr>
        <w:t xml:space="preserve">, "New </w:t>
      </w:r>
      <w:r w:rsidR="008653EE">
        <w:rPr>
          <w:rFonts w:ascii="Times New Roman" w:hAnsi="Times New Roman"/>
          <w:sz w:val="20"/>
          <w:lang w:val="en-GB"/>
        </w:rPr>
        <w:t>W</w:t>
      </w:r>
      <w:r w:rsidRPr="00C94AE1">
        <w:rPr>
          <w:rFonts w:ascii="Times New Roman" w:hAnsi="Times New Roman"/>
          <w:sz w:val="20"/>
          <w:lang w:val="en-GB"/>
        </w:rPr>
        <w:t xml:space="preserve">ID: </w:t>
      </w:r>
      <w:r w:rsidR="008653EE">
        <w:rPr>
          <w:rFonts w:ascii="Times New Roman" w:hAnsi="Times New Roman"/>
          <w:sz w:val="20"/>
          <w:lang w:val="en-GB"/>
        </w:rPr>
        <w:t>5G V2X with</w:t>
      </w:r>
      <w:r w:rsidRPr="00C94AE1">
        <w:rPr>
          <w:rFonts w:ascii="Times New Roman" w:hAnsi="Times New Roman"/>
          <w:sz w:val="20"/>
          <w:lang w:val="en-GB"/>
        </w:rPr>
        <w:t xml:space="preserve"> NR </w:t>
      </w:r>
      <w:r w:rsidR="008653EE">
        <w:rPr>
          <w:rFonts w:ascii="Times New Roman" w:hAnsi="Times New Roman"/>
          <w:sz w:val="20"/>
          <w:lang w:val="en-GB"/>
        </w:rPr>
        <w:t>sidelink</w:t>
      </w:r>
      <w:r w:rsidRPr="00C94AE1">
        <w:rPr>
          <w:rFonts w:ascii="Times New Roman" w:hAnsi="Times New Roman"/>
          <w:sz w:val="20"/>
          <w:lang w:val="en-GB"/>
        </w:rPr>
        <w:t xml:space="preserve">", </w:t>
      </w:r>
      <w:r w:rsidR="008653EE">
        <w:rPr>
          <w:rFonts w:ascii="Times New Roman" w:hAnsi="Times New Roman"/>
          <w:sz w:val="20"/>
          <w:lang w:val="en-GB"/>
        </w:rPr>
        <w:t>LGE, Huawei</w:t>
      </w:r>
      <w:r w:rsidRPr="00C94AE1">
        <w:rPr>
          <w:rFonts w:ascii="Times New Roman" w:hAnsi="Times New Roman"/>
          <w:sz w:val="20"/>
          <w:lang w:val="en-GB"/>
        </w:rPr>
        <w:t xml:space="preserve">. </w:t>
      </w:r>
    </w:p>
    <w:p w14:paraId="64791A6F" w14:textId="01AFCF81" w:rsidR="006B0E90" w:rsidRDefault="006B0E90" w:rsidP="00C94AE1">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8653EE" w:rsidRPr="00C94AE1">
        <w:rPr>
          <w:rFonts w:ascii="Times New Roman" w:hAnsi="Times New Roman"/>
          <w:sz w:val="20"/>
          <w:lang w:val="en-GB"/>
        </w:rPr>
        <w:t>T</w:t>
      </w:r>
      <w:r w:rsidR="008653EE">
        <w:rPr>
          <w:rFonts w:ascii="Times New Roman" w:hAnsi="Times New Roman"/>
          <w:sz w:val="20"/>
          <w:lang w:val="en-GB"/>
        </w:rPr>
        <w:t>S</w:t>
      </w:r>
      <w:r w:rsidR="008653EE" w:rsidRPr="00C94AE1">
        <w:rPr>
          <w:rFonts w:ascii="Times New Roman" w:hAnsi="Times New Roman"/>
          <w:sz w:val="20"/>
          <w:lang w:val="en-GB"/>
        </w:rPr>
        <w:t xml:space="preserve"> </w:t>
      </w:r>
      <w:r w:rsidR="008653EE">
        <w:rPr>
          <w:rFonts w:ascii="Times New Roman" w:hAnsi="Times New Roman"/>
          <w:sz w:val="20"/>
          <w:lang w:val="en-GB"/>
        </w:rPr>
        <w:t>23.287, Architecture enhancements for 5GS to support V2X services, Release 16</w:t>
      </w:r>
      <w:r w:rsidRPr="00C94AE1">
        <w:rPr>
          <w:rFonts w:ascii="Times New Roman" w:hAnsi="Times New Roman"/>
          <w:sz w:val="20"/>
          <w:lang w:val="en-GB"/>
        </w:rPr>
        <w:t xml:space="preserve">. </w:t>
      </w:r>
    </w:p>
    <w:p w14:paraId="33FEED44" w14:textId="77777777" w:rsidR="00F36A82" w:rsidRPr="00F36A82" w:rsidRDefault="0054408E" w:rsidP="00F36A82">
      <w:pPr>
        <w:spacing w:after="0" w:line="360" w:lineRule="auto"/>
        <w:ind w:left="270" w:hanging="270"/>
        <w:rPr>
          <w:rFonts w:ascii="Times New Roman" w:hAnsi="Times New Roman"/>
          <w:sz w:val="20"/>
          <w:lang w:val="en-GB"/>
        </w:rPr>
      </w:pPr>
      <w:r>
        <w:rPr>
          <w:rFonts w:ascii="Times New Roman" w:hAnsi="Times New Roman"/>
          <w:sz w:val="20"/>
          <w:lang w:val="en-GB"/>
        </w:rPr>
        <w:t>[3] TR 23.786</w:t>
      </w:r>
      <w:r w:rsidR="00F36A82">
        <w:rPr>
          <w:rFonts w:ascii="Times New Roman" w:hAnsi="Times New Roman"/>
          <w:sz w:val="20"/>
          <w:lang w:val="en-GB"/>
        </w:rPr>
        <w:t xml:space="preserve">, </w:t>
      </w:r>
      <w:r w:rsidR="00F36A82" w:rsidRPr="00F36A82">
        <w:rPr>
          <w:rFonts w:ascii="Times New Roman" w:hAnsi="Times New Roman"/>
          <w:sz w:val="20"/>
          <w:lang w:val="en-GB"/>
        </w:rPr>
        <w:t>Study on architecture enhancements for EPS and 5G System to su</w:t>
      </w:r>
      <w:bookmarkStart w:id="0" w:name="_GoBack"/>
      <w:bookmarkEnd w:id="0"/>
      <w:r w:rsidR="00F36A82" w:rsidRPr="00F36A82">
        <w:rPr>
          <w:rFonts w:ascii="Times New Roman" w:hAnsi="Times New Roman"/>
          <w:sz w:val="20"/>
          <w:lang w:val="en-GB"/>
        </w:rPr>
        <w:t>pport advanced V2X services</w:t>
      </w:r>
    </w:p>
    <w:p w14:paraId="202B7DF9" w14:textId="55E11FCB" w:rsidR="0054408E" w:rsidRDefault="00F36A82" w:rsidP="00F36A82">
      <w:pPr>
        <w:spacing w:after="0" w:line="360" w:lineRule="auto"/>
        <w:ind w:left="270" w:hanging="270"/>
        <w:rPr>
          <w:rFonts w:ascii="Times New Roman" w:hAnsi="Times New Roman"/>
          <w:sz w:val="20"/>
          <w:lang w:val="en-GB"/>
        </w:rPr>
      </w:pPr>
      <w:r w:rsidRPr="00F36A82">
        <w:rPr>
          <w:rFonts w:ascii="Times New Roman" w:hAnsi="Times New Roman"/>
          <w:sz w:val="20"/>
          <w:lang w:val="en-GB"/>
        </w:rPr>
        <w:t>(Release 16)</w:t>
      </w:r>
    </w:p>
    <w:p w14:paraId="1C11FE87" w14:textId="4A906554" w:rsidR="000D5FB6" w:rsidRDefault="008653EE" w:rsidP="0090331B">
      <w:pPr>
        <w:spacing w:after="0" w:line="360" w:lineRule="auto"/>
        <w:ind w:left="270" w:hanging="270"/>
        <w:rPr>
          <w:lang w:val="en-GB"/>
        </w:rPr>
      </w:pPr>
      <w:r>
        <w:rPr>
          <w:rFonts w:ascii="Times New Roman" w:hAnsi="Times New Roman"/>
          <w:sz w:val="20"/>
          <w:lang w:val="en-GB"/>
        </w:rPr>
        <w:t>[4] TS 24.334, ProSe UE to ProSe function protoc</w:t>
      </w:r>
      <w:r w:rsidR="0090331B">
        <w:rPr>
          <w:rFonts w:ascii="Times New Roman" w:hAnsi="Times New Roman"/>
          <w:sz w:val="20"/>
          <w:lang w:val="en-GB"/>
        </w:rPr>
        <w:t>ol aspects, stage 3, Release 15.</w:t>
      </w:r>
    </w:p>
    <w:sectPr w:rsidR="000D5F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AF7B90"/>
    <w:multiLevelType w:val="hybridMultilevel"/>
    <w:tmpl w:val="3D265B02"/>
    <w:lvl w:ilvl="0" w:tplc="99B2EBD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43A04"/>
    <w:multiLevelType w:val="hybridMultilevel"/>
    <w:tmpl w:val="A86CD8A8"/>
    <w:lvl w:ilvl="0" w:tplc="4B18263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46946AF4"/>
    <w:multiLevelType w:val="multilevel"/>
    <w:tmpl w:val="CCF08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D66DFF"/>
    <w:multiLevelType w:val="hybridMultilevel"/>
    <w:tmpl w:val="ADC6FEF8"/>
    <w:lvl w:ilvl="0" w:tplc="FC4CAF8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0"/>
  </w:num>
  <w:num w:numId="3">
    <w:abstractNumId w:val="3"/>
  </w:num>
  <w:num w:numId="4">
    <w:abstractNumId w:val="11"/>
  </w:num>
  <w:num w:numId="5">
    <w:abstractNumId w:val="5"/>
  </w:num>
  <w:num w:numId="6">
    <w:abstractNumId w:val="7"/>
  </w:num>
  <w:num w:numId="7">
    <w:abstractNumId w:val="8"/>
  </w:num>
  <w:num w:numId="8">
    <w:abstractNumId w:val="9"/>
  </w:num>
  <w:num w:numId="9">
    <w:abstractNumId w:val="2"/>
  </w:num>
  <w:num w:numId="10">
    <w:abstractNumId w:val="4"/>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168E"/>
    <w:rsid w:val="000045E4"/>
    <w:rsid w:val="00013A0F"/>
    <w:rsid w:val="00030B8B"/>
    <w:rsid w:val="00033DB7"/>
    <w:rsid w:val="0005107D"/>
    <w:rsid w:val="00056124"/>
    <w:rsid w:val="00064677"/>
    <w:rsid w:val="000719AD"/>
    <w:rsid w:val="00071C64"/>
    <w:rsid w:val="00072A91"/>
    <w:rsid w:val="00082102"/>
    <w:rsid w:val="00085A1C"/>
    <w:rsid w:val="00087009"/>
    <w:rsid w:val="000928AC"/>
    <w:rsid w:val="00093B47"/>
    <w:rsid w:val="0009799C"/>
    <w:rsid w:val="00097AF5"/>
    <w:rsid w:val="000B28F4"/>
    <w:rsid w:val="000C651A"/>
    <w:rsid w:val="000D19E3"/>
    <w:rsid w:val="000D5FB6"/>
    <w:rsid w:val="000F181A"/>
    <w:rsid w:val="0010743E"/>
    <w:rsid w:val="00110513"/>
    <w:rsid w:val="00111372"/>
    <w:rsid w:val="00112E7A"/>
    <w:rsid w:val="0011799C"/>
    <w:rsid w:val="00117EAE"/>
    <w:rsid w:val="00122C01"/>
    <w:rsid w:val="00135E8F"/>
    <w:rsid w:val="001460B4"/>
    <w:rsid w:val="00146F88"/>
    <w:rsid w:val="001576D7"/>
    <w:rsid w:val="0016557A"/>
    <w:rsid w:val="0017629A"/>
    <w:rsid w:val="001802F0"/>
    <w:rsid w:val="00183622"/>
    <w:rsid w:val="001843F0"/>
    <w:rsid w:val="00192817"/>
    <w:rsid w:val="00195C5F"/>
    <w:rsid w:val="001974FE"/>
    <w:rsid w:val="001A6254"/>
    <w:rsid w:val="001D1256"/>
    <w:rsid w:val="001D1369"/>
    <w:rsid w:val="001D55FA"/>
    <w:rsid w:val="001D659E"/>
    <w:rsid w:val="001F4835"/>
    <w:rsid w:val="0023588A"/>
    <w:rsid w:val="0023687E"/>
    <w:rsid w:val="00246D21"/>
    <w:rsid w:val="002537DF"/>
    <w:rsid w:val="00265064"/>
    <w:rsid w:val="00273833"/>
    <w:rsid w:val="00275B60"/>
    <w:rsid w:val="00283C20"/>
    <w:rsid w:val="002A50DF"/>
    <w:rsid w:val="002A5171"/>
    <w:rsid w:val="002B0B70"/>
    <w:rsid w:val="002D25E1"/>
    <w:rsid w:val="002D2C73"/>
    <w:rsid w:val="002D617A"/>
    <w:rsid w:val="002F0DB7"/>
    <w:rsid w:val="002F2F95"/>
    <w:rsid w:val="002F7DC7"/>
    <w:rsid w:val="003057EE"/>
    <w:rsid w:val="00305977"/>
    <w:rsid w:val="00316CB0"/>
    <w:rsid w:val="00317CF8"/>
    <w:rsid w:val="0032133F"/>
    <w:rsid w:val="003215EB"/>
    <w:rsid w:val="003222BD"/>
    <w:rsid w:val="0032697C"/>
    <w:rsid w:val="0033220C"/>
    <w:rsid w:val="00333464"/>
    <w:rsid w:val="00335DCF"/>
    <w:rsid w:val="00337162"/>
    <w:rsid w:val="003375AF"/>
    <w:rsid w:val="003376F7"/>
    <w:rsid w:val="00350239"/>
    <w:rsid w:val="003506FC"/>
    <w:rsid w:val="00356E6C"/>
    <w:rsid w:val="0036006C"/>
    <w:rsid w:val="003614F4"/>
    <w:rsid w:val="0036390F"/>
    <w:rsid w:val="00367899"/>
    <w:rsid w:val="00387376"/>
    <w:rsid w:val="003A5DE0"/>
    <w:rsid w:val="003A655A"/>
    <w:rsid w:val="003A6D92"/>
    <w:rsid w:val="003B0078"/>
    <w:rsid w:val="003B024A"/>
    <w:rsid w:val="003C066A"/>
    <w:rsid w:val="003C0DA3"/>
    <w:rsid w:val="003C38B9"/>
    <w:rsid w:val="003C4B8B"/>
    <w:rsid w:val="003F0813"/>
    <w:rsid w:val="00400034"/>
    <w:rsid w:val="00402685"/>
    <w:rsid w:val="00403DAC"/>
    <w:rsid w:val="0040488A"/>
    <w:rsid w:val="004072C8"/>
    <w:rsid w:val="00410A4E"/>
    <w:rsid w:val="0041766D"/>
    <w:rsid w:val="00420F12"/>
    <w:rsid w:val="00427786"/>
    <w:rsid w:val="00442FDB"/>
    <w:rsid w:val="00452155"/>
    <w:rsid w:val="0045743E"/>
    <w:rsid w:val="00471561"/>
    <w:rsid w:val="0047262C"/>
    <w:rsid w:val="00473F99"/>
    <w:rsid w:val="004870A4"/>
    <w:rsid w:val="00492032"/>
    <w:rsid w:val="004A2730"/>
    <w:rsid w:val="004B3197"/>
    <w:rsid w:val="004B58D4"/>
    <w:rsid w:val="004C1544"/>
    <w:rsid w:val="004C3934"/>
    <w:rsid w:val="004D2D16"/>
    <w:rsid w:val="004D7053"/>
    <w:rsid w:val="004E583A"/>
    <w:rsid w:val="004F1D7E"/>
    <w:rsid w:val="005070FD"/>
    <w:rsid w:val="005201FD"/>
    <w:rsid w:val="005342DD"/>
    <w:rsid w:val="0054408E"/>
    <w:rsid w:val="00545766"/>
    <w:rsid w:val="00555F0B"/>
    <w:rsid w:val="00561B40"/>
    <w:rsid w:val="00572B2D"/>
    <w:rsid w:val="00573EE5"/>
    <w:rsid w:val="00574537"/>
    <w:rsid w:val="0058299F"/>
    <w:rsid w:val="00584C41"/>
    <w:rsid w:val="00587661"/>
    <w:rsid w:val="005B0B3E"/>
    <w:rsid w:val="005B2277"/>
    <w:rsid w:val="005B3D65"/>
    <w:rsid w:val="005B6E74"/>
    <w:rsid w:val="005C097F"/>
    <w:rsid w:val="005C4FAD"/>
    <w:rsid w:val="005E09DE"/>
    <w:rsid w:val="005E2A47"/>
    <w:rsid w:val="005F43D1"/>
    <w:rsid w:val="006015D5"/>
    <w:rsid w:val="0063455F"/>
    <w:rsid w:val="00637E42"/>
    <w:rsid w:val="006401C0"/>
    <w:rsid w:val="00644A68"/>
    <w:rsid w:val="00662407"/>
    <w:rsid w:val="0066240F"/>
    <w:rsid w:val="0067498A"/>
    <w:rsid w:val="00676313"/>
    <w:rsid w:val="006843C7"/>
    <w:rsid w:val="0068639E"/>
    <w:rsid w:val="00691344"/>
    <w:rsid w:val="0069792F"/>
    <w:rsid w:val="006A5D08"/>
    <w:rsid w:val="006A66D3"/>
    <w:rsid w:val="006B0E90"/>
    <w:rsid w:val="006B6AA2"/>
    <w:rsid w:val="006B77B8"/>
    <w:rsid w:val="006B7F5D"/>
    <w:rsid w:val="006C5059"/>
    <w:rsid w:val="006D3EB4"/>
    <w:rsid w:val="006E27F5"/>
    <w:rsid w:val="006E3885"/>
    <w:rsid w:val="006E6AA7"/>
    <w:rsid w:val="006F53A8"/>
    <w:rsid w:val="007158F6"/>
    <w:rsid w:val="00717D4F"/>
    <w:rsid w:val="00725F13"/>
    <w:rsid w:val="00727CCE"/>
    <w:rsid w:val="00737197"/>
    <w:rsid w:val="00740DCF"/>
    <w:rsid w:val="00742199"/>
    <w:rsid w:val="00742A3D"/>
    <w:rsid w:val="00755F77"/>
    <w:rsid w:val="00761E45"/>
    <w:rsid w:val="00767AB9"/>
    <w:rsid w:val="00771393"/>
    <w:rsid w:val="00771933"/>
    <w:rsid w:val="00771B64"/>
    <w:rsid w:val="00782229"/>
    <w:rsid w:val="007962CF"/>
    <w:rsid w:val="007A0A08"/>
    <w:rsid w:val="007A301C"/>
    <w:rsid w:val="007B061D"/>
    <w:rsid w:val="007B6A0E"/>
    <w:rsid w:val="007C5C69"/>
    <w:rsid w:val="007D2BFA"/>
    <w:rsid w:val="007D51FD"/>
    <w:rsid w:val="007E7BC8"/>
    <w:rsid w:val="007F41CA"/>
    <w:rsid w:val="007F5A3E"/>
    <w:rsid w:val="0080328B"/>
    <w:rsid w:val="0080469D"/>
    <w:rsid w:val="008122AB"/>
    <w:rsid w:val="00815C5F"/>
    <w:rsid w:val="00815F0E"/>
    <w:rsid w:val="00822213"/>
    <w:rsid w:val="008331BC"/>
    <w:rsid w:val="00843DAB"/>
    <w:rsid w:val="00844241"/>
    <w:rsid w:val="00845E66"/>
    <w:rsid w:val="00847EBF"/>
    <w:rsid w:val="00853AC5"/>
    <w:rsid w:val="008622C6"/>
    <w:rsid w:val="008653EE"/>
    <w:rsid w:val="00875755"/>
    <w:rsid w:val="0088685C"/>
    <w:rsid w:val="00891BD9"/>
    <w:rsid w:val="008A2AF6"/>
    <w:rsid w:val="008A6D3A"/>
    <w:rsid w:val="008B10E6"/>
    <w:rsid w:val="008B1AAA"/>
    <w:rsid w:val="008B3479"/>
    <w:rsid w:val="008C4163"/>
    <w:rsid w:val="008C4A7A"/>
    <w:rsid w:val="008D5229"/>
    <w:rsid w:val="008D7315"/>
    <w:rsid w:val="008E022A"/>
    <w:rsid w:val="008E1F3B"/>
    <w:rsid w:val="008E4BE3"/>
    <w:rsid w:val="008F0A2A"/>
    <w:rsid w:val="008F0CB7"/>
    <w:rsid w:val="008F2C47"/>
    <w:rsid w:val="008F31D3"/>
    <w:rsid w:val="008F3286"/>
    <w:rsid w:val="0090027F"/>
    <w:rsid w:val="0090331B"/>
    <w:rsid w:val="009062BB"/>
    <w:rsid w:val="0091265F"/>
    <w:rsid w:val="009131B3"/>
    <w:rsid w:val="00914701"/>
    <w:rsid w:val="00924E21"/>
    <w:rsid w:val="0093008C"/>
    <w:rsid w:val="00941CEE"/>
    <w:rsid w:val="00941D5B"/>
    <w:rsid w:val="00961607"/>
    <w:rsid w:val="00965F35"/>
    <w:rsid w:val="009673DB"/>
    <w:rsid w:val="00980867"/>
    <w:rsid w:val="0098123E"/>
    <w:rsid w:val="00991D9F"/>
    <w:rsid w:val="00992E5E"/>
    <w:rsid w:val="009A037D"/>
    <w:rsid w:val="009A2F6E"/>
    <w:rsid w:val="009A349B"/>
    <w:rsid w:val="009B5B85"/>
    <w:rsid w:val="009C10A0"/>
    <w:rsid w:val="009C290C"/>
    <w:rsid w:val="009D00AF"/>
    <w:rsid w:val="009E069A"/>
    <w:rsid w:val="009E22ED"/>
    <w:rsid w:val="009E57E3"/>
    <w:rsid w:val="009F1E8F"/>
    <w:rsid w:val="009F2438"/>
    <w:rsid w:val="009F2F43"/>
    <w:rsid w:val="00A13A60"/>
    <w:rsid w:val="00A156E4"/>
    <w:rsid w:val="00A17022"/>
    <w:rsid w:val="00A26100"/>
    <w:rsid w:val="00A37E0A"/>
    <w:rsid w:val="00A37E5F"/>
    <w:rsid w:val="00A40862"/>
    <w:rsid w:val="00A634D5"/>
    <w:rsid w:val="00A75E31"/>
    <w:rsid w:val="00A77AA8"/>
    <w:rsid w:val="00A85E03"/>
    <w:rsid w:val="00A922BD"/>
    <w:rsid w:val="00A968BA"/>
    <w:rsid w:val="00AA203C"/>
    <w:rsid w:val="00AA3068"/>
    <w:rsid w:val="00AA31B5"/>
    <w:rsid w:val="00AB6267"/>
    <w:rsid w:val="00AB76AB"/>
    <w:rsid w:val="00AC4739"/>
    <w:rsid w:val="00AC5834"/>
    <w:rsid w:val="00AD34A7"/>
    <w:rsid w:val="00AD3559"/>
    <w:rsid w:val="00AD563A"/>
    <w:rsid w:val="00AE2DDC"/>
    <w:rsid w:val="00AF4DAC"/>
    <w:rsid w:val="00B01CD0"/>
    <w:rsid w:val="00B02547"/>
    <w:rsid w:val="00B0505C"/>
    <w:rsid w:val="00B32B83"/>
    <w:rsid w:val="00B35BBE"/>
    <w:rsid w:val="00B363BD"/>
    <w:rsid w:val="00B53474"/>
    <w:rsid w:val="00B53C4A"/>
    <w:rsid w:val="00B542FE"/>
    <w:rsid w:val="00B610D7"/>
    <w:rsid w:val="00B71CD3"/>
    <w:rsid w:val="00B803C7"/>
    <w:rsid w:val="00B954CC"/>
    <w:rsid w:val="00BA06AC"/>
    <w:rsid w:val="00BA0C20"/>
    <w:rsid w:val="00BA7181"/>
    <w:rsid w:val="00BB7E3C"/>
    <w:rsid w:val="00BC2641"/>
    <w:rsid w:val="00BD2E89"/>
    <w:rsid w:val="00BF4724"/>
    <w:rsid w:val="00BF6BBA"/>
    <w:rsid w:val="00C014F1"/>
    <w:rsid w:val="00C10A5C"/>
    <w:rsid w:val="00C10F82"/>
    <w:rsid w:val="00C11256"/>
    <w:rsid w:val="00C125F3"/>
    <w:rsid w:val="00C12A84"/>
    <w:rsid w:val="00C13407"/>
    <w:rsid w:val="00C21584"/>
    <w:rsid w:val="00C37412"/>
    <w:rsid w:val="00C41598"/>
    <w:rsid w:val="00C6158F"/>
    <w:rsid w:val="00C65786"/>
    <w:rsid w:val="00C73557"/>
    <w:rsid w:val="00C7357D"/>
    <w:rsid w:val="00C94A9B"/>
    <w:rsid w:val="00C94AE1"/>
    <w:rsid w:val="00CB2A03"/>
    <w:rsid w:val="00CB5572"/>
    <w:rsid w:val="00CD649B"/>
    <w:rsid w:val="00CD7E7F"/>
    <w:rsid w:val="00CF5149"/>
    <w:rsid w:val="00CF54CC"/>
    <w:rsid w:val="00D04767"/>
    <w:rsid w:val="00D077ED"/>
    <w:rsid w:val="00D16B0F"/>
    <w:rsid w:val="00D2234E"/>
    <w:rsid w:val="00D22E5A"/>
    <w:rsid w:val="00D2699C"/>
    <w:rsid w:val="00D34562"/>
    <w:rsid w:val="00D41C4C"/>
    <w:rsid w:val="00D456F5"/>
    <w:rsid w:val="00D56D4C"/>
    <w:rsid w:val="00D77E5F"/>
    <w:rsid w:val="00D844B4"/>
    <w:rsid w:val="00D91982"/>
    <w:rsid w:val="00D91BDD"/>
    <w:rsid w:val="00D92EB6"/>
    <w:rsid w:val="00DA1928"/>
    <w:rsid w:val="00DA2651"/>
    <w:rsid w:val="00DA708B"/>
    <w:rsid w:val="00DC20EB"/>
    <w:rsid w:val="00DC41F0"/>
    <w:rsid w:val="00DD174B"/>
    <w:rsid w:val="00DD27EE"/>
    <w:rsid w:val="00DD4719"/>
    <w:rsid w:val="00DE29BB"/>
    <w:rsid w:val="00DF1818"/>
    <w:rsid w:val="00DF5A46"/>
    <w:rsid w:val="00DF6B6F"/>
    <w:rsid w:val="00E004DC"/>
    <w:rsid w:val="00E01BC7"/>
    <w:rsid w:val="00E04040"/>
    <w:rsid w:val="00E04566"/>
    <w:rsid w:val="00E04AA2"/>
    <w:rsid w:val="00E13039"/>
    <w:rsid w:val="00E215E6"/>
    <w:rsid w:val="00E24FF1"/>
    <w:rsid w:val="00E30ABB"/>
    <w:rsid w:val="00E34326"/>
    <w:rsid w:val="00E430A0"/>
    <w:rsid w:val="00E464CA"/>
    <w:rsid w:val="00E51C4E"/>
    <w:rsid w:val="00E70A70"/>
    <w:rsid w:val="00E7188E"/>
    <w:rsid w:val="00E9408D"/>
    <w:rsid w:val="00E94F28"/>
    <w:rsid w:val="00EA2AD0"/>
    <w:rsid w:val="00EA2B5D"/>
    <w:rsid w:val="00EB3166"/>
    <w:rsid w:val="00EB7568"/>
    <w:rsid w:val="00EC07CF"/>
    <w:rsid w:val="00EC1E1D"/>
    <w:rsid w:val="00EC74C9"/>
    <w:rsid w:val="00ED1688"/>
    <w:rsid w:val="00ED2700"/>
    <w:rsid w:val="00EE4864"/>
    <w:rsid w:val="00EE55EB"/>
    <w:rsid w:val="00EE7C30"/>
    <w:rsid w:val="00EF3963"/>
    <w:rsid w:val="00EF58DA"/>
    <w:rsid w:val="00EF7717"/>
    <w:rsid w:val="00F0589B"/>
    <w:rsid w:val="00F125AD"/>
    <w:rsid w:val="00F12929"/>
    <w:rsid w:val="00F14A09"/>
    <w:rsid w:val="00F1744E"/>
    <w:rsid w:val="00F20EE0"/>
    <w:rsid w:val="00F30F2D"/>
    <w:rsid w:val="00F36A82"/>
    <w:rsid w:val="00F40488"/>
    <w:rsid w:val="00F45E54"/>
    <w:rsid w:val="00F50D97"/>
    <w:rsid w:val="00F575B8"/>
    <w:rsid w:val="00F611C5"/>
    <w:rsid w:val="00F7372C"/>
    <w:rsid w:val="00F87D53"/>
    <w:rsid w:val="00F905B1"/>
    <w:rsid w:val="00F90E99"/>
    <w:rsid w:val="00F9392B"/>
    <w:rsid w:val="00F93E0C"/>
    <w:rsid w:val="00F97868"/>
    <w:rsid w:val="00FB52EC"/>
    <w:rsid w:val="00FC44BB"/>
    <w:rsid w:val="00FC4522"/>
    <w:rsid w:val="00FD05C0"/>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0A0"/>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customStyle="1" w:styleId="TF">
    <w:name w:val="TF"/>
    <w:basedOn w:val="TH"/>
    <w:link w:val="TFChar"/>
    <w:rsid w:val="002D617A"/>
    <w:pPr>
      <w:keepNext w:val="0"/>
      <w:spacing w:before="0" w:after="240"/>
    </w:pPr>
    <w:rPr>
      <w:rFonts w:eastAsia="Times New Roman"/>
      <w:lang w:eastAsia="x-none"/>
    </w:rPr>
  </w:style>
  <w:style w:type="character" w:customStyle="1" w:styleId="TFChar">
    <w:name w:val="TF Char"/>
    <w:link w:val="TF"/>
    <w:rsid w:val="002D617A"/>
    <w:rPr>
      <w:rFonts w:ascii="Arial" w:eastAsia="Times New Roman" w:hAnsi="Arial" w:cs="Times New Roman"/>
      <w:b/>
      <w:sz w:val="20"/>
      <w:szCs w:val="20"/>
      <w:lang w:val="en-GB" w:eastAsia="x-none"/>
    </w:rPr>
  </w:style>
  <w:style w:type="paragraph" w:styleId="NormalWeb">
    <w:name w:val="Normal (Web)"/>
    <w:basedOn w:val="Normal"/>
    <w:uiPriority w:val="99"/>
    <w:unhideWhenUsed/>
    <w:rsid w:val="005C097F"/>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A37E5F"/>
    <w:pPr>
      <w:spacing w:after="0" w:line="240" w:lineRule="auto"/>
    </w:pPr>
    <w:rPr>
      <w:rFonts w:ascii="Calibri" w:eastAsia="SimSun" w:hAnsi="Calibri" w:cs="Times New Roman"/>
    </w:rPr>
  </w:style>
  <w:style w:type="paragraph" w:customStyle="1" w:styleId="3GPPHeader">
    <w:name w:val="3GPP_Header"/>
    <w:basedOn w:val="Normal"/>
    <w:rsid w:val="009D00AF"/>
    <w:pPr>
      <w:tabs>
        <w:tab w:val="left" w:pos="1701"/>
        <w:tab w:val="right" w:pos="9639"/>
      </w:tabs>
      <w:overflowPunct w:val="0"/>
      <w:autoSpaceDE w:val="0"/>
      <w:autoSpaceDN w:val="0"/>
      <w:adjustRightInd w:val="0"/>
      <w:spacing w:after="240" w:line="240" w:lineRule="auto"/>
      <w:jc w:val="both"/>
      <w:textAlignment w:val="baseline"/>
    </w:pPr>
    <w:rPr>
      <w:rFonts w:ascii="Arial" w:hAnsi="Arial" w:cs="CG Times (W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252593562">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59902877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58378676">
      <w:bodyDiv w:val="1"/>
      <w:marLeft w:val="0"/>
      <w:marRight w:val="0"/>
      <w:marTop w:val="0"/>
      <w:marBottom w:val="0"/>
      <w:divBdr>
        <w:top w:val="none" w:sz="0" w:space="0" w:color="auto"/>
        <w:left w:val="none" w:sz="0" w:space="0" w:color="auto"/>
        <w:bottom w:val="none" w:sz="0" w:space="0" w:color="auto"/>
        <w:right w:val="none" w:sz="0" w:space="0" w:color="auto"/>
      </w:divBdr>
    </w:div>
    <w:div w:id="21315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1B9160-4AEA-45B7-9432-217CC167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5</Pages>
  <Words>2169</Words>
  <Characters>11487</Characters>
  <Application>Microsoft Office Word</Application>
  <DocSecurity>0</DocSecurity>
  <Lines>229</Lines>
  <Paragraphs>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18</cp:revision>
  <dcterms:created xsi:type="dcterms:W3CDTF">2019-04-30T23:37:00Z</dcterms:created>
  <dcterms:modified xsi:type="dcterms:W3CDTF">2019-05-03T05:03:00Z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b20b506a-5053-4a9e-b736-2461d8728312</vt:lpwstr>
  </property>
  <property fmtid="{D5CDD505-2E9C-101B-9397-08002B2CF9AE}" pid="3" name="CTP_TimeStamp">
    <vt:lpwstr>2019-05-03 05:03:26Z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