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09495" w14:textId="77777777" w:rsidR="009909BD" w:rsidRDefault="009909BD" w:rsidP="009909BD">
      <w:pPr>
        <w:pStyle w:val="CRCoverPage"/>
        <w:tabs>
          <w:tab w:val="right" w:pos="8640"/>
        </w:tabs>
        <w:spacing w:after="0"/>
        <w:ind w:right="1260"/>
        <w:rPr>
          <w:b/>
          <w:noProof/>
          <w:sz w:val="24"/>
        </w:rPr>
      </w:pPr>
    </w:p>
    <w:p w14:paraId="01A0F8F1" w14:textId="691B5B97" w:rsidR="009909BD" w:rsidRDefault="009909BD" w:rsidP="009909BD">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7D4024">
        <w:rPr>
          <w:rFonts w:ascii="Arial" w:eastAsia="Times New Roman" w:hAnsi="Arial"/>
          <w:b/>
          <w:sz w:val="24"/>
          <w:szCs w:val="24"/>
        </w:rPr>
        <w:t xml:space="preserve">6                                                           </w:t>
      </w:r>
      <w:r w:rsidR="00FC26EC" w:rsidRPr="00471FDF">
        <w:rPr>
          <w:rFonts w:ascii="Arial" w:hAnsi="Arial" w:cs="Arial"/>
          <w:b/>
          <w:bCs/>
          <w:color w:val="000000"/>
          <w:sz w:val="26"/>
          <w:szCs w:val="26"/>
        </w:rPr>
        <w:t>R2-190578</w:t>
      </w:r>
      <w:r w:rsidR="003B5055">
        <w:rPr>
          <w:rFonts w:ascii="Arial" w:hAnsi="Arial" w:cs="Arial"/>
          <w:b/>
          <w:bCs/>
          <w:color w:val="000000"/>
          <w:sz w:val="26"/>
          <w:szCs w:val="26"/>
        </w:rPr>
        <w:t>8</w:t>
      </w:r>
    </w:p>
    <w:p w14:paraId="177ADCBE" w14:textId="24794620" w:rsidR="009909BD" w:rsidRDefault="007D4024" w:rsidP="009909BD">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9909BD">
        <w:rPr>
          <w:rFonts w:ascii="Arial" w:hAnsi="Arial"/>
          <w:b/>
          <w:sz w:val="24"/>
          <w:szCs w:val="24"/>
          <w:lang w:eastAsia="zh-CN"/>
        </w:rPr>
        <w:tab/>
      </w:r>
    </w:p>
    <w:p w14:paraId="5F73186C" w14:textId="77777777" w:rsidR="009909BD" w:rsidRPr="006D3016" w:rsidRDefault="009909BD" w:rsidP="009909BD">
      <w:pPr>
        <w:widowControl w:val="0"/>
        <w:spacing w:after="0"/>
        <w:rPr>
          <w:rFonts w:ascii="Arial" w:eastAsia="Times New Roman" w:hAnsi="Arial"/>
          <w:b/>
          <w:bCs/>
          <w:sz w:val="24"/>
        </w:rPr>
      </w:pPr>
    </w:p>
    <w:p w14:paraId="5D7CE3CD" w14:textId="5E62F3F3" w:rsidR="009909BD" w:rsidRPr="006D3016" w:rsidRDefault="009909BD" w:rsidP="009909B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C26EC">
        <w:rPr>
          <w:rFonts w:ascii="Arial" w:eastAsia="MS Mincho" w:hAnsi="Arial" w:cs="Arial"/>
          <w:b/>
          <w:bCs/>
          <w:sz w:val="24"/>
        </w:rPr>
        <w:t>11.9.3.1</w:t>
      </w:r>
      <w:r>
        <w:rPr>
          <w:rFonts w:ascii="Arial" w:eastAsia="MS Mincho" w:hAnsi="Arial" w:cs="Arial"/>
          <w:b/>
          <w:bCs/>
          <w:sz w:val="24"/>
        </w:rPr>
        <w:t xml:space="preserve"> </w:t>
      </w:r>
    </w:p>
    <w:p w14:paraId="1B3C1BAC" w14:textId="77777777" w:rsidR="009909BD" w:rsidRDefault="009909BD" w:rsidP="009909B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BFE540C" w14:textId="31CBFE57"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B5055" w:rsidRPr="003B5055">
        <w:rPr>
          <w:rFonts w:ascii="Arial" w:eastAsia="Times New Roman" w:hAnsi="Arial" w:cs="Arial"/>
          <w:b/>
          <w:bCs/>
          <w:sz w:val="24"/>
        </w:rPr>
        <w:t>Conditional HO to improve mobility robustness</w:t>
      </w:r>
    </w:p>
    <w:p w14:paraId="16EB43E7" w14:textId="77777777" w:rsidR="009909BD"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5A98ABFD" w14:textId="0C2630C2"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E0AF628" w14:textId="4CC6577F" w:rsidR="009909BD" w:rsidRDefault="00F15C25" w:rsidP="009909BD">
      <w:pPr>
        <w:pStyle w:val="Heading1"/>
        <w:numPr>
          <w:ilvl w:val="0"/>
          <w:numId w:val="1"/>
        </w:numPr>
        <w:pBdr>
          <w:top w:val="single" w:sz="12" w:space="2" w:color="auto"/>
        </w:pBdr>
      </w:pPr>
      <w:r>
        <w:t>Introduction</w:t>
      </w:r>
      <w:r w:rsidR="009909BD">
        <w:t xml:space="preserve"> </w:t>
      </w:r>
    </w:p>
    <w:p w14:paraId="1C497CC6" w14:textId="5C9C8D27" w:rsidR="009909BD" w:rsidRDefault="007D4024" w:rsidP="009909BD">
      <w:r>
        <w:t>Below are the agreements from RAN2#105bis on support of conditional HO in NR.</w:t>
      </w:r>
    </w:p>
    <w:p w14:paraId="38F0933D"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Agreements</w:t>
      </w:r>
    </w:p>
    <w:p w14:paraId="004D63CE"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0:</w:t>
      </w:r>
      <w:r w:rsidRPr="007644CE">
        <w:tab/>
        <w:t>CHO is introduced in NR to solve robustness/reliability issue.</w:t>
      </w:r>
    </w:p>
    <w:p w14:paraId="33FA84BE"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2CC33BA0"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 xml:space="preserve">1:The LTE agreements below are applicable for NR: </w:t>
      </w:r>
    </w:p>
    <w:p w14:paraId="58D33FBE"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3B4134F7"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 xml:space="preserve">a/ CHO is defined as UE having network configuration for initiating access to a target cell based on configured condition(s). </w:t>
      </w:r>
    </w:p>
    <w:p w14:paraId="4F99B282"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b/ Usage of conditional handover is decided by network. UE evaluates when the condition is valid.</w:t>
      </w:r>
    </w:p>
    <w:p w14:paraId="566209B4"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c/ Support configuration of one or more candidate cells for conditional handover;</w:t>
      </w:r>
    </w:p>
    <w:p w14:paraId="0A1B2E7D"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=&gt;</w:t>
      </w:r>
      <w:r w:rsidRPr="007644CE">
        <w:tab/>
        <w:t>FFS how many candidate cells (UE and network impacts should be clarified).</w:t>
      </w:r>
    </w:p>
    <w:p w14:paraId="4FD31AB2"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=&gt;</w:t>
      </w:r>
      <w:r w:rsidRPr="007644CE">
        <w:tab/>
        <w:t>FFS how to include the CHO conditions in UE configuration</w:t>
      </w:r>
    </w:p>
    <w:p w14:paraId="70B3FBB9"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43CCD8F9"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d/ The baseline operation for Conditional HO procedure assumes HO command type of message contains HO triggering condition(s) and dedicated RRC configuration(s). UE accesses the prepared target when the relevant condition is met.</w:t>
      </w:r>
    </w:p>
    <w:p w14:paraId="24ACB089"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 xml:space="preserve">e/ The baseline operation for Conditional HO assumes the source RAN remains responsible for RRC until UE successfully sends RRC Reconfiguration Complete message to target RAN. </w:t>
      </w:r>
    </w:p>
    <w:p w14:paraId="0FFD36B6"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 xml:space="preserve">f/ </w:t>
      </w:r>
      <w:r w:rsidRPr="007644CE">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0028ADC7"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339F4D9C"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2</w:t>
      </w:r>
      <w:r w:rsidRPr="007644CE">
        <w:tab/>
        <w:t>Cell level quality is used as baseline for CHO execution condition;</w:t>
      </w:r>
    </w:p>
    <w:p w14:paraId="01713ADC"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FFS: on whether beam quality is used as input for CHO execution condition.</w:t>
      </w:r>
    </w:p>
    <w:p w14:paraId="6FEBBBF9"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4197262F"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 RS type SSB can be used</w:t>
      </w:r>
    </w:p>
    <w:p w14:paraId="5EA0BFA6"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FFS: CSI-RS, use of more than one RS type</w:t>
      </w:r>
    </w:p>
    <w:p w14:paraId="57E536B1"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0F701A04"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4</w:t>
      </w:r>
      <w:r w:rsidRPr="007644CE">
        <w:tab/>
        <w:t>Ax events (entry condition) are used for CHO execution condition and A3/5 as baseline</w:t>
      </w:r>
    </w:p>
    <w:p w14:paraId="5AA2CCA4"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FFS: on other events</w:t>
      </w:r>
    </w:p>
    <w:p w14:paraId="32918A78"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1479DDBC"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5</w:t>
      </w:r>
      <w:r w:rsidRPr="007644CE">
        <w:tab/>
        <w:t xml:space="preserve">Trigger quantity for CHO execution condition(RSRP, RSRQ or RS-SINR) is configured by network. </w:t>
      </w:r>
    </w:p>
    <w:p w14:paraId="223C3B5B"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FFS: on multiple quantities.</w:t>
      </w:r>
    </w:p>
    <w:p w14:paraId="7BBDE587"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p>
    <w:p w14:paraId="3F1B5338" w14:textId="77777777" w:rsidR="007D4024" w:rsidRPr="007644CE" w:rsidRDefault="007D4024" w:rsidP="007D4024">
      <w:pPr>
        <w:pStyle w:val="Doc-text2"/>
        <w:pBdr>
          <w:top w:val="single" w:sz="4" w:space="1" w:color="auto"/>
          <w:left w:val="single" w:sz="4" w:space="4" w:color="auto"/>
          <w:bottom w:val="single" w:sz="4" w:space="1" w:color="auto"/>
          <w:right w:val="single" w:sz="4" w:space="4" w:color="auto"/>
        </w:pBdr>
      </w:pPr>
      <w:r w:rsidRPr="007644CE">
        <w:t xml:space="preserve">FFS: Enhancements to the above CHO framework to specifically address usage in FR2 (e.g. address high number of handovers, RLFs, </w:t>
      </w:r>
      <w:proofErr w:type="spellStart"/>
      <w:r w:rsidRPr="007644CE">
        <w:t>etc</w:t>
      </w:r>
      <w:proofErr w:type="spellEnd"/>
      <w:r w:rsidRPr="007644CE">
        <w:t>)</w:t>
      </w:r>
    </w:p>
    <w:p w14:paraId="7CE0036E" w14:textId="55F49168" w:rsidR="007D4024" w:rsidRDefault="000C25D8" w:rsidP="009909BD">
      <w:r>
        <w:t xml:space="preserve">These baseline agreements only cover the high level conditional HO configuration aspects. In this paper, we discuss the additional details on source cell connection handling, traditional HO handling during CHO, CHO configuration change handling aspects. </w:t>
      </w:r>
    </w:p>
    <w:p w14:paraId="4A446809" w14:textId="567B324F" w:rsidR="009909BD" w:rsidRDefault="009909BD" w:rsidP="009909BD">
      <w:pPr>
        <w:pStyle w:val="Heading1"/>
        <w:numPr>
          <w:ilvl w:val="0"/>
          <w:numId w:val="1"/>
        </w:numPr>
        <w:pBdr>
          <w:top w:val="single" w:sz="12" w:space="2" w:color="auto"/>
        </w:pBdr>
      </w:pPr>
      <w:r>
        <w:lastRenderedPageBreak/>
        <w:t>Discussion</w:t>
      </w:r>
    </w:p>
    <w:p w14:paraId="15A6B166" w14:textId="4BAFF57A" w:rsidR="002757DC" w:rsidRDefault="002757DC" w:rsidP="002757DC">
      <w:r>
        <w:fldChar w:fldCharType="begin"/>
      </w:r>
      <w:r>
        <w:instrText xml:space="preserve"> REF _Ref876263 \h </w:instrText>
      </w:r>
      <w:r>
        <w:fldChar w:fldCharType="separate"/>
      </w:r>
      <w:r>
        <w:t xml:space="preserve">Figure </w:t>
      </w:r>
      <w:r>
        <w:rPr>
          <w:noProof/>
        </w:rPr>
        <w:t>1</w:t>
      </w:r>
      <w:r>
        <w:fldChar w:fldCharType="end"/>
      </w:r>
      <w:r>
        <w:t xml:space="preserve"> below shows the </w:t>
      </w:r>
      <w:proofErr w:type="spellStart"/>
      <w:r>
        <w:t>signaling</w:t>
      </w:r>
      <w:proofErr w:type="spellEnd"/>
      <w:r>
        <w:t xml:space="preserve"> procedures to support conditional HO. CHO has three phases </w:t>
      </w:r>
      <w:proofErr w:type="gramStart"/>
      <w:r>
        <w:t>similar to</w:t>
      </w:r>
      <w:proofErr w:type="gramEnd"/>
      <w:r>
        <w:t xml:space="preserve"> traditional HO. However, there are multiple aspects of the HO procedures that are different for CHO compared to traditional HO. Below we discuss the changes to be supported for CHO. </w:t>
      </w:r>
    </w:p>
    <w:p w14:paraId="14638E9B" w14:textId="77777777" w:rsidR="009E26C0" w:rsidRPr="009E26C0" w:rsidRDefault="009E26C0" w:rsidP="009E26C0"/>
    <w:p w14:paraId="6C74A7DD" w14:textId="71DCFDCC" w:rsidR="005B32A6" w:rsidRPr="005B32A6" w:rsidRDefault="005C4A27" w:rsidP="005B32A6">
      <w:r>
        <w:object w:dxaOrig="12015" w:dyaOrig="7860" w14:anchorId="0BB23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99.85pt" o:ole="">
            <v:imagedata r:id="rId8" o:title=""/>
          </v:shape>
          <o:OLEObject Type="Embed" ProgID="Visio.Drawing.15" ShapeID="_x0000_i1025" DrawAspect="Content" ObjectID="_1618311685" r:id="rId9"/>
        </w:object>
      </w:r>
    </w:p>
    <w:p w14:paraId="2C6A696E" w14:textId="384F8015" w:rsidR="009E26C0" w:rsidRDefault="009E26C0" w:rsidP="009E26C0">
      <w:pPr>
        <w:pStyle w:val="Caption"/>
      </w:pPr>
      <w:bookmarkStart w:id="1" w:name="_Ref876263"/>
      <w:r>
        <w:t xml:space="preserve">Figure </w:t>
      </w:r>
      <w:r>
        <w:fldChar w:fldCharType="begin"/>
      </w:r>
      <w:r>
        <w:instrText xml:space="preserve"> SEQ Figure \* ARABIC </w:instrText>
      </w:r>
      <w:r>
        <w:fldChar w:fldCharType="separate"/>
      </w:r>
      <w:r>
        <w:rPr>
          <w:noProof/>
        </w:rPr>
        <w:t>1</w:t>
      </w:r>
      <w:r>
        <w:fldChar w:fldCharType="end"/>
      </w:r>
      <w:bookmarkEnd w:id="1"/>
      <w:r>
        <w:t>. Conditional HO procedure</w:t>
      </w:r>
    </w:p>
    <w:p w14:paraId="3235BE21" w14:textId="5EBE7465" w:rsidR="00E00F9C" w:rsidRPr="00E00F9C" w:rsidRDefault="00E00F9C" w:rsidP="00E00F9C">
      <w:pPr>
        <w:pStyle w:val="Heading2"/>
        <w:numPr>
          <w:ilvl w:val="1"/>
          <w:numId w:val="18"/>
        </w:numPr>
        <w:rPr>
          <w:rFonts w:ascii="Arial" w:hAnsi="Arial" w:cs="Arial"/>
          <w:color w:val="auto"/>
          <w:sz w:val="28"/>
          <w:szCs w:val="28"/>
        </w:rPr>
      </w:pPr>
      <w:r>
        <w:rPr>
          <w:rFonts w:ascii="Arial" w:hAnsi="Arial" w:cs="Arial"/>
          <w:color w:val="auto"/>
          <w:sz w:val="28"/>
          <w:szCs w:val="28"/>
        </w:rPr>
        <w:t xml:space="preserve">Source cell </w:t>
      </w:r>
      <w:r w:rsidR="00682BB2">
        <w:rPr>
          <w:rFonts w:ascii="Arial" w:hAnsi="Arial" w:cs="Arial"/>
          <w:color w:val="auto"/>
          <w:sz w:val="28"/>
          <w:szCs w:val="28"/>
        </w:rPr>
        <w:t>connection handling</w:t>
      </w:r>
    </w:p>
    <w:p w14:paraId="75DD2E4E" w14:textId="554EDA0D" w:rsidR="0070584A" w:rsidRDefault="0070584A" w:rsidP="0070584A">
      <w:pPr>
        <w:spacing w:before="120"/>
      </w:pPr>
      <w:r>
        <w:t xml:space="preserve">As the CHO information </w:t>
      </w:r>
      <w:r w:rsidR="002757DC">
        <w:t>sent</w:t>
      </w:r>
      <w:r>
        <w:t xml:space="preserve"> in step 3 is only to inform the UE on when to trigger the HO</w:t>
      </w:r>
      <w:r w:rsidR="002757DC">
        <w:t xml:space="preserve"> but not to trigger a traditional HO</w:t>
      </w:r>
      <w:r>
        <w:t xml:space="preserve">, the UE should continue operating on the source cell connection without releasing </w:t>
      </w:r>
      <w:r w:rsidR="002757DC">
        <w:t xml:space="preserve">the source connection (unlike traditional HO). Thus, to support operating on source cell connection, UE should continue RRM on source cell and support measurement report as per the source cell measurement configuration. </w:t>
      </w:r>
    </w:p>
    <w:p w14:paraId="040507F7" w14:textId="500F31CC" w:rsidR="00BF61D9" w:rsidRPr="00BF61D9" w:rsidRDefault="002757DC" w:rsidP="00BF61D9">
      <w:pPr>
        <w:pStyle w:val="Caption"/>
        <w:spacing w:after="0"/>
        <w:rPr>
          <w:b/>
          <w:i w:val="0"/>
          <w:color w:val="auto"/>
          <w:sz w:val="20"/>
          <w:szCs w:val="20"/>
        </w:rPr>
      </w:pPr>
      <w:bookmarkStart w:id="2" w:name="_Ref903012"/>
      <w:bookmarkStart w:id="3" w:name="_Ref7013624"/>
      <w:r w:rsidRPr="002757DC">
        <w:rPr>
          <w:b/>
          <w:i w:val="0"/>
          <w:color w:val="auto"/>
          <w:sz w:val="20"/>
          <w:szCs w:val="20"/>
        </w:rPr>
        <w:t xml:space="preserve">Proposal </w:t>
      </w:r>
      <w:r w:rsidRPr="002757DC">
        <w:rPr>
          <w:b/>
          <w:i w:val="0"/>
          <w:color w:val="auto"/>
          <w:sz w:val="20"/>
          <w:szCs w:val="20"/>
        </w:rPr>
        <w:fldChar w:fldCharType="begin"/>
      </w:r>
      <w:r w:rsidRPr="002757DC">
        <w:rPr>
          <w:b/>
          <w:i w:val="0"/>
          <w:color w:val="auto"/>
          <w:sz w:val="20"/>
          <w:szCs w:val="20"/>
        </w:rPr>
        <w:instrText xml:space="preserve"> SEQ Proposal \* ARABIC </w:instrText>
      </w:r>
      <w:r w:rsidRPr="002757DC">
        <w:rPr>
          <w:b/>
          <w:i w:val="0"/>
          <w:color w:val="auto"/>
          <w:sz w:val="20"/>
          <w:szCs w:val="20"/>
        </w:rPr>
        <w:fldChar w:fldCharType="separate"/>
      </w:r>
      <w:r w:rsidR="000C25D8">
        <w:rPr>
          <w:b/>
          <w:i w:val="0"/>
          <w:noProof/>
          <w:color w:val="auto"/>
          <w:sz w:val="20"/>
          <w:szCs w:val="20"/>
        </w:rPr>
        <w:t>1</w:t>
      </w:r>
      <w:r w:rsidRPr="002757DC">
        <w:rPr>
          <w:b/>
          <w:i w:val="0"/>
          <w:color w:val="auto"/>
          <w:sz w:val="20"/>
          <w:szCs w:val="20"/>
        </w:rPr>
        <w:fldChar w:fldCharType="end"/>
      </w:r>
      <w:r w:rsidRPr="002757DC">
        <w:rPr>
          <w:b/>
          <w:i w:val="0"/>
          <w:color w:val="auto"/>
          <w:sz w:val="20"/>
          <w:szCs w:val="20"/>
        </w:rPr>
        <w:t xml:space="preserve">. </w:t>
      </w:r>
      <w:r w:rsidR="0070584A" w:rsidRPr="002757DC">
        <w:rPr>
          <w:b/>
          <w:i w:val="0"/>
          <w:color w:val="auto"/>
          <w:sz w:val="20"/>
          <w:szCs w:val="20"/>
        </w:rPr>
        <w:t xml:space="preserve">UE continues measurements/reporting on source </w:t>
      </w:r>
      <w:r>
        <w:rPr>
          <w:b/>
          <w:i w:val="0"/>
          <w:color w:val="auto"/>
          <w:sz w:val="20"/>
          <w:szCs w:val="20"/>
        </w:rPr>
        <w:t xml:space="preserve">cell </w:t>
      </w:r>
      <w:r w:rsidR="0070584A" w:rsidRPr="002757DC">
        <w:rPr>
          <w:b/>
          <w:i w:val="0"/>
          <w:color w:val="auto"/>
          <w:sz w:val="20"/>
          <w:szCs w:val="20"/>
        </w:rPr>
        <w:t>as per the serving cell baseline configuration even after receiving the CHO comman</w:t>
      </w:r>
      <w:bookmarkEnd w:id="2"/>
      <w:r w:rsidR="00BF61D9">
        <w:rPr>
          <w:b/>
          <w:i w:val="0"/>
          <w:color w:val="auto"/>
          <w:sz w:val="20"/>
          <w:szCs w:val="20"/>
        </w:rPr>
        <w:t>d.</w:t>
      </w:r>
      <w:bookmarkEnd w:id="3"/>
    </w:p>
    <w:p w14:paraId="78434C29" w14:textId="49D32AD3" w:rsidR="00BF61D9" w:rsidRPr="00BF61D9" w:rsidRDefault="00BF61D9" w:rsidP="00BF61D9">
      <w:pPr>
        <w:spacing w:before="120"/>
      </w:pPr>
      <w:r>
        <w:t xml:space="preserve">When the CHO execution criteria </w:t>
      </w:r>
      <w:proofErr w:type="gramStart"/>
      <w:r>
        <w:t>is</w:t>
      </w:r>
      <w:proofErr w:type="gramEnd"/>
      <w:r>
        <w:t xml:space="preserve"> met, UE performs traditional HO procedure with the candidate target cell. That </w:t>
      </w:r>
      <w:bookmarkStart w:id="4" w:name="_GoBack"/>
      <w:r>
        <w:t xml:space="preserve">is, the UE releases the source cell connection and initiates RACH with the target cell. </w:t>
      </w:r>
    </w:p>
    <w:p w14:paraId="0F804E53" w14:textId="39A38F86" w:rsidR="00BF61D9" w:rsidRPr="00BF61D9" w:rsidRDefault="00BF61D9" w:rsidP="00BF61D9">
      <w:pPr>
        <w:spacing w:before="120"/>
        <w:rPr>
          <w:b/>
        </w:rPr>
      </w:pPr>
      <w:bookmarkStart w:id="5" w:name="_Ref7013629"/>
      <w:r w:rsidRPr="002757DC">
        <w:rPr>
          <w:b/>
        </w:rPr>
        <w:t xml:space="preserve">Proposal </w:t>
      </w:r>
      <w:r w:rsidRPr="00BF61D9">
        <w:rPr>
          <w:b/>
        </w:rPr>
        <w:fldChar w:fldCharType="begin"/>
      </w:r>
      <w:r w:rsidRPr="002757DC">
        <w:rPr>
          <w:b/>
        </w:rPr>
        <w:instrText xml:space="preserve"> SEQ Proposal \* ARABIC </w:instrText>
      </w:r>
      <w:r w:rsidRPr="00BF61D9">
        <w:rPr>
          <w:b/>
        </w:rPr>
        <w:fldChar w:fldCharType="separate"/>
      </w:r>
      <w:r>
        <w:rPr>
          <w:b/>
          <w:noProof/>
        </w:rPr>
        <w:t>2</w:t>
      </w:r>
      <w:r w:rsidRPr="00BF61D9">
        <w:rPr>
          <w:b/>
        </w:rPr>
        <w:fldChar w:fldCharType="end"/>
      </w:r>
      <w:r w:rsidRPr="002757DC">
        <w:rPr>
          <w:b/>
        </w:rPr>
        <w:t xml:space="preserve">. </w:t>
      </w:r>
      <w:r w:rsidR="002125F3">
        <w:rPr>
          <w:b/>
        </w:rPr>
        <w:t>UE releases the</w:t>
      </w:r>
      <w:r w:rsidR="000C25D8" w:rsidRPr="000C25D8">
        <w:rPr>
          <w:b/>
        </w:rPr>
        <w:t xml:space="preserve"> source cell </w:t>
      </w:r>
      <w:r w:rsidR="002125F3">
        <w:rPr>
          <w:b/>
        </w:rPr>
        <w:t xml:space="preserve">connection </w:t>
      </w:r>
      <w:r w:rsidR="000C25D8" w:rsidRPr="000C25D8">
        <w:rPr>
          <w:b/>
        </w:rPr>
        <w:t>on initiating the CHO execution with the candidate target cell (</w:t>
      </w:r>
      <w:proofErr w:type="gramStart"/>
      <w:r w:rsidR="000C25D8" w:rsidRPr="000C25D8">
        <w:rPr>
          <w:b/>
        </w:rPr>
        <w:t>similar to</w:t>
      </w:r>
      <w:proofErr w:type="gramEnd"/>
      <w:r w:rsidR="000C25D8" w:rsidRPr="000C25D8">
        <w:rPr>
          <w:b/>
        </w:rPr>
        <w:t xml:space="preserve"> traditional HO)</w:t>
      </w:r>
      <w:r>
        <w:rPr>
          <w:b/>
        </w:rPr>
        <w:t>.</w:t>
      </w:r>
      <w:bookmarkEnd w:id="5"/>
    </w:p>
    <w:p w14:paraId="2AE06DE7" w14:textId="0797820E" w:rsidR="00BF61D9" w:rsidRPr="00BF61D9" w:rsidRDefault="00BF61D9" w:rsidP="00BF61D9">
      <w:pPr>
        <w:pStyle w:val="Heading2"/>
        <w:numPr>
          <w:ilvl w:val="1"/>
          <w:numId w:val="18"/>
        </w:numPr>
        <w:rPr>
          <w:rFonts w:ascii="Arial" w:hAnsi="Arial" w:cs="Arial"/>
          <w:color w:val="auto"/>
          <w:sz w:val="28"/>
          <w:szCs w:val="28"/>
        </w:rPr>
      </w:pPr>
      <w:r>
        <w:rPr>
          <w:rFonts w:ascii="Arial" w:hAnsi="Arial" w:cs="Arial"/>
          <w:color w:val="auto"/>
          <w:sz w:val="28"/>
          <w:szCs w:val="28"/>
        </w:rPr>
        <w:t>CHO configuration change handling</w:t>
      </w:r>
    </w:p>
    <w:p w14:paraId="7B2C7DD8" w14:textId="255D29DE" w:rsidR="00682BB2" w:rsidRPr="000C25D8" w:rsidRDefault="00682BB2" w:rsidP="00682BB2">
      <w:pPr>
        <w:spacing w:before="120"/>
        <w:rPr>
          <w:b/>
        </w:rPr>
      </w:pPr>
      <w:r>
        <w:t xml:space="preserve">UE may send additional measurement reports on source cell even after receiving the CHO command. The source cell can modify the configuration for CHO </w:t>
      </w:r>
      <w:r w:rsidR="00D968DA">
        <w:t>and inform the UE</w:t>
      </w:r>
      <w:r w:rsidR="00032434">
        <w:t xml:space="preserve"> to either modify or cancel the CHO configuration for the candidate target cells</w:t>
      </w:r>
      <w:r w:rsidR="00D968DA">
        <w:t xml:space="preserve">. </w:t>
      </w:r>
      <w:r w:rsidR="000C25D8">
        <w:t xml:space="preserve">The source cell may also ask the UE to perform traditional HO. </w:t>
      </w:r>
      <w:r w:rsidR="00D968DA">
        <w:t xml:space="preserve">Thus, UE needs to support receiving additional RRC messages on source cell even after receiving the CHO command and update the CHO </w:t>
      </w:r>
      <w:r w:rsidR="00D968DA" w:rsidRPr="000C25D8">
        <w:t>configuration</w:t>
      </w:r>
      <w:r w:rsidR="00D968DA" w:rsidRPr="000C25D8">
        <w:rPr>
          <w:b/>
        </w:rPr>
        <w:t>.</w:t>
      </w:r>
    </w:p>
    <w:p w14:paraId="583B4BE6" w14:textId="52C5DA2D" w:rsidR="00032434" w:rsidRPr="000C25D8" w:rsidRDefault="00D968DA" w:rsidP="000C25D8">
      <w:pPr>
        <w:spacing w:before="120"/>
        <w:rPr>
          <w:b/>
        </w:rPr>
      </w:pPr>
      <w:bookmarkStart w:id="6" w:name="_Ref903015"/>
      <w:r w:rsidRPr="00D968DA">
        <w:rPr>
          <w:b/>
        </w:rPr>
        <w:t xml:space="preserve">Proposal </w:t>
      </w:r>
      <w:r w:rsidRPr="000C25D8">
        <w:rPr>
          <w:b/>
        </w:rPr>
        <w:fldChar w:fldCharType="begin"/>
      </w:r>
      <w:r w:rsidRPr="00D968DA">
        <w:rPr>
          <w:b/>
        </w:rPr>
        <w:instrText xml:space="preserve"> SEQ Proposal \* ARABIC </w:instrText>
      </w:r>
      <w:r w:rsidRPr="000C25D8">
        <w:rPr>
          <w:b/>
        </w:rPr>
        <w:fldChar w:fldCharType="separate"/>
      </w:r>
      <w:r w:rsidR="00E60127">
        <w:rPr>
          <w:b/>
          <w:noProof/>
        </w:rPr>
        <w:t>3</w:t>
      </w:r>
      <w:r w:rsidRPr="000C25D8">
        <w:rPr>
          <w:b/>
        </w:rPr>
        <w:fldChar w:fldCharType="end"/>
      </w:r>
      <w:r w:rsidRPr="00D968DA">
        <w:rPr>
          <w:b/>
        </w:rPr>
        <w:t xml:space="preserve">. </w:t>
      </w:r>
      <w:r w:rsidR="00032434">
        <w:rPr>
          <w:b/>
        </w:rPr>
        <w:t>UE s</w:t>
      </w:r>
      <w:r>
        <w:rPr>
          <w:b/>
        </w:rPr>
        <w:t>upport</w:t>
      </w:r>
      <w:r w:rsidR="00973D6C">
        <w:rPr>
          <w:b/>
        </w:rPr>
        <w:t>s</w:t>
      </w:r>
      <w:r>
        <w:rPr>
          <w:b/>
        </w:rPr>
        <w:t xml:space="preserve"> receiving CHO configuration modifications</w:t>
      </w:r>
      <w:r w:rsidR="00032434">
        <w:rPr>
          <w:b/>
        </w:rPr>
        <w:t xml:space="preserve"> (modify or cancel)</w:t>
      </w:r>
      <w:r>
        <w:rPr>
          <w:b/>
        </w:rPr>
        <w:t xml:space="preserve"> from the source cell and update </w:t>
      </w:r>
      <w:r w:rsidR="00032434">
        <w:rPr>
          <w:b/>
        </w:rPr>
        <w:t xml:space="preserve">the CHO </w:t>
      </w:r>
      <w:r w:rsidR="00B43E69">
        <w:rPr>
          <w:b/>
        </w:rPr>
        <w:t>configuration accordingly</w:t>
      </w:r>
      <w:r w:rsidR="00032434">
        <w:rPr>
          <w:b/>
        </w:rPr>
        <w:t>.</w:t>
      </w:r>
      <w:bookmarkEnd w:id="6"/>
    </w:p>
    <w:p w14:paraId="639858D9" w14:textId="30214331" w:rsidR="000C25D8" w:rsidRPr="000C25D8" w:rsidRDefault="000C25D8" w:rsidP="000C25D8">
      <w:pPr>
        <w:spacing w:before="120"/>
        <w:rPr>
          <w:b/>
        </w:rPr>
      </w:pPr>
      <w:bookmarkStart w:id="7" w:name="_Ref7013636"/>
      <w:r w:rsidRPr="00D968DA">
        <w:rPr>
          <w:b/>
        </w:rPr>
        <w:lastRenderedPageBreak/>
        <w:t xml:space="preserve">Proposal </w:t>
      </w:r>
      <w:r w:rsidRPr="000C25D8">
        <w:rPr>
          <w:b/>
        </w:rPr>
        <w:fldChar w:fldCharType="begin"/>
      </w:r>
      <w:r w:rsidRPr="00D968DA">
        <w:rPr>
          <w:b/>
        </w:rPr>
        <w:instrText xml:space="preserve"> SEQ Proposal \* ARABIC </w:instrText>
      </w:r>
      <w:r w:rsidRPr="000C25D8">
        <w:rPr>
          <w:b/>
        </w:rPr>
        <w:fldChar w:fldCharType="separate"/>
      </w:r>
      <w:r w:rsidR="00E60127">
        <w:rPr>
          <w:b/>
          <w:noProof/>
        </w:rPr>
        <w:t>4</w:t>
      </w:r>
      <w:r w:rsidRPr="000C25D8">
        <w:rPr>
          <w:b/>
        </w:rPr>
        <w:fldChar w:fldCharType="end"/>
      </w:r>
      <w:r w:rsidRPr="00D968DA">
        <w:rPr>
          <w:b/>
        </w:rPr>
        <w:t xml:space="preserve">. </w:t>
      </w:r>
      <w:r>
        <w:rPr>
          <w:b/>
        </w:rPr>
        <w:t xml:space="preserve">UE supports receiving </w:t>
      </w:r>
      <w:r w:rsidR="00BF61D9">
        <w:rPr>
          <w:b/>
        </w:rPr>
        <w:t>traditional HO command</w:t>
      </w:r>
      <w:r>
        <w:rPr>
          <w:b/>
        </w:rPr>
        <w:t xml:space="preserve"> from the source cell</w:t>
      </w:r>
      <w:r w:rsidR="00BF61D9">
        <w:rPr>
          <w:b/>
        </w:rPr>
        <w:t>, while monitoring the CHO conditions, and, cancel the CHO config and perform traditional HO to the target cell.</w:t>
      </w:r>
      <w:bookmarkEnd w:id="7"/>
      <w:r w:rsidR="00BF61D9">
        <w:rPr>
          <w:b/>
        </w:rPr>
        <w:t xml:space="preserve"> </w:t>
      </w:r>
    </w:p>
    <w:p w14:paraId="3C2F9540" w14:textId="533AD015" w:rsidR="00682BB2" w:rsidRPr="00682BB2" w:rsidRDefault="00682BB2" w:rsidP="00682BB2">
      <w:pPr>
        <w:pStyle w:val="Heading2"/>
        <w:numPr>
          <w:ilvl w:val="1"/>
          <w:numId w:val="18"/>
        </w:numPr>
        <w:rPr>
          <w:rFonts w:ascii="Arial" w:hAnsi="Arial" w:cs="Arial"/>
          <w:color w:val="auto"/>
          <w:sz w:val="28"/>
          <w:szCs w:val="28"/>
        </w:rPr>
      </w:pPr>
      <w:r>
        <w:rPr>
          <w:rFonts w:ascii="Arial" w:hAnsi="Arial" w:cs="Arial"/>
          <w:color w:val="auto"/>
          <w:sz w:val="28"/>
          <w:szCs w:val="28"/>
        </w:rPr>
        <w:t xml:space="preserve">CHO execution </w:t>
      </w:r>
    </w:p>
    <w:p w14:paraId="173A3FD4" w14:textId="02BC9318" w:rsidR="002757DC" w:rsidRPr="002757DC" w:rsidRDefault="002757DC" w:rsidP="00911A99">
      <w:pPr>
        <w:spacing w:before="120"/>
      </w:pPr>
      <w:r>
        <w:t>As multiple candidate target cells are configured for CHO, the UE should select</w:t>
      </w:r>
      <w:r w:rsidR="007046C3">
        <w:t xml:space="preserve"> one of</w:t>
      </w:r>
      <w:r>
        <w:t xml:space="preserve"> the candidate target cells that meet the CHO conditions</w:t>
      </w:r>
      <w:r w:rsidR="00911A99">
        <w:t xml:space="preserve"> as the target cell for HO</w:t>
      </w:r>
      <w:r w:rsidR="007046C3">
        <w:t>, if that is the best cell on the frequency</w:t>
      </w:r>
      <w:r>
        <w:t>.</w:t>
      </w:r>
      <w:r w:rsidR="007046C3">
        <w:t xml:space="preserve"> </w:t>
      </w:r>
      <w:r>
        <w:t xml:space="preserve"> </w:t>
      </w:r>
      <w:r w:rsidR="00911A99">
        <w:t xml:space="preserve">As the candidate target cell RRC Reconfiguration messages are sent to the UE at step 3, UE already has the target cell information to perform RACH on the target cell without </w:t>
      </w:r>
      <w:r w:rsidR="006F4F83">
        <w:t xml:space="preserve">the need for </w:t>
      </w:r>
      <w:r w:rsidR="00911A99">
        <w:t>another HO command from the source cell</w:t>
      </w:r>
      <w:r w:rsidR="006F4F83">
        <w:t xml:space="preserve"> to receive this information</w:t>
      </w:r>
      <w:r w:rsidR="00911A99">
        <w:t xml:space="preserve">. </w:t>
      </w:r>
    </w:p>
    <w:p w14:paraId="59D1E90B" w14:textId="44CF92AA" w:rsidR="0070584A" w:rsidRDefault="00911A99" w:rsidP="0079677E">
      <w:pPr>
        <w:spacing w:before="120"/>
        <w:rPr>
          <w:b/>
          <w:bCs/>
          <w:lang w:eastAsia="ja-JP"/>
        </w:rPr>
      </w:pPr>
      <w:bookmarkStart w:id="8" w:name="_Ref903028"/>
      <w:r w:rsidRPr="00911A99">
        <w:rPr>
          <w:b/>
        </w:rPr>
        <w:t xml:space="preserve">Proposal </w:t>
      </w:r>
      <w:r w:rsidRPr="00911A99">
        <w:rPr>
          <w:b/>
          <w:i/>
        </w:rPr>
        <w:fldChar w:fldCharType="begin"/>
      </w:r>
      <w:r w:rsidRPr="00911A99">
        <w:rPr>
          <w:b/>
        </w:rPr>
        <w:instrText xml:space="preserve"> SEQ Proposal \* ARABIC </w:instrText>
      </w:r>
      <w:r w:rsidRPr="00911A99">
        <w:rPr>
          <w:b/>
          <w:i/>
        </w:rPr>
        <w:fldChar w:fldCharType="separate"/>
      </w:r>
      <w:r w:rsidR="00E60127">
        <w:rPr>
          <w:b/>
          <w:noProof/>
        </w:rPr>
        <w:t>5</w:t>
      </w:r>
      <w:r w:rsidRPr="00911A99">
        <w:rPr>
          <w:b/>
          <w:i/>
        </w:rPr>
        <w:fldChar w:fldCharType="end"/>
      </w:r>
      <w:r w:rsidRPr="00911A99">
        <w:rPr>
          <w:b/>
        </w:rPr>
        <w:t>.</w:t>
      </w:r>
      <w:r>
        <w:t xml:space="preserve"> </w:t>
      </w:r>
      <w:r w:rsidR="007046C3" w:rsidRPr="0079677E">
        <w:rPr>
          <w:b/>
          <w:bCs/>
          <w:lang w:eastAsia="ja-JP"/>
        </w:rPr>
        <w:t xml:space="preserve">When the candidate cell satisfying the CHO trigger condition is the best cell on the frequency, the UE selects the candidate cell as the target cell, </w:t>
      </w:r>
      <w:r w:rsidR="007046C3">
        <w:rPr>
          <w:b/>
          <w:bCs/>
          <w:lang w:eastAsia="ja-JP"/>
        </w:rPr>
        <w:t>and, performs HO execution with target cell using the target cell config sent in the CHO command without waiting for another RRC Reconfiguration message to perform HO.</w:t>
      </w:r>
      <w:bookmarkEnd w:id="8"/>
    </w:p>
    <w:p w14:paraId="5D071CEF" w14:textId="06D2BE43" w:rsidR="00BF61D9" w:rsidRPr="00BF61D9" w:rsidRDefault="00BF61D9" w:rsidP="0079677E">
      <w:pPr>
        <w:spacing w:before="120"/>
      </w:pPr>
      <w:r w:rsidRPr="00BF61D9">
        <w:t>To support</w:t>
      </w:r>
      <w:r>
        <w:t xml:space="preserve"> an efficient CHO failure handling, UE can maintain the CHO config till the connection setup with the target cell is successful or the RRC Re-establishment is triggered. Our companion paper [</w:t>
      </w:r>
      <w:r w:rsidR="00E60127">
        <w:t>1], describes when RRC Re-establishment is triggered during a CHO.</w:t>
      </w:r>
    </w:p>
    <w:p w14:paraId="63C66EB0" w14:textId="684F4BB4" w:rsidR="00BF61D9" w:rsidRPr="0079677E" w:rsidRDefault="00E60127" w:rsidP="0079677E">
      <w:pPr>
        <w:spacing w:before="120"/>
        <w:rPr>
          <w:b/>
          <w:bCs/>
          <w:lang w:eastAsia="ja-JP"/>
        </w:rPr>
      </w:pPr>
      <w:bookmarkStart w:id="9" w:name="_Ref7013644"/>
      <w:r w:rsidRPr="00911A99">
        <w:rPr>
          <w:b/>
        </w:rPr>
        <w:t xml:space="preserve">Proposal </w:t>
      </w:r>
      <w:r w:rsidRPr="00911A99">
        <w:rPr>
          <w:b/>
          <w:i/>
        </w:rPr>
        <w:fldChar w:fldCharType="begin"/>
      </w:r>
      <w:r w:rsidRPr="00911A99">
        <w:rPr>
          <w:b/>
        </w:rPr>
        <w:instrText xml:space="preserve"> SEQ Proposal \* ARABIC </w:instrText>
      </w:r>
      <w:r w:rsidRPr="00911A99">
        <w:rPr>
          <w:b/>
          <w:i/>
        </w:rPr>
        <w:fldChar w:fldCharType="separate"/>
      </w:r>
      <w:r>
        <w:rPr>
          <w:b/>
          <w:noProof/>
        </w:rPr>
        <w:t>6</w:t>
      </w:r>
      <w:r w:rsidRPr="00911A99">
        <w:rPr>
          <w:b/>
          <w:i/>
        </w:rPr>
        <w:fldChar w:fldCharType="end"/>
      </w:r>
      <w:r w:rsidRPr="00911A99">
        <w:rPr>
          <w:b/>
        </w:rPr>
        <w:t>.</w:t>
      </w:r>
      <w:r>
        <w:t xml:space="preserve"> </w:t>
      </w:r>
      <w:r>
        <w:rPr>
          <w:b/>
          <w:bCs/>
          <w:lang w:eastAsia="ja-JP"/>
        </w:rPr>
        <w:t>CHO configuration is released by the UE on successful Tx of RRC Reconfiguration complete to the target cell or on triggering RRC Re-establishment procedure.</w:t>
      </w:r>
      <w:bookmarkEnd w:id="9"/>
    </w:p>
    <w:p w14:paraId="7C6EA857" w14:textId="77777777" w:rsidR="009909BD" w:rsidRDefault="009909BD" w:rsidP="009909BD">
      <w:pPr>
        <w:pStyle w:val="Heading1"/>
      </w:pPr>
      <w:r>
        <w:t>3. Conclusion</w:t>
      </w:r>
    </w:p>
    <w:p w14:paraId="3C3D0DFA" w14:textId="45182C28" w:rsidR="009909BD" w:rsidRDefault="009909BD" w:rsidP="009909BD">
      <w:pPr>
        <w:spacing w:before="120" w:after="0"/>
      </w:pPr>
      <w:bookmarkStart w:id="10" w:name="_Hlk512894710"/>
      <w:r>
        <w:t>Based on the above discussions, we recommend RAN2 discusses the following observations and proposals:</w:t>
      </w:r>
      <w:bookmarkEnd w:id="10"/>
    </w:p>
    <w:p w14:paraId="4B62C65C" w14:textId="1F35D212" w:rsidR="00E60127" w:rsidRPr="00E60127" w:rsidRDefault="002B266B" w:rsidP="009909BD">
      <w:pPr>
        <w:spacing w:before="120" w:after="0"/>
      </w:pPr>
      <w:fldSimple w:instr=" REF _Ref7013624  \* MERGEFORMAT ">
        <w:r w:rsidR="00E60127" w:rsidRPr="00E60127">
          <w:rPr>
            <w:b/>
          </w:rPr>
          <w:t xml:space="preserve">Proposal </w:t>
        </w:r>
        <w:r w:rsidR="00E60127" w:rsidRPr="00E60127">
          <w:rPr>
            <w:b/>
            <w:noProof/>
          </w:rPr>
          <w:t>1</w:t>
        </w:r>
        <w:r w:rsidR="00E60127" w:rsidRPr="00E60127">
          <w:rPr>
            <w:b/>
          </w:rPr>
          <w:t>. UE continues measurements/reporting on source cell as per the serving cell baseline configuration even after receiving the CHO command.</w:t>
        </w:r>
      </w:fldSimple>
    </w:p>
    <w:p w14:paraId="2BBA3937" w14:textId="1D2DF6CA" w:rsidR="00E60127" w:rsidRPr="00E60127" w:rsidRDefault="00E60127" w:rsidP="009909BD">
      <w:pPr>
        <w:spacing w:before="120" w:after="0"/>
      </w:pPr>
      <w:r w:rsidRPr="00E60127">
        <w:fldChar w:fldCharType="begin"/>
      </w:r>
      <w:r w:rsidRPr="00E60127">
        <w:instrText xml:space="preserve"> REF _Ref7013629  \* MERGEFORMAT </w:instrText>
      </w:r>
      <w:r w:rsidRPr="00E60127">
        <w:fldChar w:fldCharType="separate"/>
      </w:r>
      <w:r w:rsidR="002B266B" w:rsidRPr="002757DC">
        <w:rPr>
          <w:b/>
        </w:rPr>
        <w:t xml:space="preserve">Proposal </w:t>
      </w:r>
      <w:r w:rsidR="002B266B">
        <w:rPr>
          <w:b/>
          <w:noProof/>
        </w:rPr>
        <w:t>2</w:t>
      </w:r>
      <w:r w:rsidR="002B266B" w:rsidRPr="002757DC">
        <w:rPr>
          <w:b/>
          <w:noProof/>
        </w:rPr>
        <w:t>.</w:t>
      </w:r>
      <w:r w:rsidR="002B266B" w:rsidRPr="002757DC">
        <w:rPr>
          <w:b/>
        </w:rPr>
        <w:t xml:space="preserve"> </w:t>
      </w:r>
      <w:r w:rsidR="002B266B">
        <w:rPr>
          <w:b/>
        </w:rPr>
        <w:t>UE releases the</w:t>
      </w:r>
      <w:r w:rsidR="002B266B" w:rsidRPr="000C25D8">
        <w:rPr>
          <w:b/>
        </w:rPr>
        <w:t xml:space="preserve"> source cell </w:t>
      </w:r>
      <w:r w:rsidR="002B266B">
        <w:rPr>
          <w:b/>
        </w:rPr>
        <w:t xml:space="preserve">connection </w:t>
      </w:r>
      <w:r w:rsidR="002B266B" w:rsidRPr="000C25D8">
        <w:rPr>
          <w:b/>
        </w:rPr>
        <w:t>on initiating the CHO execution with the candidate target cell (</w:t>
      </w:r>
      <w:proofErr w:type="gramStart"/>
      <w:r w:rsidR="002B266B" w:rsidRPr="000C25D8">
        <w:rPr>
          <w:b/>
        </w:rPr>
        <w:t>similar to</w:t>
      </w:r>
      <w:proofErr w:type="gramEnd"/>
      <w:r w:rsidR="002B266B" w:rsidRPr="000C25D8">
        <w:rPr>
          <w:b/>
        </w:rPr>
        <w:t xml:space="preserve"> traditional HO)</w:t>
      </w:r>
      <w:r w:rsidR="002B266B">
        <w:rPr>
          <w:b/>
        </w:rPr>
        <w:t>.</w:t>
      </w:r>
      <w:r w:rsidRPr="00E60127">
        <w:fldChar w:fldCharType="end"/>
      </w:r>
    </w:p>
    <w:p w14:paraId="47B50A9D" w14:textId="79C61466" w:rsidR="00E60127" w:rsidRPr="00E60127" w:rsidRDefault="002B266B" w:rsidP="009909BD">
      <w:pPr>
        <w:spacing w:before="120" w:after="0"/>
      </w:pPr>
      <w:fldSimple w:instr=" REF _Ref903015  \* MERGEFORMAT ">
        <w:r w:rsidRPr="00D968DA">
          <w:rPr>
            <w:b/>
          </w:rPr>
          <w:t xml:space="preserve">Proposal </w:t>
        </w:r>
        <w:r>
          <w:rPr>
            <w:b/>
            <w:noProof/>
          </w:rPr>
          <w:t>3</w:t>
        </w:r>
        <w:r w:rsidRPr="00D968DA">
          <w:rPr>
            <w:b/>
            <w:noProof/>
          </w:rPr>
          <w:t>.</w:t>
        </w:r>
        <w:r w:rsidRPr="00D968DA">
          <w:rPr>
            <w:b/>
          </w:rPr>
          <w:t xml:space="preserve"> </w:t>
        </w:r>
        <w:r>
          <w:rPr>
            <w:b/>
          </w:rPr>
          <w:t>UE supports receiving CHO configuration modifications (modify or cancel) from the source cell and update the CHO configuration accordingly.</w:t>
        </w:r>
      </w:fldSimple>
    </w:p>
    <w:p w14:paraId="44341508" w14:textId="4458F9EC" w:rsidR="00E60127" w:rsidRPr="00E60127" w:rsidRDefault="002B266B" w:rsidP="009909BD">
      <w:pPr>
        <w:spacing w:before="120" w:after="0"/>
      </w:pPr>
      <w:fldSimple w:instr=" REF _Ref7013636  \* MERGEFORMAT ">
        <w:r w:rsidR="00E60127" w:rsidRPr="00E60127">
          <w:rPr>
            <w:b/>
          </w:rPr>
          <w:t xml:space="preserve">Proposal </w:t>
        </w:r>
        <w:r w:rsidR="00E60127" w:rsidRPr="00E60127">
          <w:rPr>
            <w:b/>
            <w:noProof/>
          </w:rPr>
          <w:t>4</w:t>
        </w:r>
        <w:r w:rsidR="00E60127" w:rsidRPr="00E60127">
          <w:rPr>
            <w:b/>
          </w:rPr>
          <w:t>. UE supports receiving traditional HO command from the source cell, while monitoring the CHO conditions, and, cancel the CHO config and perform traditional HO to the target cell.</w:t>
        </w:r>
      </w:fldSimple>
    </w:p>
    <w:p w14:paraId="5D712545" w14:textId="2478BC16" w:rsidR="00E60127" w:rsidRPr="00E60127" w:rsidRDefault="002B266B" w:rsidP="009909BD">
      <w:pPr>
        <w:spacing w:before="120" w:after="0"/>
      </w:pPr>
      <w:fldSimple w:instr=" REF _Ref903028  \* MERGEFORMAT ">
        <w:r w:rsidR="00E60127" w:rsidRPr="00E60127">
          <w:rPr>
            <w:b/>
          </w:rPr>
          <w:t xml:space="preserve">Proposal </w:t>
        </w:r>
        <w:r w:rsidR="00E60127" w:rsidRPr="00E60127">
          <w:rPr>
            <w:b/>
            <w:noProof/>
          </w:rPr>
          <w:t>5</w:t>
        </w:r>
        <w:r w:rsidR="00E60127" w:rsidRPr="00E60127">
          <w:rPr>
            <w:b/>
          </w:rPr>
          <w:t>.</w:t>
        </w:r>
        <w:r w:rsidR="00E60127" w:rsidRPr="00E60127">
          <w:t xml:space="preserve"> </w:t>
        </w:r>
        <w:r w:rsidR="00E60127" w:rsidRPr="00E60127">
          <w:rPr>
            <w:b/>
            <w:bCs/>
            <w:lang w:eastAsia="ja-JP"/>
          </w:rPr>
          <w:t>When the candidate cell satisfying the CHO trigger condition is the best cell on the frequency, the UE selects the candidate cell as the target cell, and, performs HO execution with target cell using the target cell config sent in the CHO command without waiting for another RRC Reconfiguration message to perform HO.</w:t>
        </w:r>
      </w:fldSimple>
    </w:p>
    <w:p w14:paraId="2EE743E2" w14:textId="46D45A4E" w:rsidR="00E60127" w:rsidRPr="00E60127" w:rsidRDefault="002B266B" w:rsidP="009909BD">
      <w:pPr>
        <w:spacing w:before="120" w:after="0"/>
      </w:pPr>
      <w:fldSimple w:instr=" REF _Ref7013644  \* MERGEFORMAT ">
        <w:r w:rsidR="00E60127" w:rsidRPr="00E60127">
          <w:rPr>
            <w:b/>
          </w:rPr>
          <w:t xml:space="preserve">Proposal </w:t>
        </w:r>
        <w:r w:rsidR="00E60127" w:rsidRPr="00E60127">
          <w:rPr>
            <w:b/>
            <w:noProof/>
          </w:rPr>
          <w:t>6</w:t>
        </w:r>
        <w:r w:rsidR="00E60127" w:rsidRPr="00E60127">
          <w:rPr>
            <w:b/>
          </w:rPr>
          <w:t>.</w:t>
        </w:r>
        <w:r w:rsidR="00E60127" w:rsidRPr="00E60127">
          <w:t xml:space="preserve"> </w:t>
        </w:r>
        <w:r w:rsidR="00E60127" w:rsidRPr="00E60127">
          <w:rPr>
            <w:b/>
            <w:bCs/>
            <w:lang w:eastAsia="ja-JP"/>
          </w:rPr>
          <w:t>CHO configuration is released by the UE on successful Tx of RRC Reconfiguration complete to the target cell or on triggering RRC Re-establishment procedure.</w:t>
        </w:r>
      </w:fldSimple>
      <w:r w:rsidR="00E60127" w:rsidRPr="00E60127">
        <w:t xml:space="preserve"> </w:t>
      </w:r>
    </w:p>
    <w:p w14:paraId="06932189" w14:textId="74D7ADD8" w:rsidR="009909BD" w:rsidRDefault="00973D6C" w:rsidP="009909BD">
      <w:pPr>
        <w:pStyle w:val="Heading1"/>
      </w:pPr>
      <w:r>
        <w:t xml:space="preserve">4. </w:t>
      </w:r>
      <w:r w:rsidR="009909BD">
        <w:t>References</w:t>
      </w:r>
    </w:p>
    <w:p w14:paraId="557A3459" w14:textId="2B5E157E" w:rsidR="009909BD" w:rsidRDefault="009909BD" w:rsidP="009909BD">
      <w:pPr>
        <w:ind w:left="1350" w:hanging="1350"/>
        <w:rPr>
          <w:rFonts w:ascii="Arial" w:hAnsi="Arial" w:cs="Arial"/>
          <w:bCs/>
        </w:rPr>
      </w:pPr>
      <w:r w:rsidRPr="00944C55">
        <w:rPr>
          <w:rFonts w:ascii="Arial" w:hAnsi="Arial" w:cs="Arial"/>
          <w:bCs/>
        </w:rPr>
        <w:t xml:space="preserve">[1] </w:t>
      </w:r>
      <w:r w:rsidR="00325737" w:rsidRPr="00325737">
        <w:rPr>
          <w:rFonts w:ascii="Arial" w:hAnsi="Arial" w:cs="Arial"/>
          <w:bCs/>
        </w:rPr>
        <w:t>R2-1905789</w:t>
      </w:r>
      <w:r w:rsidR="00325737">
        <w:rPr>
          <w:rFonts w:ascii="Arial" w:hAnsi="Arial" w:cs="Arial"/>
          <w:bCs/>
        </w:rPr>
        <w:t xml:space="preserve"> </w:t>
      </w:r>
      <w:r w:rsidR="00E60127">
        <w:rPr>
          <w:rFonts w:ascii="Arial" w:hAnsi="Arial" w:cs="Arial"/>
          <w:bCs/>
        </w:rPr>
        <w:t xml:space="preserve">Conditional HO deconfiguration and failure handling </w:t>
      </w:r>
    </w:p>
    <w:p w14:paraId="7A04B705" w14:textId="77777777" w:rsidR="009909BD" w:rsidRDefault="009909BD" w:rsidP="009909BD"/>
    <w:bookmarkEnd w:id="4"/>
    <w:p w14:paraId="4040B6AB"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F8397" w14:textId="77777777" w:rsidR="00D354AF" w:rsidRDefault="00310F03">
      <w:pPr>
        <w:spacing w:after="0"/>
      </w:pPr>
      <w:r>
        <w:separator/>
      </w:r>
    </w:p>
  </w:endnote>
  <w:endnote w:type="continuationSeparator" w:id="0">
    <w:p w14:paraId="279B8D5E" w14:textId="77777777" w:rsidR="00D354AF" w:rsidRDefault="00310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E424A" w14:textId="77777777" w:rsidR="007F626A" w:rsidRDefault="00310F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A6DCE" w14:textId="77777777" w:rsidR="00D354AF" w:rsidRDefault="00310F03">
      <w:pPr>
        <w:spacing w:after="0"/>
      </w:pPr>
      <w:r>
        <w:separator/>
      </w:r>
    </w:p>
  </w:footnote>
  <w:footnote w:type="continuationSeparator" w:id="0">
    <w:p w14:paraId="04123CB8" w14:textId="77777777" w:rsidR="00D354AF" w:rsidRDefault="00310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45DC"/>
    <w:multiLevelType w:val="hybridMultilevel"/>
    <w:tmpl w:val="734CA72E"/>
    <w:lvl w:ilvl="0" w:tplc="1A8CEE0E">
      <w:start w:val="1"/>
      <w:numFmt w:val="bullet"/>
      <w:lvlText w:val="•"/>
      <w:lvlJc w:val="left"/>
      <w:pPr>
        <w:tabs>
          <w:tab w:val="num" w:pos="720"/>
        </w:tabs>
        <w:ind w:left="720" w:hanging="360"/>
      </w:pPr>
      <w:rPr>
        <w:rFonts w:ascii="Microsoft Sans Serif" w:hAnsi="Microsoft Sans Serif" w:hint="default"/>
      </w:rPr>
    </w:lvl>
    <w:lvl w:ilvl="1" w:tplc="1DAA7A7C" w:tentative="1">
      <w:start w:val="1"/>
      <w:numFmt w:val="bullet"/>
      <w:lvlText w:val="•"/>
      <w:lvlJc w:val="left"/>
      <w:pPr>
        <w:tabs>
          <w:tab w:val="num" w:pos="1440"/>
        </w:tabs>
        <w:ind w:left="1440" w:hanging="360"/>
      </w:pPr>
      <w:rPr>
        <w:rFonts w:ascii="Microsoft Sans Serif" w:hAnsi="Microsoft Sans Serif" w:hint="default"/>
      </w:rPr>
    </w:lvl>
    <w:lvl w:ilvl="2" w:tplc="85E05D3C">
      <w:start w:val="1"/>
      <w:numFmt w:val="bullet"/>
      <w:lvlText w:val="•"/>
      <w:lvlJc w:val="left"/>
      <w:pPr>
        <w:tabs>
          <w:tab w:val="num" w:pos="2160"/>
        </w:tabs>
        <w:ind w:left="2160" w:hanging="360"/>
      </w:pPr>
      <w:rPr>
        <w:rFonts w:ascii="Microsoft Sans Serif" w:hAnsi="Microsoft Sans Serif" w:hint="default"/>
      </w:rPr>
    </w:lvl>
    <w:lvl w:ilvl="3" w:tplc="346EC64C">
      <w:start w:val="110"/>
      <w:numFmt w:val="bullet"/>
      <w:lvlText w:val="◦"/>
      <w:lvlJc w:val="left"/>
      <w:pPr>
        <w:tabs>
          <w:tab w:val="num" w:pos="2880"/>
        </w:tabs>
        <w:ind w:left="2880" w:hanging="360"/>
      </w:pPr>
      <w:rPr>
        <w:rFonts w:ascii="Microsoft Sans Serif" w:hAnsi="Microsoft Sans Serif" w:hint="default"/>
      </w:rPr>
    </w:lvl>
    <w:lvl w:ilvl="4" w:tplc="FCEEC726" w:tentative="1">
      <w:start w:val="1"/>
      <w:numFmt w:val="bullet"/>
      <w:lvlText w:val="•"/>
      <w:lvlJc w:val="left"/>
      <w:pPr>
        <w:tabs>
          <w:tab w:val="num" w:pos="3600"/>
        </w:tabs>
        <w:ind w:left="3600" w:hanging="360"/>
      </w:pPr>
      <w:rPr>
        <w:rFonts w:ascii="Microsoft Sans Serif" w:hAnsi="Microsoft Sans Serif" w:hint="default"/>
      </w:rPr>
    </w:lvl>
    <w:lvl w:ilvl="5" w:tplc="755CEFF2" w:tentative="1">
      <w:start w:val="1"/>
      <w:numFmt w:val="bullet"/>
      <w:lvlText w:val="•"/>
      <w:lvlJc w:val="left"/>
      <w:pPr>
        <w:tabs>
          <w:tab w:val="num" w:pos="4320"/>
        </w:tabs>
        <w:ind w:left="4320" w:hanging="360"/>
      </w:pPr>
      <w:rPr>
        <w:rFonts w:ascii="Microsoft Sans Serif" w:hAnsi="Microsoft Sans Serif" w:hint="default"/>
      </w:rPr>
    </w:lvl>
    <w:lvl w:ilvl="6" w:tplc="C32AB340" w:tentative="1">
      <w:start w:val="1"/>
      <w:numFmt w:val="bullet"/>
      <w:lvlText w:val="•"/>
      <w:lvlJc w:val="left"/>
      <w:pPr>
        <w:tabs>
          <w:tab w:val="num" w:pos="5040"/>
        </w:tabs>
        <w:ind w:left="5040" w:hanging="360"/>
      </w:pPr>
      <w:rPr>
        <w:rFonts w:ascii="Microsoft Sans Serif" w:hAnsi="Microsoft Sans Serif" w:hint="default"/>
      </w:rPr>
    </w:lvl>
    <w:lvl w:ilvl="7" w:tplc="14E4EC62" w:tentative="1">
      <w:start w:val="1"/>
      <w:numFmt w:val="bullet"/>
      <w:lvlText w:val="•"/>
      <w:lvlJc w:val="left"/>
      <w:pPr>
        <w:tabs>
          <w:tab w:val="num" w:pos="5760"/>
        </w:tabs>
        <w:ind w:left="5760" w:hanging="360"/>
      </w:pPr>
      <w:rPr>
        <w:rFonts w:ascii="Microsoft Sans Serif" w:hAnsi="Microsoft Sans Serif" w:hint="default"/>
      </w:rPr>
    </w:lvl>
    <w:lvl w:ilvl="8" w:tplc="FC76D9E8"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F085D31"/>
    <w:multiLevelType w:val="hybridMultilevel"/>
    <w:tmpl w:val="E2488186"/>
    <w:lvl w:ilvl="0" w:tplc="756402E6">
      <w:start w:val="1"/>
      <w:numFmt w:val="bullet"/>
      <w:lvlText w:val=""/>
      <w:lvlJc w:val="left"/>
      <w:pPr>
        <w:tabs>
          <w:tab w:val="num" w:pos="720"/>
        </w:tabs>
        <w:ind w:left="720" w:hanging="360"/>
      </w:pPr>
      <w:rPr>
        <w:rFonts w:ascii="Symbol" w:hAnsi="Symbol" w:hint="default"/>
      </w:rPr>
    </w:lvl>
    <w:lvl w:ilvl="1" w:tplc="7DB89EA8" w:tentative="1">
      <w:start w:val="1"/>
      <w:numFmt w:val="bullet"/>
      <w:lvlText w:val=""/>
      <w:lvlJc w:val="left"/>
      <w:pPr>
        <w:tabs>
          <w:tab w:val="num" w:pos="1440"/>
        </w:tabs>
        <w:ind w:left="1440" w:hanging="360"/>
      </w:pPr>
      <w:rPr>
        <w:rFonts w:ascii="Symbol" w:hAnsi="Symbol" w:hint="default"/>
      </w:rPr>
    </w:lvl>
    <w:lvl w:ilvl="2" w:tplc="25B26512">
      <w:start w:val="1"/>
      <w:numFmt w:val="bullet"/>
      <w:lvlText w:val=""/>
      <w:lvlJc w:val="left"/>
      <w:pPr>
        <w:tabs>
          <w:tab w:val="num" w:pos="2160"/>
        </w:tabs>
        <w:ind w:left="2160" w:hanging="360"/>
      </w:pPr>
      <w:rPr>
        <w:rFonts w:ascii="Symbol" w:hAnsi="Symbol" w:hint="default"/>
      </w:rPr>
    </w:lvl>
    <w:lvl w:ilvl="3" w:tplc="C074D796" w:tentative="1">
      <w:start w:val="1"/>
      <w:numFmt w:val="bullet"/>
      <w:lvlText w:val=""/>
      <w:lvlJc w:val="left"/>
      <w:pPr>
        <w:tabs>
          <w:tab w:val="num" w:pos="2880"/>
        </w:tabs>
        <w:ind w:left="2880" w:hanging="360"/>
      </w:pPr>
      <w:rPr>
        <w:rFonts w:ascii="Symbol" w:hAnsi="Symbol" w:hint="default"/>
      </w:rPr>
    </w:lvl>
    <w:lvl w:ilvl="4" w:tplc="488465A6" w:tentative="1">
      <w:start w:val="1"/>
      <w:numFmt w:val="bullet"/>
      <w:lvlText w:val=""/>
      <w:lvlJc w:val="left"/>
      <w:pPr>
        <w:tabs>
          <w:tab w:val="num" w:pos="3600"/>
        </w:tabs>
        <w:ind w:left="3600" w:hanging="360"/>
      </w:pPr>
      <w:rPr>
        <w:rFonts w:ascii="Symbol" w:hAnsi="Symbol" w:hint="default"/>
      </w:rPr>
    </w:lvl>
    <w:lvl w:ilvl="5" w:tplc="0BD8DE16" w:tentative="1">
      <w:start w:val="1"/>
      <w:numFmt w:val="bullet"/>
      <w:lvlText w:val=""/>
      <w:lvlJc w:val="left"/>
      <w:pPr>
        <w:tabs>
          <w:tab w:val="num" w:pos="4320"/>
        </w:tabs>
        <w:ind w:left="4320" w:hanging="360"/>
      </w:pPr>
      <w:rPr>
        <w:rFonts w:ascii="Symbol" w:hAnsi="Symbol" w:hint="default"/>
      </w:rPr>
    </w:lvl>
    <w:lvl w:ilvl="6" w:tplc="8F16C202" w:tentative="1">
      <w:start w:val="1"/>
      <w:numFmt w:val="bullet"/>
      <w:lvlText w:val=""/>
      <w:lvlJc w:val="left"/>
      <w:pPr>
        <w:tabs>
          <w:tab w:val="num" w:pos="5040"/>
        </w:tabs>
        <w:ind w:left="5040" w:hanging="360"/>
      </w:pPr>
      <w:rPr>
        <w:rFonts w:ascii="Symbol" w:hAnsi="Symbol" w:hint="default"/>
      </w:rPr>
    </w:lvl>
    <w:lvl w:ilvl="7" w:tplc="4694FA82" w:tentative="1">
      <w:start w:val="1"/>
      <w:numFmt w:val="bullet"/>
      <w:lvlText w:val=""/>
      <w:lvlJc w:val="left"/>
      <w:pPr>
        <w:tabs>
          <w:tab w:val="num" w:pos="5760"/>
        </w:tabs>
        <w:ind w:left="5760" w:hanging="360"/>
      </w:pPr>
      <w:rPr>
        <w:rFonts w:ascii="Symbol" w:hAnsi="Symbol" w:hint="default"/>
      </w:rPr>
    </w:lvl>
    <w:lvl w:ilvl="8" w:tplc="173814C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670B26"/>
    <w:multiLevelType w:val="hybridMultilevel"/>
    <w:tmpl w:val="E41A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A3A18"/>
    <w:multiLevelType w:val="hybridMultilevel"/>
    <w:tmpl w:val="D0EEF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24AC3"/>
    <w:multiLevelType w:val="hybridMultilevel"/>
    <w:tmpl w:val="A33CBA5A"/>
    <w:lvl w:ilvl="0" w:tplc="9816FC96">
      <w:start w:val="1"/>
      <w:numFmt w:val="bullet"/>
      <w:lvlText w:val="•"/>
      <w:lvlJc w:val="left"/>
      <w:pPr>
        <w:tabs>
          <w:tab w:val="num" w:pos="720"/>
        </w:tabs>
        <w:ind w:left="720" w:hanging="360"/>
      </w:pPr>
      <w:rPr>
        <w:rFonts w:ascii="Arial" w:hAnsi="Arial" w:hint="default"/>
      </w:rPr>
    </w:lvl>
    <w:lvl w:ilvl="1" w:tplc="A872C5DA">
      <w:start w:val="110"/>
      <w:numFmt w:val="bullet"/>
      <w:lvlText w:val="◦"/>
      <w:lvlJc w:val="left"/>
      <w:pPr>
        <w:tabs>
          <w:tab w:val="num" w:pos="1440"/>
        </w:tabs>
        <w:ind w:left="1440" w:hanging="360"/>
      </w:pPr>
      <w:rPr>
        <w:rFonts w:ascii="Microsoft Sans Serif" w:hAnsi="Microsoft Sans Serif" w:hint="default"/>
      </w:rPr>
    </w:lvl>
    <w:lvl w:ilvl="2" w:tplc="E93C254A" w:tentative="1">
      <w:start w:val="1"/>
      <w:numFmt w:val="bullet"/>
      <w:lvlText w:val="•"/>
      <w:lvlJc w:val="left"/>
      <w:pPr>
        <w:tabs>
          <w:tab w:val="num" w:pos="2160"/>
        </w:tabs>
        <w:ind w:left="2160" w:hanging="360"/>
      </w:pPr>
      <w:rPr>
        <w:rFonts w:ascii="Arial" w:hAnsi="Arial" w:hint="default"/>
      </w:rPr>
    </w:lvl>
    <w:lvl w:ilvl="3" w:tplc="0824C932" w:tentative="1">
      <w:start w:val="1"/>
      <w:numFmt w:val="bullet"/>
      <w:lvlText w:val="•"/>
      <w:lvlJc w:val="left"/>
      <w:pPr>
        <w:tabs>
          <w:tab w:val="num" w:pos="2880"/>
        </w:tabs>
        <w:ind w:left="2880" w:hanging="360"/>
      </w:pPr>
      <w:rPr>
        <w:rFonts w:ascii="Arial" w:hAnsi="Arial" w:hint="default"/>
      </w:rPr>
    </w:lvl>
    <w:lvl w:ilvl="4" w:tplc="10BE8AA0" w:tentative="1">
      <w:start w:val="1"/>
      <w:numFmt w:val="bullet"/>
      <w:lvlText w:val="•"/>
      <w:lvlJc w:val="left"/>
      <w:pPr>
        <w:tabs>
          <w:tab w:val="num" w:pos="3600"/>
        </w:tabs>
        <w:ind w:left="3600" w:hanging="360"/>
      </w:pPr>
      <w:rPr>
        <w:rFonts w:ascii="Arial" w:hAnsi="Arial" w:hint="default"/>
      </w:rPr>
    </w:lvl>
    <w:lvl w:ilvl="5" w:tplc="BC70A592" w:tentative="1">
      <w:start w:val="1"/>
      <w:numFmt w:val="bullet"/>
      <w:lvlText w:val="•"/>
      <w:lvlJc w:val="left"/>
      <w:pPr>
        <w:tabs>
          <w:tab w:val="num" w:pos="4320"/>
        </w:tabs>
        <w:ind w:left="4320" w:hanging="360"/>
      </w:pPr>
      <w:rPr>
        <w:rFonts w:ascii="Arial" w:hAnsi="Arial" w:hint="default"/>
      </w:rPr>
    </w:lvl>
    <w:lvl w:ilvl="6" w:tplc="74A4129E" w:tentative="1">
      <w:start w:val="1"/>
      <w:numFmt w:val="bullet"/>
      <w:lvlText w:val="•"/>
      <w:lvlJc w:val="left"/>
      <w:pPr>
        <w:tabs>
          <w:tab w:val="num" w:pos="5040"/>
        </w:tabs>
        <w:ind w:left="5040" w:hanging="360"/>
      </w:pPr>
      <w:rPr>
        <w:rFonts w:ascii="Arial" w:hAnsi="Arial" w:hint="default"/>
      </w:rPr>
    </w:lvl>
    <w:lvl w:ilvl="7" w:tplc="A00C7674" w:tentative="1">
      <w:start w:val="1"/>
      <w:numFmt w:val="bullet"/>
      <w:lvlText w:val="•"/>
      <w:lvlJc w:val="left"/>
      <w:pPr>
        <w:tabs>
          <w:tab w:val="num" w:pos="5760"/>
        </w:tabs>
        <w:ind w:left="5760" w:hanging="360"/>
      </w:pPr>
      <w:rPr>
        <w:rFonts w:ascii="Arial" w:hAnsi="Arial" w:hint="default"/>
      </w:rPr>
    </w:lvl>
    <w:lvl w:ilvl="8" w:tplc="B25CF3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17971"/>
    <w:multiLevelType w:val="hybridMultilevel"/>
    <w:tmpl w:val="A2B6B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442606"/>
    <w:multiLevelType w:val="hybridMultilevel"/>
    <w:tmpl w:val="BB7AF0E0"/>
    <w:lvl w:ilvl="0" w:tplc="525047C0">
      <w:start w:val="1"/>
      <w:numFmt w:val="bullet"/>
      <w:lvlText w:val="◦"/>
      <w:lvlJc w:val="left"/>
      <w:pPr>
        <w:tabs>
          <w:tab w:val="num" w:pos="720"/>
        </w:tabs>
        <w:ind w:left="720" w:hanging="360"/>
      </w:pPr>
      <w:rPr>
        <w:rFonts w:ascii="Microsoft Sans Serif" w:hAnsi="Microsoft Sans Serif" w:hint="default"/>
      </w:rPr>
    </w:lvl>
    <w:lvl w:ilvl="1" w:tplc="E6888AFE" w:tentative="1">
      <w:start w:val="1"/>
      <w:numFmt w:val="bullet"/>
      <w:lvlText w:val="◦"/>
      <w:lvlJc w:val="left"/>
      <w:pPr>
        <w:tabs>
          <w:tab w:val="num" w:pos="1440"/>
        </w:tabs>
        <w:ind w:left="1440" w:hanging="360"/>
      </w:pPr>
      <w:rPr>
        <w:rFonts w:ascii="Microsoft Sans Serif" w:hAnsi="Microsoft Sans Serif" w:hint="default"/>
      </w:rPr>
    </w:lvl>
    <w:lvl w:ilvl="2" w:tplc="9218385E" w:tentative="1">
      <w:start w:val="1"/>
      <w:numFmt w:val="bullet"/>
      <w:lvlText w:val="◦"/>
      <w:lvlJc w:val="left"/>
      <w:pPr>
        <w:tabs>
          <w:tab w:val="num" w:pos="2160"/>
        </w:tabs>
        <w:ind w:left="2160" w:hanging="360"/>
      </w:pPr>
      <w:rPr>
        <w:rFonts w:ascii="Microsoft Sans Serif" w:hAnsi="Microsoft Sans Serif" w:hint="default"/>
      </w:rPr>
    </w:lvl>
    <w:lvl w:ilvl="3" w:tplc="C2D04558">
      <w:start w:val="1"/>
      <w:numFmt w:val="bullet"/>
      <w:lvlText w:val="◦"/>
      <w:lvlJc w:val="left"/>
      <w:pPr>
        <w:tabs>
          <w:tab w:val="num" w:pos="2880"/>
        </w:tabs>
        <w:ind w:left="2880" w:hanging="360"/>
      </w:pPr>
      <w:rPr>
        <w:rFonts w:ascii="Microsoft Sans Serif" w:hAnsi="Microsoft Sans Serif" w:hint="default"/>
      </w:rPr>
    </w:lvl>
    <w:lvl w:ilvl="4" w:tplc="A84E422E" w:tentative="1">
      <w:start w:val="1"/>
      <w:numFmt w:val="bullet"/>
      <w:lvlText w:val="◦"/>
      <w:lvlJc w:val="left"/>
      <w:pPr>
        <w:tabs>
          <w:tab w:val="num" w:pos="3600"/>
        </w:tabs>
        <w:ind w:left="3600" w:hanging="360"/>
      </w:pPr>
      <w:rPr>
        <w:rFonts w:ascii="Microsoft Sans Serif" w:hAnsi="Microsoft Sans Serif" w:hint="default"/>
      </w:rPr>
    </w:lvl>
    <w:lvl w:ilvl="5" w:tplc="4ED84996" w:tentative="1">
      <w:start w:val="1"/>
      <w:numFmt w:val="bullet"/>
      <w:lvlText w:val="◦"/>
      <w:lvlJc w:val="left"/>
      <w:pPr>
        <w:tabs>
          <w:tab w:val="num" w:pos="4320"/>
        </w:tabs>
        <w:ind w:left="4320" w:hanging="360"/>
      </w:pPr>
      <w:rPr>
        <w:rFonts w:ascii="Microsoft Sans Serif" w:hAnsi="Microsoft Sans Serif" w:hint="default"/>
      </w:rPr>
    </w:lvl>
    <w:lvl w:ilvl="6" w:tplc="71987094" w:tentative="1">
      <w:start w:val="1"/>
      <w:numFmt w:val="bullet"/>
      <w:lvlText w:val="◦"/>
      <w:lvlJc w:val="left"/>
      <w:pPr>
        <w:tabs>
          <w:tab w:val="num" w:pos="5040"/>
        </w:tabs>
        <w:ind w:left="5040" w:hanging="360"/>
      </w:pPr>
      <w:rPr>
        <w:rFonts w:ascii="Microsoft Sans Serif" w:hAnsi="Microsoft Sans Serif" w:hint="default"/>
      </w:rPr>
    </w:lvl>
    <w:lvl w:ilvl="7" w:tplc="80AE150E" w:tentative="1">
      <w:start w:val="1"/>
      <w:numFmt w:val="bullet"/>
      <w:lvlText w:val="◦"/>
      <w:lvlJc w:val="left"/>
      <w:pPr>
        <w:tabs>
          <w:tab w:val="num" w:pos="5760"/>
        </w:tabs>
        <w:ind w:left="5760" w:hanging="360"/>
      </w:pPr>
      <w:rPr>
        <w:rFonts w:ascii="Microsoft Sans Serif" w:hAnsi="Microsoft Sans Serif" w:hint="default"/>
      </w:rPr>
    </w:lvl>
    <w:lvl w:ilvl="8" w:tplc="296EDE10"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7661C60"/>
    <w:multiLevelType w:val="hybridMultilevel"/>
    <w:tmpl w:val="AD4C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AB3048"/>
    <w:multiLevelType w:val="hybridMultilevel"/>
    <w:tmpl w:val="E5080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9D5EF4"/>
    <w:multiLevelType w:val="hybridMultilevel"/>
    <w:tmpl w:val="021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89380E"/>
    <w:multiLevelType w:val="hybridMultilevel"/>
    <w:tmpl w:val="4BA69D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B32B17"/>
    <w:multiLevelType w:val="hybridMultilevel"/>
    <w:tmpl w:val="B85EA1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B1943"/>
    <w:multiLevelType w:val="hybridMultilevel"/>
    <w:tmpl w:val="9C54E4C6"/>
    <w:lvl w:ilvl="0" w:tplc="2E34EF04">
      <w:start w:val="1"/>
      <w:numFmt w:val="bullet"/>
      <w:lvlText w:val="•"/>
      <w:lvlJc w:val="left"/>
      <w:pPr>
        <w:tabs>
          <w:tab w:val="num" w:pos="720"/>
        </w:tabs>
        <w:ind w:left="720" w:hanging="360"/>
      </w:pPr>
      <w:rPr>
        <w:rFonts w:ascii="Arial" w:hAnsi="Arial" w:hint="default"/>
      </w:rPr>
    </w:lvl>
    <w:lvl w:ilvl="1" w:tplc="0002A15E">
      <w:start w:val="110"/>
      <w:numFmt w:val="bullet"/>
      <w:lvlText w:val="◦"/>
      <w:lvlJc w:val="left"/>
      <w:pPr>
        <w:tabs>
          <w:tab w:val="num" w:pos="1440"/>
        </w:tabs>
        <w:ind w:left="1440" w:hanging="360"/>
      </w:pPr>
      <w:rPr>
        <w:rFonts w:ascii="Microsoft Sans Serif" w:hAnsi="Microsoft Sans Serif" w:hint="default"/>
      </w:rPr>
    </w:lvl>
    <w:lvl w:ilvl="2" w:tplc="24F431C0" w:tentative="1">
      <w:start w:val="1"/>
      <w:numFmt w:val="bullet"/>
      <w:lvlText w:val="•"/>
      <w:lvlJc w:val="left"/>
      <w:pPr>
        <w:tabs>
          <w:tab w:val="num" w:pos="2160"/>
        </w:tabs>
        <w:ind w:left="2160" w:hanging="360"/>
      </w:pPr>
      <w:rPr>
        <w:rFonts w:ascii="Arial" w:hAnsi="Arial" w:hint="default"/>
      </w:rPr>
    </w:lvl>
    <w:lvl w:ilvl="3" w:tplc="1D5EF5FC" w:tentative="1">
      <w:start w:val="1"/>
      <w:numFmt w:val="bullet"/>
      <w:lvlText w:val="•"/>
      <w:lvlJc w:val="left"/>
      <w:pPr>
        <w:tabs>
          <w:tab w:val="num" w:pos="2880"/>
        </w:tabs>
        <w:ind w:left="2880" w:hanging="360"/>
      </w:pPr>
      <w:rPr>
        <w:rFonts w:ascii="Arial" w:hAnsi="Arial" w:hint="default"/>
      </w:rPr>
    </w:lvl>
    <w:lvl w:ilvl="4" w:tplc="5F12D002" w:tentative="1">
      <w:start w:val="1"/>
      <w:numFmt w:val="bullet"/>
      <w:lvlText w:val="•"/>
      <w:lvlJc w:val="left"/>
      <w:pPr>
        <w:tabs>
          <w:tab w:val="num" w:pos="3600"/>
        </w:tabs>
        <w:ind w:left="3600" w:hanging="360"/>
      </w:pPr>
      <w:rPr>
        <w:rFonts w:ascii="Arial" w:hAnsi="Arial" w:hint="default"/>
      </w:rPr>
    </w:lvl>
    <w:lvl w:ilvl="5" w:tplc="7F1CC9CE" w:tentative="1">
      <w:start w:val="1"/>
      <w:numFmt w:val="bullet"/>
      <w:lvlText w:val="•"/>
      <w:lvlJc w:val="left"/>
      <w:pPr>
        <w:tabs>
          <w:tab w:val="num" w:pos="4320"/>
        </w:tabs>
        <w:ind w:left="4320" w:hanging="360"/>
      </w:pPr>
      <w:rPr>
        <w:rFonts w:ascii="Arial" w:hAnsi="Arial" w:hint="default"/>
      </w:rPr>
    </w:lvl>
    <w:lvl w:ilvl="6" w:tplc="696A9A50" w:tentative="1">
      <w:start w:val="1"/>
      <w:numFmt w:val="bullet"/>
      <w:lvlText w:val="•"/>
      <w:lvlJc w:val="left"/>
      <w:pPr>
        <w:tabs>
          <w:tab w:val="num" w:pos="5040"/>
        </w:tabs>
        <w:ind w:left="5040" w:hanging="360"/>
      </w:pPr>
      <w:rPr>
        <w:rFonts w:ascii="Arial" w:hAnsi="Arial" w:hint="default"/>
      </w:rPr>
    </w:lvl>
    <w:lvl w:ilvl="7" w:tplc="6688CA7A" w:tentative="1">
      <w:start w:val="1"/>
      <w:numFmt w:val="bullet"/>
      <w:lvlText w:val="•"/>
      <w:lvlJc w:val="left"/>
      <w:pPr>
        <w:tabs>
          <w:tab w:val="num" w:pos="5760"/>
        </w:tabs>
        <w:ind w:left="5760" w:hanging="360"/>
      </w:pPr>
      <w:rPr>
        <w:rFonts w:ascii="Arial" w:hAnsi="Arial" w:hint="default"/>
      </w:rPr>
    </w:lvl>
    <w:lvl w:ilvl="8" w:tplc="2D66E9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974432"/>
    <w:multiLevelType w:val="hybridMultilevel"/>
    <w:tmpl w:val="0BE6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FC593F"/>
    <w:multiLevelType w:val="hybridMultilevel"/>
    <w:tmpl w:val="3AB8ECB0"/>
    <w:lvl w:ilvl="0" w:tplc="B352D884">
      <w:start w:val="1"/>
      <w:numFmt w:val="bullet"/>
      <w:lvlText w:val="•"/>
      <w:lvlJc w:val="left"/>
      <w:pPr>
        <w:tabs>
          <w:tab w:val="num" w:pos="720"/>
        </w:tabs>
        <w:ind w:left="720" w:hanging="360"/>
      </w:pPr>
      <w:rPr>
        <w:rFonts w:ascii="Arial" w:hAnsi="Arial" w:hint="default"/>
      </w:rPr>
    </w:lvl>
    <w:lvl w:ilvl="1" w:tplc="D0D2A7A2">
      <w:start w:val="110"/>
      <w:numFmt w:val="bullet"/>
      <w:lvlText w:val="◦"/>
      <w:lvlJc w:val="left"/>
      <w:pPr>
        <w:tabs>
          <w:tab w:val="num" w:pos="1440"/>
        </w:tabs>
        <w:ind w:left="1440" w:hanging="360"/>
      </w:pPr>
      <w:rPr>
        <w:rFonts w:ascii="Microsoft Sans Serif" w:hAnsi="Microsoft Sans Serif" w:hint="default"/>
      </w:rPr>
    </w:lvl>
    <w:lvl w:ilvl="2" w:tplc="88688536">
      <w:start w:val="110"/>
      <w:numFmt w:val="bullet"/>
      <w:lvlText w:val="•"/>
      <w:lvlJc w:val="left"/>
      <w:pPr>
        <w:tabs>
          <w:tab w:val="num" w:pos="2160"/>
        </w:tabs>
        <w:ind w:left="2160" w:hanging="360"/>
      </w:pPr>
      <w:rPr>
        <w:rFonts w:ascii="Microsoft Sans Serif" w:hAnsi="Microsoft Sans Serif" w:hint="default"/>
      </w:rPr>
    </w:lvl>
    <w:lvl w:ilvl="3" w:tplc="D9CCE3FC" w:tentative="1">
      <w:start w:val="1"/>
      <w:numFmt w:val="bullet"/>
      <w:lvlText w:val="•"/>
      <w:lvlJc w:val="left"/>
      <w:pPr>
        <w:tabs>
          <w:tab w:val="num" w:pos="2880"/>
        </w:tabs>
        <w:ind w:left="2880" w:hanging="360"/>
      </w:pPr>
      <w:rPr>
        <w:rFonts w:ascii="Arial" w:hAnsi="Arial" w:hint="default"/>
      </w:rPr>
    </w:lvl>
    <w:lvl w:ilvl="4" w:tplc="B7280E68" w:tentative="1">
      <w:start w:val="1"/>
      <w:numFmt w:val="bullet"/>
      <w:lvlText w:val="•"/>
      <w:lvlJc w:val="left"/>
      <w:pPr>
        <w:tabs>
          <w:tab w:val="num" w:pos="3600"/>
        </w:tabs>
        <w:ind w:left="3600" w:hanging="360"/>
      </w:pPr>
      <w:rPr>
        <w:rFonts w:ascii="Arial" w:hAnsi="Arial" w:hint="default"/>
      </w:rPr>
    </w:lvl>
    <w:lvl w:ilvl="5" w:tplc="24E2793E" w:tentative="1">
      <w:start w:val="1"/>
      <w:numFmt w:val="bullet"/>
      <w:lvlText w:val="•"/>
      <w:lvlJc w:val="left"/>
      <w:pPr>
        <w:tabs>
          <w:tab w:val="num" w:pos="4320"/>
        </w:tabs>
        <w:ind w:left="4320" w:hanging="360"/>
      </w:pPr>
      <w:rPr>
        <w:rFonts w:ascii="Arial" w:hAnsi="Arial" w:hint="default"/>
      </w:rPr>
    </w:lvl>
    <w:lvl w:ilvl="6" w:tplc="D7BCE948" w:tentative="1">
      <w:start w:val="1"/>
      <w:numFmt w:val="bullet"/>
      <w:lvlText w:val="•"/>
      <w:lvlJc w:val="left"/>
      <w:pPr>
        <w:tabs>
          <w:tab w:val="num" w:pos="5040"/>
        </w:tabs>
        <w:ind w:left="5040" w:hanging="360"/>
      </w:pPr>
      <w:rPr>
        <w:rFonts w:ascii="Arial" w:hAnsi="Arial" w:hint="default"/>
      </w:rPr>
    </w:lvl>
    <w:lvl w:ilvl="7" w:tplc="193C5AEA" w:tentative="1">
      <w:start w:val="1"/>
      <w:numFmt w:val="bullet"/>
      <w:lvlText w:val="•"/>
      <w:lvlJc w:val="left"/>
      <w:pPr>
        <w:tabs>
          <w:tab w:val="num" w:pos="5760"/>
        </w:tabs>
        <w:ind w:left="5760" w:hanging="360"/>
      </w:pPr>
      <w:rPr>
        <w:rFonts w:ascii="Arial" w:hAnsi="Arial" w:hint="default"/>
      </w:rPr>
    </w:lvl>
    <w:lvl w:ilvl="8" w:tplc="370C29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1D69FB"/>
    <w:multiLevelType w:val="multilevel"/>
    <w:tmpl w:val="FB5ED116"/>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18" w15:restartNumberingAfterBreak="0">
    <w:nsid w:val="5CE21B2F"/>
    <w:multiLevelType w:val="hybridMultilevel"/>
    <w:tmpl w:val="2A10F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4161AB"/>
    <w:multiLevelType w:val="hybridMultilevel"/>
    <w:tmpl w:val="661A656C"/>
    <w:lvl w:ilvl="0" w:tplc="736E9EB0">
      <w:start w:val="1"/>
      <w:numFmt w:val="bullet"/>
      <w:lvlText w:val="◦"/>
      <w:lvlJc w:val="left"/>
      <w:pPr>
        <w:tabs>
          <w:tab w:val="num" w:pos="720"/>
        </w:tabs>
        <w:ind w:left="720" w:hanging="360"/>
      </w:pPr>
      <w:rPr>
        <w:rFonts w:ascii="Microsoft Sans Serif" w:hAnsi="Microsoft Sans Serif" w:hint="default"/>
      </w:rPr>
    </w:lvl>
    <w:lvl w:ilvl="1" w:tplc="69D69328">
      <w:start w:val="1"/>
      <w:numFmt w:val="bullet"/>
      <w:lvlText w:val="◦"/>
      <w:lvlJc w:val="left"/>
      <w:pPr>
        <w:tabs>
          <w:tab w:val="num" w:pos="1440"/>
        </w:tabs>
        <w:ind w:left="1440" w:hanging="360"/>
      </w:pPr>
      <w:rPr>
        <w:rFonts w:ascii="Microsoft Sans Serif" w:hAnsi="Microsoft Sans Serif" w:hint="default"/>
      </w:rPr>
    </w:lvl>
    <w:lvl w:ilvl="2" w:tplc="E7680D5C">
      <w:start w:val="110"/>
      <w:numFmt w:val="bullet"/>
      <w:lvlText w:val="•"/>
      <w:lvlJc w:val="left"/>
      <w:pPr>
        <w:tabs>
          <w:tab w:val="num" w:pos="2160"/>
        </w:tabs>
        <w:ind w:left="2160" w:hanging="360"/>
      </w:pPr>
      <w:rPr>
        <w:rFonts w:ascii="Microsoft Sans Serif" w:hAnsi="Microsoft Sans Serif" w:hint="default"/>
      </w:rPr>
    </w:lvl>
    <w:lvl w:ilvl="3" w:tplc="D4705E4E">
      <w:start w:val="110"/>
      <w:numFmt w:val="bullet"/>
      <w:lvlText w:val="◦"/>
      <w:lvlJc w:val="left"/>
      <w:pPr>
        <w:tabs>
          <w:tab w:val="num" w:pos="2880"/>
        </w:tabs>
        <w:ind w:left="2880" w:hanging="360"/>
      </w:pPr>
      <w:rPr>
        <w:rFonts w:ascii="Microsoft Sans Serif" w:hAnsi="Microsoft Sans Serif" w:hint="default"/>
      </w:rPr>
    </w:lvl>
    <w:lvl w:ilvl="4" w:tplc="71EABF32" w:tentative="1">
      <w:start w:val="1"/>
      <w:numFmt w:val="bullet"/>
      <w:lvlText w:val="◦"/>
      <w:lvlJc w:val="left"/>
      <w:pPr>
        <w:tabs>
          <w:tab w:val="num" w:pos="3600"/>
        </w:tabs>
        <w:ind w:left="3600" w:hanging="360"/>
      </w:pPr>
      <w:rPr>
        <w:rFonts w:ascii="Microsoft Sans Serif" w:hAnsi="Microsoft Sans Serif" w:hint="default"/>
      </w:rPr>
    </w:lvl>
    <w:lvl w:ilvl="5" w:tplc="50DA4F3E" w:tentative="1">
      <w:start w:val="1"/>
      <w:numFmt w:val="bullet"/>
      <w:lvlText w:val="◦"/>
      <w:lvlJc w:val="left"/>
      <w:pPr>
        <w:tabs>
          <w:tab w:val="num" w:pos="4320"/>
        </w:tabs>
        <w:ind w:left="4320" w:hanging="360"/>
      </w:pPr>
      <w:rPr>
        <w:rFonts w:ascii="Microsoft Sans Serif" w:hAnsi="Microsoft Sans Serif" w:hint="default"/>
      </w:rPr>
    </w:lvl>
    <w:lvl w:ilvl="6" w:tplc="553AF922" w:tentative="1">
      <w:start w:val="1"/>
      <w:numFmt w:val="bullet"/>
      <w:lvlText w:val="◦"/>
      <w:lvlJc w:val="left"/>
      <w:pPr>
        <w:tabs>
          <w:tab w:val="num" w:pos="5040"/>
        </w:tabs>
        <w:ind w:left="5040" w:hanging="360"/>
      </w:pPr>
      <w:rPr>
        <w:rFonts w:ascii="Microsoft Sans Serif" w:hAnsi="Microsoft Sans Serif" w:hint="default"/>
      </w:rPr>
    </w:lvl>
    <w:lvl w:ilvl="7" w:tplc="1098023E" w:tentative="1">
      <w:start w:val="1"/>
      <w:numFmt w:val="bullet"/>
      <w:lvlText w:val="◦"/>
      <w:lvlJc w:val="left"/>
      <w:pPr>
        <w:tabs>
          <w:tab w:val="num" w:pos="5760"/>
        </w:tabs>
        <w:ind w:left="5760" w:hanging="360"/>
      </w:pPr>
      <w:rPr>
        <w:rFonts w:ascii="Microsoft Sans Serif" w:hAnsi="Microsoft Sans Serif" w:hint="default"/>
      </w:rPr>
    </w:lvl>
    <w:lvl w:ilvl="8" w:tplc="6FEE6EBE"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7B066A9C"/>
    <w:multiLevelType w:val="hybridMultilevel"/>
    <w:tmpl w:val="736A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4"/>
  </w:num>
  <w:num w:numId="4">
    <w:abstractNumId w:val="0"/>
  </w:num>
  <w:num w:numId="5">
    <w:abstractNumId w:val="7"/>
  </w:num>
  <w:num w:numId="6">
    <w:abstractNumId w:val="4"/>
  </w:num>
  <w:num w:numId="7">
    <w:abstractNumId w:val="2"/>
  </w:num>
  <w:num w:numId="8">
    <w:abstractNumId w:val="8"/>
  </w:num>
  <w:num w:numId="9">
    <w:abstractNumId w:val="20"/>
  </w:num>
  <w:num w:numId="10">
    <w:abstractNumId w:val="16"/>
  </w:num>
  <w:num w:numId="11">
    <w:abstractNumId w:val="12"/>
  </w:num>
  <w:num w:numId="12">
    <w:abstractNumId w:val="18"/>
  </w:num>
  <w:num w:numId="13">
    <w:abstractNumId w:val="9"/>
  </w:num>
  <w:num w:numId="14">
    <w:abstractNumId w:val="3"/>
  </w:num>
  <w:num w:numId="15">
    <w:abstractNumId w:val="17"/>
  </w:num>
  <w:num w:numId="16">
    <w:abstractNumId w:val="15"/>
  </w:num>
  <w:num w:numId="17">
    <w:abstractNumId w:val="13"/>
  </w:num>
  <w:num w:numId="18">
    <w:abstractNumId w:val="6"/>
  </w:num>
  <w:num w:numId="19">
    <w:abstractNumId w:val="19"/>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BD"/>
    <w:rsid w:val="00032434"/>
    <w:rsid w:val="000C25D8"/>
    <w:rsid w:val="000D37DD"/>
    <w:rsid w:val="0011525A"/>
    <w:rsid w:val="00142C9D"/>
    <w:rsid w:val="001E5655"/>
    <w:rsid w:val="002125F3"/>
    <w:rsid w:val="00250E5C"/>
    <w:rsid w:val="002757DC"/>
    <w:rsid w:val="002B266B"/>
    <w:rsid w:val="00310F03"/>
    <w:rsid w:val="00315BB2"/>
    <w:rsid w:val="00325737"/>
    <w:rsid w:val="00351543"/>
    <w:rsid w:val="00357147"/>
    <w:rsid w:val="003723A6"/>
    <w:rsid w:val="00385001"/>
    <w:rsid w:val="003B0FD8"/>
    <w:rsid w:val="003B5055"/>
    <w:rsid w:val="003C7084"/>
    <w:rsid w:val="00412E17"/>
    <w:rsid w:val="004663A2"/>
    <w:rsid w:val="0047493D"/>
    <w:rsid w:val="0048001D"/>
    <w:rsid w:val="004A03B4"/>
    <w:rsid w:val="004B227F"/>
    <w:rsid w:val="004F38F6"/>
    <w:rsid w:val="00515154"/>
    <w:rsid w:val="005B32A6"/>
    <w:rsid w:val="005C4A27"/>
    <w:rsid w:val="005D72AD"/>
    <w:rsid w:val="006467E8"/>
    <w:rsid w:val="00682BB2"/>
    <w:rsid w:val="006A57F1"/>
    <w:rsid w:val="006B242E"/>
    <w:rsid w:val="006F4F83"/>
    <w:rsid w:val="006F61F3"/>
    <w:rsid w:val="007046C3"/>
    <w:rsid w:val="0070584A"/>
    <w:rsid w:val="00740E84"/>
    <w:rsid w:val="0079677E"/>
    <w:rsid w:val="007D4024"/>
    <w:rsid w:val="007F7D86"/>
    <w:rsid w:val="00815F43"/>
    <w:rsid w:val="00837F8F"/>
    <w:rsid w:val="008714B3"/>
    <w:rsid w:val="008B34E1"/>
    <w:rsid w:val="00911A99"/>
    <w:rsid w:val="00973D6C"/>
    <w:rsid w:val="009909BD"/>
    <w:rsid w:val="009E26C0"/>
    <w:rsid w:val="00A46938"/>
    <w:rsid w:val="00A552F6"/>
    <w:rsid w:val="00A60DDB"/>
    <w:rsid w:val="00A874D1"/>
    <w:rsid w:val="00B179C1"/>
    <w:rsid w:val="00B43E69"/>
    <w:rsid w:val="00B5027F"/>
    <w:rsid w:val="00B67EC9"/>
    <w:rsid w:val="00BB3975"/>
    <w:rsid w:val="00BF61D9"/>
    <w:rsid w:val="00C64F5E"/>
    <w:rsid w:val="00CB3A18"/>
    <w:rsid w:val="00D354AF"/>
    <w:rsid w:val="00D968DA"/>
    <w:rsid w:val="00E00F9C"/>
    <w:rsid w:val="00E60127"/>
    <w:rsid w:val="00E75BAC"/>
    <w:rsid w:val="00E93815"/>
    <w:rsid w:val="00EC523C"/>
    <w:rsid w:val="00F14538"/>
    <w:rsid w:val="00F15C25"/>
    <w:rsid w:val="00F63A00"/>
    <w:rsid w:val="00F8243F"/>
    <w:rsid w:val="00FC2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D8AF58"/>
  <w15:chartTrackingRefBased/>
  <w15:docId w15:val="{4D063360-0F0B-44F1-9452-9DB732D5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9B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9909B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9E26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09BD"/>
    <w:rPr>
      <w:rFonts w:ascii="Arial" w:eastAsia="Malgun Gothic" w:hAnsi="Arial" w:cs="Times New Roman"/>
      <w:sz w:val="36"/>
      <w:szCs w:val="20"/>
      <w:lang w:val="en-GB"/>
    </w:rPr>
  </w:style>
  <w:style w:type="paragraph" w:styleId="Footer">
    <w:name w:val="footer"/>
    <w:basedOn w:val="Normal"/>
    <w:link w:val="FooterChar"/>
    <w:rsid w:val="009909BD"/>
    <w:pPr>
      <w:widowControl w:val="0"/>
      <w:spacing w:after="0"/>
      <w:jc w:val="center"/>
    </w:pPr>
    <w:rPr>
      <w:rFonts w:ascii="Arial" w:hAnsi="Arial"/>
      <w:b/>
      <w:i/>
      <w:noProof/>
      <w:sz w:val="18"/>
    </w:rPr>
  </w:style>
  <w:style w:type="character" w:customStyle="1" w:styleId="FooterChar">
    <w:name w:val="Footer Char"/>
    <w:basedOn w:val="DefaultParagraphFont"/>
    <w:link w:val="Footer"/>
    <w:rsid w:val="009909BD"/>
    <w:rPr>
      <w:rFonts w:ascii="Arial" w:eastAsia="Malgun Gothic" w:hAnsi="Arial" w:cs="Times New Roman"/>
      <w:b/>
      <w:i/>
      <w:noProof/>
      <w:sz w:val="18"/>
      <w:szCs w:val="20"/>
      <w:lang w:val="en-GB"/>
    </w:rPr>
  </w:style>
  <w:style w:type="paragraph" w:customStyle="1" w:styleId="B1">
    <w:name w:val="B1"/>
    <w:basedOn w:val="Normal"/>
    <w:link w:val="B1Char"/>
    <w:qFormat/>
    <w:rsid w:val="009909BD"/>
    <w:pPr>
      <w:ind w:left="568" w:hanging="284"/>
    </w:pPr>
    <w:rPr>
      <w:lang w:eastAsia="x-none"/>
    </w:rPr>
  </w:style>
  <w:style w:type="character" w:customStyle="1" w:styleId="B1Char">
    <w:name w:val="B1 Char"/>
    <w:link w:val="B1"/>
    <w:rsid w:val="009909BD"/>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9909BD"/>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9909BD"/>
    <w:rPr>
      <w:rFonts w:ascii="Arial" w:eastAsia="MS Mincho" w:hAnsi="Arial" w:cs="Times New Roman"/>
      <w:sz w:val="20"/>
      <w:szCs w:val="20"/>
      <w:lang w:val="en-GB"/>
    </w:rPr>
  </w:style>
  <w:style w:type="paragraph" w:styleId="Caption">
    <w:name w:val="caption"/>
    <w:basedOn w:val="Normal"/>
    <w:next w:val="Normal"/>
    <w:uiPriority w:val="35"/>
    <w:unhideWhenUsed/>
    <w:qFormat/>
    <w:rsid w:val="009909BD"/>
    <w:pPr>
      <w:spacing w:after="200"/>
    </w:pPr>
    <w:rPr>
      <w:i/>
      <w:iCs/>
      <w:color w:val="44546A" w:themeColor="text2"/>
      <w:sz w:val="18"/>
      <w:szCs w:val="18"/>
    </w:rPr>
  </w:style>
  <w:style w:type="paragraph" w:styleId="ListParagraph">
    <w:name w:val="List Paragraph"/>
    <w:basedOn w:val="Normal"/>
    <w:uiPriority w:val="34"/>
    <w:qFormat/>
    <w:rsid w:val="008B34E1"/>
    <w:pPr>
      <w:ind w:left="720"/>
      <w:contextualSpacing/>
    </w:pPr>
  </w:style>
  <w:style w:type="character" w:customStyle="1" w:styleId="Heading2Char">
    <w:name w:val="Heading 2 Char"/>
    <w:basedOn w:val="DefaultParagraphFont"/>
    <w:link w:val="Heading2"/>
    <w:uiPriority w:val="9"/>
    <w:rsid w:val="009E26C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7046C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6C3"/>
    <w:rPr>
      <w:rFonts w:ascii="Segoe UI" w:eastAsia="Malgun Gothic" w:hAnsi="Segoe UI" w:cs="Segoe UI"/>
      <w:sz w:val="18"/>
      <w:szCs w:val="18"/>
      <w:lang w:val="en-GB"/>
    </w:rPr>
  </w:style>
  <w:style w:type="paragraph" w:customStyle="1" w:styleId="Doc-text2">
    <w:name w:val="Doc-text2"/>
    <w:basedOn w:val="Normal"/>
    <w:link w:val="Doc-text2Char"/>
    <w:qFormat/>
    <w:rsid w:val="007D4024"/>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7D4024"/>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4571">
      <w:bodyDiv w:val="1"/>
      <w:marLeft w:val="0"/>
      <w:marRight w:val="0"/>
      <w:marTop w:val="0"/>
      <w:marBottom w:val="0"/>
      <w:divBdr>
        <w:top w:val="none" w:sz="0" w:space="0" w:color="auto"/>
        <w:left w:val="none" w:sz="0" w:space="0" w:color="auto"/>
        <w:bottom w:val="none" w:sz="0" w:space="0" w:color="auto"/>
        <w:right w:val="none" w:sz="0" w:space="0" w:color="auto"/>
      </w:divBdr>
    </w:div>
    <w:div w:id="63188360">
      <w:bodyDiv w:val="1"/>
      <w:marLeft w:val="0"/>
      <w:marRight w:val="0"/>
      <w:marTop w:val="0"/>
      <w:marBottom w:val="0"/>
      <w:divBdr>
        <w:top w:val="none" w:sz="0" w:space="0" w:color="auto"/>
        <w:left w:val="none" w:sz="0" w:space="0" w:color="auto"/>
        <w:bottom w:val="none" w:sz="0" w:space="0" w:color="auto"/>
        <w:right w:val="none" w:sz="0" w:space="0" w:color="auto"/>
      </w:divBdr>
      <w:divsChild>
        <w:div w:id="1954631248">
          <w:marLeft w:val="806"/>
          <w:marRight w:val="0"/>
          <w:marTop w:val="0"/>
          <w:marBottom w:val="0"/>
          <w:divBdr>
            <w:top w:val="none" w:sz="0" w:space="0" w:color="auto"/>
            <w:left w:val="none" w:sz="0" w:space="0" w:color="auto"/>
            <w:bottom w:val="none" w:sz="0" w:space="0" w:color="auto"/>
            <w:right w:val="none" w:sz="0" w:space="0" w:color="auto"/>
          </w:divBdr>
        </w:div>
        <w:div w:id="396514110">
          <w:marLeft w:val="1080"/>
          <w:marRight w:val="0"/>
          <w:marTop w:val="0"/>
          <w:marBottom w:val="0"/>
          <w:divBdr>
            <w:top w:val="none" w:sz="0" w:space="0" w:color="auto"/>
            <w:left w:val="none" w:sz="0" w:space="0" w:color="auto"/>
            <w:bottom w:val="none" w:sz="0" w:space="0" w:color="auto"/>
            <w:right w:val="none" w:sz="0" w:space="0" w:color="auto"/>
          </w:divBdr>
        </w:div>
        <w:div w:id="2137216917">
          <w:marLeft w:val="1080"/>
          <w:marRight w:val="0"/>
          <w:marTop w:val="0"/>
          <w:marBottom w:val="0"/>
          <w:divBdr>
            <w:top w:val="none" w:sz="0" w:space="0" w:color="auto"/>
            <w:left w:val="none" w:sz="0" w:space="0" w:color="auto"/>
            <w:bottom w:val="none" w:sz="0" w:space="0" w:color="auto"/>
            <w:right w:val="none" w:sz="0" w:space="0" w:color="auto"/>
          </w:divBdr>
        </w:div>
        <w:div w:id="1400977439">
          <w:marLeft w:val="1080"/>
          <w:marRight w:val="0"/>
          <w:marTop w:val="0"/>
          <w:marBottom w:val="0"/>
          <w:divBdr>
            <w:top w:val="none" w:sz="0" w:space="0" w:color="auto"/>
            <w:left w:val="none" w:sz="0" w:space="0" w:color="auto"/>
            <w:bottom w:val="none" w:sz="0" w:space="0" w:color="auto"/>
            <w:right w:val="none" w:sz="0" w:space="0" w:color="auto"/>
          </w:divBdr>
        </w:div>
        <w:div w:id="365911714">
          <w:marLeft w:val="1080"/>
          <w:marRight w:val="0"/>
          <w:marTop w:val="0"/>
          <w:marBottom w:val="0"/>
          <w:divBdr>
            <w:top w:val="none" w:sz="0" w:space="0" w:color="auto"/>
            <w:left w:val="none" w:sz="0" w:space="0" w:color="auto"/>
            <w:bottom w:val="none" w:sz="0" w:space="0" w:color="auto"/>
            <w:right w:val="none" w:sz="0" w:space="0" w:color="auto"/>
          </w:divBdr>
        </w:div>
      </w:divsChild>
    </w:div>
    <w:div w:id="500976054">
      <w:bodyDiv w:val="1"/>
      <w:marLeft w:val="0"/>
      <w:marRight w:val="0"/>
      <w:marTop w:val="0"/>
      <w:marBottom w:val="0"/>
      <w:divBdr>
        <w:top w:val="none" w:sz="0" w:space="0" w:color="auto"/>
        <w:left w:val="none" w:sz="0" w:space="0" w:color="auto"/>
        <w:bottom w:val="none" w:sz="0" w:space="0" w:color="auto"/>
        <w:right w:val="none" w:sz="0" w:space="0" w:color="auto"/>
      </w:divBdr>
      <w:divsChild>
        <w:div w:id="1095705612">
          <w:marLeft w:val="274"/>
          <w:marRight w:val="0"/>
          <w:marTop w:val="240"/>
          <w:marBottom w:val="0"/>
          <w:divBdr>
            <w:top w:val="none" w:sz="0" w:space="0" w:color="auto"/>
            <w:left w:val="none" w:sz="0" w:space="0" w:color="auto"/>
            <w:bottom w:val="none" w:sz="0" w:space="0" w:color="auto"/>
            <w:right w:val="none" w:sz="0" w:space="0" w:color="auto"/>
          </w:divBdr>
        </w:div>
        <w:div w:id="1741175275">
          <w:marLeft w:val="533"/>
          <w:marRight w:val="0"/>
          <w:marTop w:val="0"/>
          <w:marBottom w:val="0"/>
          <w:divBdr>
            <w:top w:val="none" w:sz="0" w:space="0" w:color="auto"/>
            <w:left w:val="none" w:sz="0" w:space="0" w:color="auto"/>
            <w:bottom w:val="none" w:sz="0" w:space="0" w:color="auto"/>
            <w:right w:val="none" w:sz="0" w:space="0" w:color="auto"/>
          </w:divBdr>
        </w:div>
        <w:div w:id="1154952189">
          <w:marLeft w:val="533"/>
          <w:marRight w:val="0"/>
          <w:marTop w:val="0"/>
          <w:marBottom w:val="0"/>
          <w:divBdr>
            <w:top w:val="none" w:sz="0" w:space="0" w:color="auto"/>
            <w:left w:val="none" w:sz="0" w:space="0" w:color="auto"/>
            <w:bottom w:val="none" w:sz="0" w:space="0" w:color="auto"/>
            <w:right w:val="none" w:sz="0" w:space="0" w:color="auto"/>
          </w:divBdr>
        </w:div>
      </w:divsChild>
    </w:div>
    <w:div w:id="654458457">
      <w:bodyDiv w:val="1"/>
      <w:marLeft w:val="0"/>
      <w:marRight w:val="0"/>
      <w:marTop w:val="0"/>
      <w:marBottom w:val="0"/>
      <w:divBdr>
        <w:top w:val="none" w:sz="0" w:space="0" w:color="auto"/>
        <w:left w:val="none" w:sz="0" w:space="0" w:color="auto"/>
        <w:bottom w:val="none" w:sz="0" w:space="0" w:color="auto"/>
        <w:right w:val="none" w:sz="0" w:space="0" w:color="auto"/>
      </w:divBdr>
      <w:divsChild>
        <w:div w:id="1317223694">
          <w:marLeft w:val="274"/>
          <w:marRight w:val="0"/>
          <w:marTop w:val="240"/>
          <w:marBottom w:val="0"/>
          <w:divBdr>
            <w:top w:val="none" w:sz="0" w:space="0" w:color="auto"/>
            <w:left w:val="none" w:sz="0" w:space="0" w:color="auto"/>
            <w:bottom w:val="none" w:sz="0" w:space="0" w:color="auto"/>
            <w:right w:val="none" w:sz="0" w:space="0" w:color="auto"/>
          </w:divBdr>
        </w:div>
        <w:div w:id="230390848">
          <w:marLeft w:val="533"/>
          <w:marRight w:val="0"/>
          <w:marTop w:val="0"/>
          <w:marBottom w:val="0"/>
          <w:divBdr>
            <w:top w:val="none" w:sz="0" w:space="0" w:color="auto"/>
            <w:left w:val="none" w:sz="0" w:space="0" w:color="auto"/>
            <w:bottom w:val="none" w:sz="0" w:space="0" w:color="auto"/>
            <w:right w:val="none" w:sz="0" w:space="0" w:color="auto"/>
          </w:divBdr>
        </w:div>
        <w:div w:id="165023390">
          <w:marLeft w:val="533"/>
          <w:marRight w:val="0"/>
          <w:marTop w:val="0"/>
          <w:marBottom w:val="0"/>
          <w:divBdr>
            <w:top w:val="none" w:sz="0" w:space="0" w:color="auto"/>
            <w:left w:val="none" w:sz="0" w:space="0" w:color="auto"/>
            <w:bottom w:val="none" w:sz="0" w:space="0" w:color="auto"/>
            <w:right w:val="none" w:sz="0" w:space="0" w:color="auto"/>
          </w:divBdr>
        </w:div>
        <w:div w:id="491062455">
          <w:marLeft w:val="533"/>
          <w:marRight w:val="0"/>
          <w:marTop w:val="0"/>
          <w:marBottom w:val="0"/>
          <w:divBdr>
            <w:top w:val="none" w:sz="0" w:space="0" w:color="auto"/>
            <w:left w:val="none" w:sz="0" w:space="0" w:color="auto"/>
            <w:bottom w:val="none" w:sz="0" w:space="0" w:color="auto"/>
            <w:right w:val="none" w:sz="0" w:space="0" w:color="auto"/>
          </w:divBdr>
        </w:div>
        <w:div w:id="1365138236">
          <w:marLeft w:val="806"/>
          <w:marRight w:val="0"/>
          <w:marTop w:val="0"/>
          <w:marBottom w:val="0"/>
          <w:divBdr>
            <w:top w:val="none" w:sz="0" w:space="0" w:color="auto"/>
            <w:left w:val="none" w:sz="0" w:space="0" w:color="auto"/>
            <w:bottom w:val="none" w:sz="0" w:space="0" w:color="auto"/>
            <w:right w:val="none" w:sz="0" w:space="0" w:color="auto"/>
          </w:divBdr>
        </w:div>
        <w:div w:id="928735423">
          <w:marLeft w:val="806"/>
          <w:marRight w:val="0"/>
          <w:marTop w:val="0"/>
          <w:marBottom w:val="0"/>
          <w:divBdr>
            <w:top w:val="none" w:sz="0" w:space="0" w:color="auto"/>
            <w:left w:val="none" w:sz="0" w:space="0" w:color="auto"/>
            <w:bottom w:val="none" w:sz="0" w:space="0" w:color="auto"/>
            <w:right w:val="none" w:sz="0" w:space="0" w:color="auto"/>
          </w:divBdr>
        </w:div>
        <w:div w:id="973096712">
          <w:marLeft w:val="274"/>
          <w:marRight w:val="0"/>
          <w:marTop w:val="240"/>
          <w:marBottom w:val="0"/>
          <w:divBdr>
            <w:top w:val="none" w:sz="0" w:space="0" w:color="auto"/>
            <w:left w:val="none" w:sz="0" w:space="0" w:color="auto"/>
            <w:bottom w:val="none" w:sz="0" w:space="0" w:color="auto"/>
            <w:right w:val="none" w:sz="0" w:space="0" w:color="auto"/>
          </w:divBdr>
        </w:div>
      </w:divsChild>
    </w:div>
    <w:div w:id="690911511">
      <w:bodyDiv w:val="1"/>
      <w:marLeft w:val="0"/>
      <w:marRight w:val="0"/>
      <w:marTop w:val="0"/>
      <w:marBottom w:val="0"/>
      <w:divBdr>
        <w:top w:val="none" w:sz="0" w:space="0" w:color="auto"/>
        <w:left w:val="none" w:sz="0" w:space="0" w:color="auto"/>
        <w:bottom w:val="none" w:sz="0" w:space="0" w:color="auto"/>
        <w:right w:val="none" w:sz="0" w:space="0" w:color="auto"/>
      </w:divBdr>
      <w:divsChild>
        <w:div w:id="1756242829">
          <w:marLeft w:val="274"/>
          <w:marRight w:val="0"/>
          <w:marTop w:val="240"/>
          <w:marBottom w:val="0"/>
          <w:divBdr>
            <w:top w:val="none" w:sz="0" w:space="0" w:color="auto"/>
            <w:left w:val="none" w:sz="0" w:space="0" w:color="auto"/>
            <w:bottom w:val="none" w:sz="0" w:space="0" w:color="auto"/>
            <w:right w:val="none" w:sz="0" w:space="0" w:color="auto"/>
          </w:divBdr>
        </w:div>
        <w:div w:id="319887086">
          <w:marLeft w:val="533"/>
          <w:marRight w:val="0"/>
          <w:marTop w:val="0"/>
          <w:marBottom w:val="0"/>
          <w:divBdr>
            <w:top w:val="none" w:sz="0" w:space="0" w:color="auto"/>
            <w:left w:val="none" w:sz="0" w:space="0" w:color="auto"/>
            <w:bottom w:val="none" w:sz="0" w:space="0" w:color="auto"/>
            <w:right w:val="none" w:sz="0" w:space="0" w:color="auto"/>
          </w:divBdr>
        </w:div>
      </w:divsChild>
    </w:div>
    <w:div w:id="730620186">
      <w:bodyDiv w:val="1"/>
      <w:marLeft w:val="0"/>
      <w:marRight w:val="0"/>
      <w:marTop w:val="0"/>
      <w:marBottom w:val="0"/>
      <w:divBdr>
        <w:top w:val="none" w:sz="0" w:space="0" w:color="auto"/>
        <w:left w:val="none" w:sz="0" w:space="0" w:color="auto"/>
        <w:bottom w:val="none" w:sz="0" w:space="0" w:color="auto"/>
        <w:right w:val="none" w:sz="0" w:space="0" w:color="auto"/>
      </w:divBdr>
    </w:div>
    <w:div w:id="908729918">
      <w:bodyDiv w:val="1"/>
      <w:marLeft w:val="0"/>
      <w:marRight w:val="0"/>
      <w:marTop w:val="0"/>
      <w:marBottom w:val="0"/>
      <w:divBdr>
        <w:top w:val="none" w:sz="0" w:space="0" w:color="auto"/>
        <w:left w:val="none" w:sz="0" w:space="0" w:color="auto"/>
        <w:bottom w:val="none" w:sz="0" w:space="0" w:color="auto"/>
        <w:right w:val="none" w:sz="0" w:space="0" w:color="auto"/>
      </w:divBdr>
      <w:divsChild>
        <w:div w:id="1286692170">
          <w:marLeft w:val="533"/>
          <w:marRight w:val="0"/>
          <w:marTop w:val="0"/>
          <w:marBottom w:val="0"/>
          <w:divBdr>
            <w:top w:val="none" w:sz="0" w:space="0" w:color="auto"/>
            <w:left w:val="none" w:sz="0" w:space="0" w:color="auto"/>
            <w:bottom w:val="none" w:sz="0" w:space="0" w:color="auto"/>
            <w:right w:val="none" w:sz="0" w:space="0" w:color="auto"/>
          </w:divBdr>
        </w:div>
        <w:div w:id="1190340004">
          <w:marLeft w:val="806"/>
          <w:marRight w:val="0"/>
          <w:marTop w:val="0"/>
          <w:marBottom w:val="0"/>
          <w:divBdr>
            <w:top w:val="none" w:sz="0" w:space="0" w:color="auto"/>
            <w:left w:val="none" w:sz="0" w:space="0" w:color="auto"/>
            <w:bottom w:val="none" w:sz="0" w:space="0" w:color="auto"/>
            <w:right w:val="none" w:sz="0" w:space="0" w:color="auto"/>
          </w:divBdr>
        </w:div>
        <w:div w:id="1753775877">
          <w:marLeft w:val="1080"/>
          <w:marRight w:val="0"/>
          <w:marTop w:val="0"/>
          <w:marBottom w:val="0"/>
          <w:divBdr>
            <w:top w:val="none" w:sz="0" w:space="0" w:color="auto"/>
            <w:left w:val="none" w:sz="0" w:space="0" w:color="auto"/>
            <w:bottom w:val="none" w:sz="0" w:space="0" w:color="auto"/>
            <w:right w:val="none" w:sz="0" w:space="0" w:color="auto"/>
          </w:divBdr>
        </w:div>
        <w:div w:id="236597822">
          <w:marLeft w:val="806"/>
          <w:marRight w:val="0"/>
          <w:marTop w:val="0"/>
          <w:marBottom w:val="0"/>
          <w:divBdr>
            <w:top w:val="none" w:sz="0" w:space="0" w:color="auto"/>
            <w:left w:val="none" w:sz="0" w:space="0" w:color="auto"/>
            <w:bottom w:val="none" w:sz="0" w:space="0" w:color="auto"/>
            <w:right w:val="none" w:sz="0" w:space="0" w:color="auto"/>
          </w:divBdr>
        </w:div>
        <w:div w:id="1722822964">
          <w:marLeft w:val="533"/>
          <w:marRight w:val="0"/>
          <w:marTop w:val="0"/>
          <w:marBottom w:val="0"/>
          <w:divBdr>
            <w:top w:val="none" w:sz="0" w:space="0" w:color="auto"/>
            <w:left w:val="none" w:sz="0" w:space="0" w:color="auto"/>
            <w:bottom w:val="none" w:sz="0" w:space="0" w:color="auto"/>
            <w:right w:val="none" w:sz="0" w:space="0" w:color="auto"/>
          </w:divBdr>
        </w:div>
        <w:div w:id="300768958">
          <w:marLeft w:val="806"/>
          <w:marRight w:val="0"/>
          <w:marTop w:val="0"/>
          <w:marBottom w:val="0"/>
          <w:divBdr>
            <w:top w:val="none" w:sz="0" w:space="0" w:color="auto"/>
            <w:left w:val="none" w:sz="0" w:space="0" w:color="auto"/>
            <w:bottom w:val="none" w:sz="0" w:space="0" w:color="auto"/>
            <w:right w:val="none" w:sz="0" w:space="0" w:color="auto"/>
          </w:divBdr>
        </w:div>
      </w:divsChild>
    </w:div>
    <w:div w:id="1133331502">
      <w:bodyDiv w:val="1"/>
      <w:marLeft w:val="0"/>
      <w:marRight w:val="0"/>
      <w:marTop w:val="0"/>
      <w:marBottom w:val="0"/>
      <w:divBdr>
        <w:top w:val="none" w:sz="0" w:space="0" w:color="auto"/>
        <w:left w:val="none" w:sz="0" w:space="0" w:color="auto"/>
        <w:bottom w:val="none" w:sz="0" w:space="0" w:color="auto"/>
        <w:right w:val="none" w:sz="0" w:space="0" w:color="auto"/>
      </w:divBdr>
      <w:divsChild>
        <w:div w:id="1750420715">
          <w:marLeft w:val="274"/>
          <w:marRight w:val="0"/>
          <w:marTop w:val="240"/>
          <w:marBottom w:val="0"/>
          <w:divBdr>
            <w:top w:val="none" w:sz="0" w:space="0" w:color="auto"/>
            <w:left w:val="none" w:sz="0" w:space="0" w:color="auto"/>
            <w:bottom w:val="none" w:sz="0" w:space="0" w:color="auto"/>
            <w:right w:val="none" w:sz="0" w:space="0" w:color="auto"/>
          </w:divBdr>
        </w:div>
        <w:div w:id="319308772">
          <w:marLeft w:val="533"/>
          <w:marRight w:val="0"/>
          <w:marTop w:val="0"/>
          <w:marBottom w:val="0"/>
          <w:divBdr>
            <w:top w:val="none" w:sz="0" w:space="0" w:color="auto"/>
            <w:left w:val="none" w:sz="0" w:space="0" w:color="auto"/>
            <w:bottom w:val="none" w:sz="0" w:space="0" w:color="auto"/>
            <w:right w:val="none" w:sz="0" w:space="0" w:color="auto"/>
          </w:divBdr>
        </w:div>
        <w:div w:id="636035226">
          <w:marLeft w:val="806"/>
          <w:marRight w:val="0"/>
          <w:marTop w:val="0"/>
          <w:marBottom w:val="0"/>
          <w:divBdr>
            <w:top w:val="none" w:sz="0" w:space="0" w:color="auto"/>
            <w:left w:val="none" w:sz="0" w:space="0" w:color="auto"/>
            <w:bottom w:val="none" w:sz="0" w:space="0" w:color="auto"/>
            <w:right w:val="none" w:sz="0" w:space="0" w:color="auto"/>
          </w:divBdr>
        </w:div>
      </w:divsChild>
    </w:div>
    <w:div w:id="1333068709">
      <w:bodyDiv w:val="1"/>
      <w:marLeft w:val="0"/>
      <w:marRight w:val="0"/>
      <w:marTop w:val="0"/>
      <w:marBottom w:val="0"/>
      <w:divBdr>
        <w:top w:val="none" w:sz="0" w:space="0" w:color="auto"/>
        <w:left w:val="none" w:sz="0" w:space="0" w:color="auto"/>
        <w:bottom w:val="none" w:sz="0" w:space="0" w:color="auto"/>
        <w:right w:val="none" w:sz="0" w:space="0" w:color="auto"/>
      </w:divBdr>
      <w:divsChild>
        <w:div w:id="1747148098">
          <w:marLeft w:val="274"/>
          <w:marRight w:val="0"/>
          <w:marTop w:val="240"/>
          <w:marBottom w:val="0"/>
          <w:divBdr>
            <w:top w:val="none" w:sz="0" w:space="0" w:color="auto"/>
            <w:left w:val="none" w:sz="0" w:space="0" w:color="auto"/>
            <w:bottom w:val="none" w:sz="0" w:space="0" w:color="auto"/>
            <w:right w:val="none" w:sz="0" w:space="0" w:color="auto"/>
          </w:divBdr>
        </w:div>
        <w:div w:id="87315583">
          <w:marLeft w:val="533"/>
          <w:marRight w:val="0"/>
          <w:marTop w:val="0"/>
          <w:marBottom w:val="0"/>
          <w:divBdr>
            <w:top w:val="none" w:sz="0" w:space="0" w:color="auto"/>
            <w:left w:val="none" w:sz="0" w:space="0" w:color="auto"/>
            <w:bottom w:val="none" w:sz="0" w:space="0" w:color="auto"/>
            <w:right w:val="none" w:sz="0" w:space="0" w:color="auto"/>
          </w:divBdr>
        </w:div>
        <w:div w:id="623927431">
          <w:marLeft w:val="533"/>
          <w:marRight w:val="0"/>
          <w:marTop w:val="0"/>
          <w:marBottom w:val="0"/>
          <w:divBdr>
            <w:top w:val="none" w:sz="0" w:space="0" w:color="auto"/>
            <w:left w:val="none" w:sz="0" w:space="0" w:color="auto"/>
            <w:bottom w:val="none" w:sz="0" w:space="0" w:color="auto"/>
            <w:right w:val="none" w:sz="0" w:space="0" w:color="auto"/>
          </w:divBdr>
        </w:div>
        <w:div w:id="838547047">
          <w:marLeft w:val="806"/>
          <w:marRight w:val="0"/>
          <w:marTop w:val="0"/>
          <w:marBottom w:val="0"/>
          <w:divBdr>
            <w:top w:val="none" w:sz="0" w:space="0" w:color="auto"/>
            <w:left w:val="none" w:sz="0" w:space="0" w:color="auto"/>
            <w:bottom w:val="none" w:sz="0" w:space="0" w:color="auto"/>
            <w:right w:val="none" w:sz="0" w:space="0" w:color="auto"/>
          </w:divBdr>
        </w:div>
        <w:div w:id="1250238482">
          <w:marLeft w:val="806"/>
          <w:marRight w:val="0"/>
          <w:marTop w:val="0"/>
          <w:marBottom w:val="0"/>
          <w:divBdr>
            <w:top w:val="none" w:sz="0" w:space="0" w:color="auto"/>
            <w:left w:val="none" w:sz="0" w:space="0" w:color="auto"/>
            <w:bottom w:val="none" w:sz="0" w:space="0" w:color="auto"/>
            <w:right w:val="none" w:sz="0" w:space="0" w:color="auto"/>
          </w:divBdr>
        </w:div>
        <w:div w:id="1980264275">
          <w:marLeft w:val="806"/>
          <w:marRight w:val="0"/>
          <w:marTop w:val="0"/>
          <w:marBottom w:val="0"/>
          <w:divBdr>
            <w:top w:val="none" w:sz="0" w:space="0" w:color="auto"/>
            <w:left w:val="none" w:sz="0" w:space="0" w:color="auto"/>
            <w:bottom w:val="none" w:sz="0" w:space="0" w:color="auto"/>
            <w:right w:val="none" w:sz="0" w:space="0" w:color="auto"/>
          </w:divBdr>
        </w:div>
        <w:div w:id="1002777570">
          <w:marLeft w:val="806"/>
          <w:marRight w:val="0"/>
          <w:marTop w:val="0"/>
          <w:marBottom w:val="0"/>
          <w:divBdr>
            <w:top w:val="none" w:sz="0" w:space="0" w:color="auto"/>
            <w:left w:val="none" w:sz="0" w:space="0" w:color="auto"/>
            <w:bottom w:val="none" w:sz="0" w:space="0" w:color="auto"/>
            <w:right w:val="none" w:sz="0" w:space="0" w:color="auto"/>
          </w:divBdr>
        </w:div>
        <w:div w:id="1414545722">
          <w:marLeft w:val="274"/>
          <w:marRight w:val="0"/>
          <w:marTop w:val="240"/>
          <w:marBottom w:val="0"/>
          <w:divBdr>
            <w:top w:val="none" w:sz="0" w:space="0" w:color="auto"/>
            <w:left w:val="none" w:sz="0" w:space="0" w:color="auto"/>
            <w:bottom w:val="none" w:sz="0" w:space="0" w:color="auto"/>
            <w:right w:val="none" w:sz="0" w:space="0" w:color="auto"/>
          </w:divBdr>
        </w:div>
        <w:div w:id="599528144">
          <w:marLeft w:val="274"/>
          <w:marRight w:val="0"/>
          <w:marTop w:val="240"/>
          <w:marBottom w:val="0"/>
          <w:divBdr>
            <w:top w:val="none" w:sz="0" w:space="0" w:color="auto"/>
            <w:left w:val="none" w:sz="0" w:space="0" w:color="auto"/>
            <w:bottom w:val="none" w:sz="0" w:space="0" w:color="auto"/>
            <w:right w:val="none" w:sz="0" w:space="0" w:color="auto"/>
          </w:divBdr>
        </w:div>
      </w:divsChild>
    </w:div>
    <w:div w:id="1355888205">
      <w:bodyDiv w:val="1"/>
      <w:marLeft w:val="0"/>
      <w:marRight w:val="0"/>
      <w:marTop w:val="0"/>
      <w:marBottom w:val="0"/>
      <w:divBdr>
        <w:top w:val="none" w:sz="0" w:space="0" w:color="auto"/>
        <w:left w:val="none" w:sz="0" w:space="0" w:color="auto"/>
        <w:bottom w:val="none" w:sz="0" w:space="0" w:color="auto"/>
        <w:right w:val="none" w:sz="0" w:space="0" w:color="auto"/>
      </w:divBdr>
    </w:div>
    <w:div w:id="1388605767">
      <w:bodyDiv w:val="1"/>
      <w:marLeft w:val="0"/>
      <w:marRight w:val="0"/>
      <w:marTop w:val="0"/>
      <w:marBottom w:val="0"/>
      <w:divBdr>
        <w:top w:val="none" w:sz="0" w:space="0" w:color="auto"/>
        <w:left w:val="none" w:sz="0" w:space="0" w:color="auto"/>
        <w:bottom w:val="none" w:sz="0" w:space="0" w:color="auto"/>
        <w:right w:val="none" w:sz="0" w:space="0" w:color="auto"/>
      </w:divBdr>
      <w:divsChild>
        <w:div w:id="434054181">
          <w:marLeft w:val="274"/>
          <w:marRight w:val="0"/>
          <w:marTop w:val="240"/>
          <w:marBottom w:val="0"/>
          <w:divBdr>
            <w:top w:val="none" w:sz="0" w:space="0" w:color="auto"/>
            <w:left w:val="none" w:sz="0" w:space="0" w:color="auto"/>
            <w:bottom w:val="none" w:sz="0" w:space="0" w:color="auto"/>
            <w:right w:val="none" w:sz="0" w:space="0" w:color="auto"/>
          </w:divBdr>
        </w:div>
        <w:div w:id="604848534">
          <w:marLeft w:val="533"/>
          <w:marRight w:val="0"/>
          <w:marTop w:val="0"/>
          <w:marBottom w:val="0"/>
          <w:divBdr>
            <w:top w:val="none" w:sz="0" w:space="0" w:color="auto"/>
            <w:left w:val="none" w:sz="0" w:space="0" w:color="auto"/>
            <w:bottom w:val="none" w:sz="0" w:space="0" w:color="auto"/>
            <w:right w:val="none" w:sz="0" w:space="0" w:color="auto"/>
          </w:divBdr>
        </w:div>
        <w:div w:id="2062171606">
          <w:marLeft w:val="533"/>
          <w:marRight w:val="0"/>
          <w:marTop w:val="0"/>
          <w:marBottom w:val="0"/>
          <w:divBdr>
            <w:top w:val="none" w:sz="0" w:space="0" w:color="auto"/>
            <w:left w:val="none" w:sz="0" w:space="0" w:color="auto"/>
            <w:bottom w:val="none" w:sz="0" w:space="0" w:color="auto"/>
            <w:right w:val="none" w:sz="0" w:space="0" w:color="auto"/>
          </w:divBdr>
        </w:div>
      </w:divsChild>
    </w:div>
    <w:div w:id="1548225310">
      <w:bodyDiv w:val="1"/>
      <w:marLeft w:val="0"/>
      <w:marRight w:val="0"/>
      <w:marTop w:val="0"/>
      <w:marBottom w:val="0"/>
      <w:divBdr>
        <w:top w:val="none" w:sz="0" w:space="0" w:color="auto"/>
        <w:left w:val="none" w:sz="0" w:space="0" w:color="auto"/>
        <w:bottom w:val="none" w:sz="0" w:space="0" w:color="auto"/>
        <w:right w:val="none" w:sz="0" w:space="0" w:color="auto"/>
      </w:divBdr>
      <w:divsChild>
        <w:div w:id="1027100742">
          <w:marLeft w:val="274"/>
          <w:marRight w:val="0"/>
          <w:marTop w:val="240"/>
          <w:marBottom w:val="0"/>
          <w:divBdr>
            <w:top w:val="none" w:sz="0" w:space="0" w:color="auto"/>
            <w:left w:val="none" w:sz="0" w:space="0" w:color="auto"/>
            <w:bottom w:val="none" w:sz="0" w:space="0" w:color="auto"/>
            <w:right w:val="none" w:sz="0" w:space="0" w:color="auto"/>
          </w:divBdr>
        </w:div>
        <w:div w:id="1568757424">
          <w:marLeft w:val="274"/>
          <w:marRight w:val="0"/>
          <w:marTop w:val="240"/>
          <w:marBottom w:val="0"/>
          <w:divBdr>
            <w:top w:val="none" w:sz="0" w:space="0" w:color="auto"/>
            <w:left w:val="none" w:sz="0" w:space="0" w:color="auto"/>
            <w:bottom w:val="none" w:sz="0" w:space="0" w:color="auto"/>
            <w:right w:val="none" w:sz="0" w:space="0" w:color="auto"/>
          </w:divBdr>
        </w:div>
        <w:div w:id="1675254639">
          <w:marLeft w:val="806"/>
          <w:marRight w:val="0"/>
          <w:marTop w:val="0"/>
          <w:marBottom w:val="0"/>
          <w:divBdr>
            <w:top w:val="none" w:sz="0" w:space="0" w:color="auto"/>
            <w:left w:val="none" w:sz="0" w:space="0" w:color="auto"/>
            <w:bottom w:val="none" w:sz="0" w:space="0" w:color="auto"/>
            <w:right w:val="none" w:sz="0" w:space="0" w:color="auto"/>
          </w:divBdr>
        </w:div>
        <w:div w:id="1810122927">
          <w:marLeft w:val="274"/>
          <w:marRight w:val="0"/>
          <w:marTop w:val="240"/>
          <w:marBottom w:val="0"/>
          <w:divBdr>
            <w:top w:val="none" w:sz="0" w:space="0" w:color="auto"/>
            <w:left w:val="none" w:sz="0" w:space="0" w:color="auto"/>
            <w:bottom w:val="none" w:sz="0" w:space="0" w:color="auto"/>
            <w:right w:val="none" w:sz="0" w:space="0" w:color="auto"/>
          </w:divBdr>
        </w:div>
        <w:div w:id="1702776457">
          <w:marLeft w:val="533"/>
          <w:marRight w:val="0"/>
          <w:marTop w:val="0"/>
          <w:marBottom w:val="0"/>
          <w:divBdr>
            <w:top w:val="none" w:sz="0" w:space="0" w:color="auto"/>
            <w:left w:val="none" w:sz="0" w:space="0" w:color="auto"/>
            <w:bottom w:val="none" w:sz="0" w:space="0" w:color="auto"/>
            <w:right w:val="none" w:sz="0" w:space="0" w:color="auto"/>
          </w:divBdr>
        </w:div>
        <w:div w:id="1786534714">
          <w:marLeft w:val="533"/>
          <w:marRight w:val="0"/>
          <w:marTop w:val="0"/>
          <w:marBottom w:val="0"/>
          <w:divBdr>
            <w:top w:val="none" w:sz="0" w:space="0" w:color="auto"/>
            <w:left w:val="none" w:sz="0" w:space="0" w:color="auto"/>
            <w:bottom w:val="none" w:sz="0" w:space="0" w:color="auto"/>
            <w:right w:val="none" w:sz="0" w:space="0" w:color="auto"/>
          </w:divBdr>
        </w:div>
        <w:div w:id="1805922984">
          <w:marLeft w:val="533"/>
          <w:marRight w:val="0"/>
          <w:marTop w:val="0"/>
          <w:marBottom w:val="0"/>
          <w:divBdr>
            <w:top w:val="none" w:sz="0" w:space="0" w:color="auto"/>
            <w:left w:val="none" w:sz="0" w:space="0" w:color="auto"/>
            <w:bottom w:val="none" w:sz="0" w:space="0" w:color="auto"/>
            <w:right w:val="none" w:sz="0" w:space="0" w:color="auto"/>
          </w:divBdr>
        </w:div>
      </w:divsChild>
    </w:div>
    <w:div w:id="1602294664">
      <w:bodyDiv w:val="1"/>
      <w:marLeft w:val="0"/>
      <w:marRight w:val="0"/>
      <w:marTop w:val="0"/>
      <w:marBottom w:val="0"/>
      <w:divBdr>
        <w:top w:val="none" w:sz="0" w:space="0" w:color="auto"/>
        <w:left w:val="none" w:sz="0" w:space="0" w:color="auto"/>
        <w:bottom w:val="none" w:sz="0" w:space="0" w:color="auto"/>
        <w:right w:val="none" w:sz="0" w:space="0" w:color="auto"/>
      </w:divBdr>
    </w:div>
    <w:div w:id="1668357947">
      <w:bodyDiv w:val="1"/>
      <w:marLeft w:val="0"/>
      <w:marRight w:val="0"/>
      <w:marTop w:val="0"/>
      <w:marBottom w:val="0"/>
      <w:divBdr>
        <w:top w:val="none" w:sz="0" w:space="0" w:color="auto"/>
        <w:left w:val="none" w:sz="0" w:space="0" w:color="auto"/>
        <w:bottom w:val="none" w:sz="0" w:space="0" w:color="auto"/>
        <w:right w:val="none" w:sz="0" w:space="0" w:color="auto"/>
      </w:divBdr>
      <w:divsChild>
        <w:div w:id="662199644">
          <w:marLeft w:val="533"/>
          <w:marRight w:val="0"/>
          <w:marTop w:val="0"/>
          <w:marBottom w:val="0"/>
          <w:divBdr>
            <w:top w:val="none" w:sz="0" w:space="0" w:color="auto"/>
            <w:left w:val="none" w:sz="0" w:space="0" w:color="auto"/>
            <w:bottom w:val="none" w:sz="0" w:space="0" w:color="auto"/>
            <w:right w:val="none" w:sz="0" w:space="0" w:color="auto"/>
          </w:divBdr>
        </w:div>
        <w:div w:id="1041368264">
          <w:marLeft w:val="806"/>
          <w:marRight w:val="0"/>
          <w:marTop w:val="0"/>
          <w:marBottom w:val="0"/>
          <w:divBdr>
            <w:top w:val="none" w:sz="0" w:space="0" w:color="auto"/>
            <w:left w:val="none" w:sz="0" w:space="0" w:color="auto"/>
            <w:bottom w:val="none" w:sz="0" w:space="0" w:color="auto"/>
            <w:right w:val="none" w:sz="0" w:space="0" w:color="auto"/>
          </w:divBdr>
        </w:div>
      </w:divsChild>
    </w:div>
    <w:div w:id="1887180706">
      <w:bodyDiv w:val="1"/>
      <w:marLeft w:val="0"/>
      <w:marRight w:val="0"/>
      <w:marTop w:val="0"/>
      <w:marBottom w:val="0"/>
      <w:divBdr>
        <w:top w:val="none" w:sz="0" w:space="0" w:color="auto"/>
        <w:left w:val="none" w:sz="0" w:space="0" w:color="auto"/>
        <w:bottom w:val="none" w:sz="0" w:space="0" w:color="auto"/>
        <w:right w:val="none" w:sz="0" w:space="0" w:color="auto"/>
      </w:divBdr>
      <w:divsChild>
        <w:div w:id="109789808">
          <w:marLeft w:val="274"/>
          <w:marRight w:val="0"/>
          <w:marTop w:val="240"/>
          <w:marBottom w:val="0"/>
          <w:divBdr>
            <w:top w:val="none" w:sz="0" w:space="0" w:color="auto"/>
            <w:left w:val="none" w:sz="0" w:space="0" w:color="auto"/>
            <w:bottom w:val="none" w:sz="0" w:space="0" w:color="auto"/>
            <w:right w:val="none" w:sz="0" w:space="0" w:color="auto"/>
          </w:divBdr>
        </w:div>
        <w:div w:id="1918127789">
          <w:marLeft w:val="274"/>
          <w:marRight w:val="0"/>
          <w:marTop w:val="240"/>
          <w:marBottom w:val="0"/>
          <w:divBdr>
            <w:top w:val="none" w:sz="0" w:space="0" w:color="auto"/>
            <w:left w:val="none" w:sz="0" w:space="0" w:color="auto"/>
            <w:bottom w:val="none" w:sz="0" w:space="0" w:color="auto"/>
            <w:right w:val="none" w:sz="0" w:space="0" w:color="auto"/>
          </w:divBdr>
        </w:div>
        <w:div w:id="313148794">
          <w:marLeft w:val="806"/>
          <w:marRight w:val="0"/>
          <w:marTop w:val="0"/>
          <w:marBottom w:val="0"/>
          <w:divBdr>
            <w:top w:val="none" w:sz="0" w:space="0" w:color="auto"/>
            <w:left w:val="none" w:sz="0" w:space="0" w:color="auto"/>
            <w:bottom w:val="none" w:sz="0" w:space="0" w:color="auto"/>
            <w:right w:val="none" w:sz="0" w:space="0" w:color="auto"/>
          </w:divBdr>
        </w:div>
        <w:div w:id="345014038">
          <w:marLeft w:val="274"/>
          <w:marRight w:val="0"/>
          <w:marTop w:val="240"/>
          <w:marBottom w:val="0"/>
          <w:divBdr>
            <w:top w:val="none" w:sz="0" w:space="0" w:color="auto"/>
            <w:left w:val="none" w:sz="0" w:space="0" w:color="auto"/>
            <w:bottom w:val="none" w:sz="0" w:space="0" w:color="auto"/>
            <w:right w:val="none" w:sz="0" w:space="0" w:color="auto"/>
          </w:divBdr>
        </w:div>
        <w:div w:id="1676306150">
          <w:marLeft w:val="533"/>
          <w:marRight w:val="0"/>
          <w:marTop w:val="0"/>
          <w:marBottom w:val="0"/>
          <w:divBdr>
            <w:top w:val="none" w:sz="0" w:space="0" w:color="auto"/>
            <w:left w:val="none" w:sz="0" w:space="0" w:color="auto"/>
            <w:bottom w:val="none" w:sz="0" w:space="0" w:color="auto"/>
            <w:right w:val="none" w:sz="0" w:space="0" w:color="auto"/>
          </w:divBdr>
        </w:div>
        <w:div w:id="50814902">
          <w:marLeft w:val="533"/>
          <w:marRight w:val="0"/>
          <w:marTop w:val="0"/>
          <w:marBottom w:val="0"/>
          <w:divBdr>
            <w:top w:val="none" w:sz="0" w:space="0" w:color="auto"/>
            <w:left w:val="none" w:sz="0" w:space="0" w:color="auto"/>
            <w:bottom w:val="none" w:sz="0" w:space="0" w:color="auto"/>
            <w:right w:val="none" w:sz="0" w:space="0" w:color="auto"/>
          </w:divBdr>
        </w:div>
        <w:div w:id="459298918">
          <w:marLeft w:val="533"/>
          <w:marRight w:val="0"/>
          <w:marTop w:val="0"/>
          <w:marBottom w:val="0"/>
          <w:divBdr>
            <w:top w:val="none" w:sz="0" w:space="0" w:color="auto"/>
            <w:left w:val="none" w:sz="0" w:space="0" w:color="auto"/>
            <w:bottom w:val="none" w:sz="0" w:space="0" w:color="auto"/>
            <w:right w:val="none" w:sz="0" w:space="0" w:color="auto"/>
          </w:divBdr>
        </w:div>
      </w:divsChild>
    </w:div>
    <w:div w:id="1918861207">
      <w:bodyDiv w:val="1"/>
      <w:marLeft w:val="0"/>
      <w:marRight w:val="0"/>
      <w:marTop w:val="0"/>
      <w:marBottom w:val="0"/>
      <w:divBdr>
        <w:top w:val="none" w:sz="0" w:space="0" w:color="auto"/>
        <w:left w:val="none" w:sz="0" w:space="0" w:color="auto"/>
        <w:bottom w:val="none" w:sz="0" w:space="0" w:color="auto"/>
        <w:right w:val="none" w:sz="0" w:space="0" w:color="auto"/>
      </w:divBdr>
      <w:divsChild>
        <w:div w:id="2041660280">
          <w:marLeft w:val="994"/>
          <w:marRight w:val="0"/>
          <w:marTop w:val="96"/>
          <w:marBottom w:val="0"/>
          <w:divBdr>
            <w:top w:val="none" w:sz="0" w:space="0" w:color="auto"/>
            <w:left w:val="none" w:sz="0" w:space="0" w:color="auto"/>
            <w:bottom w:val="none" w:sz="0" w:space="0" w:color="auto"/>
            <w:right w:val="none" w:sz="0" w:space="0" w:color="auto"/>
          </w:divBdr>
        </w:div>
        <w:div w:id="217204524">
          <w:marLeft w:val="994"/>
          <w:marRight w:val="0"/>
          <w:marTop w:val="96"/>
          <w:marBottom w:val="0"/>
          <w:divBdr>
            <w:top w:val="none" w:sz="0" w:space="0" w:color="auto"/>
            <w:left w:val="none" w:sz="0" w:space="0" w:color="auto"/>
            <w:bottom w:val="none" w:sz="0" w:space="0" w:color="auto"/>
            <w:right w:val="none" w:sz="0" w:space="0" w:color="auto"/>
          </w:divBdr>
        </w:div>
        <w:div w:id="1161698724">
          <w:marLeft w:val="994"/>
          <w:marRight w:val="0"/>
          <w:marTop w:val="96"/>
          <w:marBottom w:val="0"/>
          <w:divBdr>
            <w:top w:val="none" w:sz="0" w:space="0" w:color="auto"/>
            <w:left w:val="none" w:sz="0" w:space="0" w:color="auto"/>
            <w:bottom w:val="none" w:sz="0" w:space="0" w:color="auto"/>
            <w:right w:val="none" w:sz="0" w:space="0" w:color="auto"/>
          </w:divBdr>
        </w:div>
        <w:div w:id="192380242">
          <w:marLeft w:val="994"/>
          <w:marRight w:val="0"/>
          <w:marTop w:val="96"/>
          <w:marBottom w:val="0"/>
          <w:divBdr>
            <w:top w:val="none" w:sz="0" w:space="0" w:color="auto"/>
            <w:left w:val="none" w:sz="0" w:space="0" w:color="auto"/>
            <w:bottom w:val="none" w:sz="0" w:space="0" w:color="auto"/>
            <w:right w:val="none" w:sz="0" w:space="0" w:color="auto"/>
          </w:divBdr>
        </w:div>
      </w:divsChild>
    </w:div>
    <w:div w:id="1936749478">
      <w:bodyDiv w:val="1"/>
      <w:marLeft w:val="0"/>
      <w:marRight w:val="0"/>
      <w:marTop w:val="0"/>
      <w:marBottom w:val="0"/>
      <w:divBdr>
        <w:top w:val="none" w:sz="0" w:space="0" w:color="auto"/>
        <w:left w:val="none" w:sz="0" w:space="0" w:color="auto"/>
        <w:bottom w:val="none" w:sz="0" w:space="0" w:color="auto"/>
        <w:right w:val="none" w:sz="0" w:space="0" w:color="auto"/>
      </w:divBdr>
      <w:divsChild>
        <w:div w:id="1748914969">
          <w:marLeft w:val="806"/>
          <w:marRight w:val="0"/>
          <w:marTop w:val="0"/>
          <w:marBottom w:val="0"/>
          <w:divBdr>
            <w:top w:val="none" w:sz="0" w:space="0" w:color="auto"/>
            <w:left w:val="none" w:sz="0" w:space="0" w:color="auto"/>
            <w:bottom w:val="none" w:sz="0" w:space="0" w:color="auto"/>
            <w:right w:val="none" w:sz="0" w:space="0" w:color="auto"/>
          </w:divBdr>
        </w:div>
        <w:div w:id="1592205519">
          <w:marLeft w:val="1080"/>
          <w:marRight w:val="0"/>
          <w:marTop w:val="0"/>
          <w:marBottom w:val="0"/>
          <w:divBdr>
            <w:top w:val="none" w:sz="0" w:space="0" w:color="auto"/>
            <w:left w:val="none" w:sz="0" w:space="0" w:color="auto"/>
            <w:bottom w:val="none" w:sz="0" w:space="0" w:color="auto"/>
            <w:right w:val="none" w:sz="0" w:space="0" w:color="auto"/>
          </w:divBdr>
        </w:div>
        <w:div w:id="496380646">
          <w:marLeft w:val="1080"/>
          <w:marRight w:val="0"/>
          <w:marTop w:val="0"/>
          <w:marBottom w:val="0"/>
          <w:divBdr>
            <w:top w:val="none" w:sz="0" w:space="0" w:color="auto"/>
            <w:left w:val="none" w:sz="0" w:space="0" w:color="auto"/>
            <w:bottom w:val="none" w:sz="0" w:space="0" w:color="auto"/>
            <w:right w:val="none" w:sz="0" w:space="0" w:color="auto"/>
          </w:divBdr>
        </w:div>
        <w:div w:id="1086001919">
          <w:marLeft w:val="1080"/>
          <w:marRight w:val="0"/>
          <w:marTop w:val="0"/>
          <w:marBottom w:val="0"/>
          <w:divBdr>
            <w:top w:val="none" w:sz="0" w:space="0" w:color="auto"/>
            <w:left w:val="none" w:sz="0" w:space="0" w:color="auto"/>
            <w:bottom w:val="none" w:sz="0" w:space="0" w:color="auto"/>
            <w:right w:val="none" w:sz="0" w:space="0" w:color="auto"/>
          </w:divBdr>
        </w:div>
        <w:div w:id="1445884375">
          <w:marLeft w:val="1080"/>
          <w:marRight w:val="0"/>
          <w:marTop w:val="0"/>
          <w:marBottom w:val="0"/>
          <w:divBdr>
            <w:top w:val="none" w:sz="0" w:space="0" w:color="auto"/>
            <w:left w:val="none" w:sz="0" w:space="0" w:color="auto"/>
            <w:bottom w:val="none" w:sz="0" w:space="0" w:color="auto"/>
            <w:right w:val="none" w:sz="0" w:space="0" w:color="auto"/>
          </w:divBdr>
        </w:div>
      </w:divsChild>
    </w:div>
    <w:div w:id="2028100433">
      <w:bodyDiv w:val="1"/>
      <w:marLeft w:val="0"/>
      <w:marRight w:val="0"/>
      <w:marTop w:val="0"/>
      <w:marBottom w:val="0"/>
      <w:divBdr>
        <w:top w:val="none" w:sz="0" w:space="0" w:color="auto"/>
        <w:left w:val="none" w:sz="0" w:space="0" w:color="auto"/>
        <w:bottom w:val="none" w:sz="0" w:space="0" w:color="auto"/>
        <w:right w:val="none" w:sz="0" w:space="0" w:color="auto"/>
      </w:divBdr>
      <w:divsChild>
        <w:div w:id="1176067555">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F4681-CE56-479E-BC25-8C7B9D41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5</cp:revision>
  <dcterms:created xsi:type="dcterms:W3CDTF">2019-05-02T21:11:00Z</dcterms:created>
  <dcterms:modified xsi:type="dcterms:W3CDTF">2019-05-02T21:13:00Z</dcterms:modified>
</cp:coreProperties>
</file>