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EE59" w14:textId="1EFFDB12" w:rsidR="009760FC" w:rsidRPr="00F7071C" w:rsidRDefault="009760FC" w:rsidP="009760FC">
      <w:pPr>
        <w:pStyle w:val="3GPPHeader"/>
        <w:spacing w:after="60"/>
        <w:rPr>
          <w:sz w:val="32"/>
          <w:szCs w:val="32"/>
          <w:highlight w:val="yellow"/>
          <w:lang w:val="de-DE"/>
        </w:rPr>
      </w:pPr>
      <w:r w:rsidRPr="00F7071C">
        <w:rPr>
          <w:lang w:val="de-DE"/>
        </w:rPr>
        <w:t>3GPP TSG-RAN WG2 #10</w:t>
      </w:r>
      <w:r w:rsidR="0059110E" w:rsidRPr="00F7071C">
        <w:rPr>
          <w:lang w:val="de-DE"/>
        </w:rPr>
        <w:t>5</w:t>
      </w:r>
      <w:r w:rsidR="00612C35" w:rsidRPr="00F7071C">
        <w:rPr>
          <w:lang w:val="de-DE"/>
        </w:rPr>
        <w:t>bis</w:t>
      </w:r>
      <w:r w:rsidRPr="00F7071C">
        <w:rPr>
          <w:lang w:val="de-DE"/>
        </w:rPr>
        <w:tab/>
      </w:r>
      <w:r w:rsidRPr="00F7071C">
        <w:rPr>
          <w:sz w:val="32"/>
          <w:szCs w:val="32"/>
          <w:lang w:val="de-DE"/>
        </w:rPr>
        <w:t xml:space="preserve"> </w:t>
      </w:r>
      <w:bookmarkStart w:id="0" w:name="_GoBack"/>
      <w:r w:rsidR="00427BCD" w:rsidRPr="00427BCD">
        <w:rPr>
          <w:sz w:val="32"/>
          <w:szCs w:val="32"/>
          <w:lang w:val="de-DE"/>
        </w:rPr>
        <w:t>R2-1904734</w:t>
      </w:r>
      <w:bookmarkEnd w:id="0"/>
    </w:p>
    <w:p w14:paraId="5E88A5F8" w14:textId="4FAAC637" w:rsidR="006255E7" w:rsidRPr="00FF5F6F" w:rsidRDefault="009566AC" w:rsidP="009566AC">
      <w:pPr>
        <w:pStyle w:val="CRCoverPage"/>
        <w:tabs>
          <w:tab w:val="right" w:pos="9630"/>
        </w:tabs>
        <w:jc w:val="both"/>
        <w:outlineLvl w:val="0"/>
        <w:rPr>
          <w:b/>
          <w:noProof/>
          <w:sz w:val="24"/>
          <w:lang w:val="en-US"/>
        </w:rPr>
      </w:pPr>
      <w:r w:rsidRPr="00FF5F6F">
        <w:rPr>
          <w:b/>
          <w:noProof/>
          <w:sz w:val="24"/>
          <w:lang w:val="en-US"/>
        </w:rPr>
        <w:t>Xi’an, China, 8th – 12th April 2019</w:t>
      </w:r>
      <w:r w:rsidRPr="00FF5F6F">
        <w:rPr>
          <w:b/>
          <w:noProof/>
          <w:sz w:val="24"/>
          <w:lang w:val="en-US"/>
        </w:rPr>
        <w:tab/>
      </w:r>
      <w:r w:rsidR="00EE483C" w:rsidRPr="00FF5F6F">
        <w:rPr>
          <w:b/>
          <w:noProof/>
          <w:sz w:val="24"/>
          <w:lang w:val="en-US"/>
        </w:rPr>
        <w:t>Revision of R2-</w:t>
      </w:r>
      <w:r w:rsidR="00612C35" w:rsidRPr="00FF5F6F">
        <w:rPr>
          <w:b/>
          <w:noProof/>
          <w:sz w:val="24"/>
          <w:lang w:val="en-US"/>
        </w:rPr>
        <w:t>1901750</w:t>
      </w:r>
    </w:p>
    <w:p w14:paraId="3B540F75" w14:textId="77777777" w:rsidR="00E90E49" w:rsidRPr="00FF5F6F" w:rsidRDefault="00E90E49" w:rsidP="00357380">
      <w:pPr>
        <w:pStyle w:val="3GPPHeader"/>
        <w:rPr>
          <w:lang w:val="en-US"/>
        </w:rPr>
      </w:pPr>
    </w:p>
    <w:p w14:paraId="22E1D8B8" w14:textId="417D0ED6" w:rsidR="00E90E49" w:rsidRPr="00FF5F6F" w:rsidRDefault="00E90E49" w:rsidP="00311702">
      <w:pPr>
        <w:pStyle w:val="3GPPHeader"/>
        <w:rPr>
          <w:sz w:val="22"/>
          <w:szCs w:val="22"/>
          <w:lang w:val="en-US"/>
        </w:rPr>
      </w:pPr>
      <w:r w:rsidRPr="00FF5F6F">
        <w:rPr>
          <w:sz w:val="22"/>
          <w:szCs w:val="22"/>
          <w:lang w:val="en-US"/>
        </w:rPr>
        <w:t>Agenda Item:</w:t>
      </w:r>
      <w:r w:rsidRPr="00FF5F6F">
        <w:rPr>
          <w:sz w:val="22"/>
          <w:szCs w:val="22"/>
          <w:lang w:val="en-US"/>
        </w:rPr>
        <w:tab/>
      </w:r>
      <w:r w:rsidR="00E36AAC" w:rsidRPr="00FF5F6F">
        <w:rPr>
          <w:sz w:val="22"/>
          <w:szCs w:val="22"/>
          <w:lang w:val="en-US"/>
        </w:rPr>
        <w:t>11.2.2.1</w:t>
      </w:r>
      <w:r w:rsidR="004F66E0" w:rsidRPr="00FF5F6F">
        <w:rPr>
          <w:lang w:val="en-US"/>
        </w:rPr>
        <w:tab/>
      </w:r>
    </w:p>
    <w:p w14:paraId="4D43BCD2" w14:textId="77777777" w:rsidR="00E90E49" w:rsidRPr="00FF5F6F" w:rsidRDefault="003D3C45" w:rsidP="00F64C2B">
      <w:pPr>
        <w:pStyle w:val="3GPPHeader"/>
        <w:rPr>
          <w:sz w:val="22"/>
          <w:szCs w:val="22"/>
          <w:lang w:val="en-US"/>
        </w:rPr>
      </w:pPr>
      <w:r w:rsidRPr="00FF5F6F">
        <w:rPr>
          <w:sz w:val="22"/>
          <w:szCs w:val="22"/>
          <w:lang w:val="en-US"/>
        </w:rPr>
        <w:t>Source:</w:t>
      </w:r>
      <w:r w:rsidR="00E90E49" w:rsidRPr="00FF5F6F">
        <w:rPr>
          <w:sz w:val="22"/>
          <w:szCs w:val="22"/>
          <w:lang w:val="en-US"/>
        </w:rPr>
        <w:tab/>
      </w:r>
      <w:r w:rsidR="00F64C2B" w:rsidRPr="00FF5F6F">
        <w:rPr>
          <w:sz w:val="22"/>
          <w:szCs w:val="22"/>
          <w:lang w:val="en-US"/>
        </w:rPr>
        <w:t>Ericsson</w:t>
      </w:r>
    </w:p>
    <w:p w14:paraId="3AAFA40C" w14:textId="47A419C8" w:rsidR="00E90E49" w:rsidRPr="00FF5F6F" w:rsidRDefault="003D3C45" w:rsidP="00311702">
      <w:pPr>
        <w:pStyle w:val="3GPPHeader"/>
        <w:rPr>
          <w:sz w:val="22"/>
          <w:szCs w:val="22"/>
          <w:lang w:val="en-US"/>
        </w:rPr>
      </w:pPr>
      <w:r w:rsidRPr="00FF5F6F">
        <w:rPr>
          <w:sz w:val="22"/>
          <w:szCs w:val="22"/>
          <w:lang w:val="en-US"/>
        </w:rPr>
        <w:t>Title:</w:t>
      </w:r>
      <w:r w:rsidR="00E90E49" w:rsidRPr="00FF5F6F">
        <w:rPr>
          <w:sz w:val="22"/>
          <w:szCs w:val="22"/>
          <w:lang w:val="en-US"/>
        </w:rPr>
        <w:tab/>
      </w:r>
      <w:r w:rsidR="00A71B76" w:rsidRPr="00FF5F6F">
        <w:rPr>
          <w:sz w:val="22"/>
          <w:szCs w:val="22"/>
          <w:lang w:val="en-US"/>
        </w:rPr>
        <w:t>Additional paging transmission opportunities in NR-U</w:t>
      </w:r>
    </w:p>
    <w:p w14:paraId="7F353F71" w14:textId="77777777" w:rsidR="00E90E49" w:rsidRPr="00FF5F6F" w:rsidRDefault="00E90E49" w:rsidP="00D546FF">
      <w:pPr>
        <w:pStyle w:val="3GPPHeader"/>
        <w:rPr>
          <w:sz w:val="22"/>
          <w:szCs w:val="22"/>
          <w:lang w:val="en-US"/>
        </w:rPr>
      </w:pPr>
      <w:r w:rsidRPr="00FF5F6F">
        <w:rPr>
          <w:sz w:val="22"/>
          <w:szCs w:val="22"/>
          <w:lang w:val="en-US"/>
        </w:rPr>
        <w:t>Document for:</w:t>
      </w:r>
      <w:r w:rsidRPr="00FF5F6F">
        <w:rPr>
          <w:sz w:val="22"/>
          <w:szCs w:val="22"/>
          <w:lang w:val="en-US"/>
        </w:rPr>
        <w:tab/>
        <w:t>Discussion, Decision</w:t>
      </w:r>
    </w:p>
    <w:p w14:paraId="14E4DA44" w14:textId="77777777" w:rsidR="00E90E49" w:rsidRPr="00FF5F6F" w:rsidRDefault="00230D18" w:rsidP="00CE0424">
      <w:pPr>
        <w:pStyle w:val="Heading1"/>
        <w:rPr>
          <w:lang w:val="en-US"/>
        </w:rPr>
      </w:pPr>
      <w:r w:rsidRPr="00FF5F6F">
        <w:rPr>
          <w:lang w:val="en-US"/>
        </w:rPr>
        <w:t>1</w:t>
      </w:r>
      <w:r w:rsidRPr="00FF5F6F">
        <w:rPr>
          <w:lang w:val="en-US"/>
        </w:rPr>
        <w:tab/>
      </w:r>
      <w:r w:rsidR="00E90E49" w:rsidRPr="00FF5F6F">
        <w:rPr>
          <w:lang w:val="en-US"/>
        </w:rPr>
        <w:t>Introduction</w:t>
      </w:r>
    </w:p>
    <w:p w14:paraId="53F0C907" w14:textId="4EAB1560" w:rsidR="00B43B30" w:rsidRPr="00FF5F6F" w:rsidRDefault="0012239C" w:rsidP="00C86EE5">
      <w:pPr>
        <w:pStyle w:val="BodyText"/>
        <w:rPr>
          <w:lang w:val="en-US"/>
        </w:rPr>
      </w:pPr>
      <w:r w:rsidRPr="00FF5F6F">
        <w:rPr>
          <w:lang w:val="en-US"/>
        </w:rPr>
        <w:t>It has been recognized that the special conditions of operation in unlicensed spectrum has consequences for the way paging can be performed in NR-U</w:t>
      </w:r>
      <w:r w:rsidR="00C86EE5" w:rsidRPr="00FF5F6F">
        <w:rPr>
          <w:lang w:val="en-US"/>
        </w:rPr>
        <w:t xml:space="preserve">. </w:t>
      </w:r>
      <w:r w:rsidRPr="00FF5F6F">
        <w:rPr>
          <w:lang w:val="en-US"/>
        </w:rPr>
        <w:t>To compensate for potential CCA failures, RAN2 has agreed to provide additional opportunities for a gNB to transmit paging</w:t>
      </w:r>
      <w:r w:rsidR="00711B85" w:rsidRPr="00FF5F6F">
        <w:rPr>
          <w:lang w:val="en-US"/>
        </w:rPr>
        <w:t>, which has been captured in the following quote from TR</w:t>
      </w:r>
      <w:r w:rsidR="0022636B" w:rsidRPr="00FF5F6F">
        <w:rPr>
          <w:lang w:val="en-US"/>
        </w:rPr>
        <w:t xml:space="preserve"> 38.889</w:t>
      </w:r>
      <w:r w:rsidR="003174E2">
        <w:rPr>
          <w:lang w:val="en-US"/>
        </w:rPr>
        <w:fldChar w:fldCharType="begin"/>
      </w:r>
      <w:r w:rsidR="003174E2">
        <w:rPr>
          <w:lang w:val="en-US"/>
        </w:rPr>
        <w:instrText xml:space="preserve"> REF _Ref376881 \r \h </w:instrText>
      </w:r>
      <w:r w:rsidR="003174E2">
        <w:rPr>
          <w:lang w:val="en-US"/>
        </w:rPr>
      </w:r>
      <w:r w:rsidR="003174E2">
        <w:rPr>
          <w:lang w:val="en-US"/>
        </w:rPr>
        <w:fldChar w:fldCharType="separate"/>
      </w:r>
      <w:r w:rsidR="003174E2">
        <w:rPr>
          <w:lang w:val="en-US"/>
        </w:rPr>
        <w:t>[1]</w:t>
      </w:r>
      <w:r w:rsidR="003174E2">
        <w:rPr>
          <w:lang w:val="en-US"/>
        </w:rPr>
        <w:fldChar w:fldCharType="end"/>
      </w:r>
      <w:r w:rsidR="00B43B30" w:rsidRPr="00FF5F6F">
        <w:rPr>
          <w:lang w:val="en-US"/>
        </w:rPr>
        <w:t>:</w:t>
      </w:r>
    </w:p>
    <w:p w14:paraId="62DB8C3D" w14:textId="77777777" w:rsidR="00B43B30" w:rsidRPr="00FF5F6F" w:rsidRDefault="00B43B30" w:rsidP="00B43B30">
      <w:pPr>
        <w:rPr>
          <w:rFonts w:eastAsia="SimSun" w:cs="Arial"/>
          <w:color w:val="2F5496" w:themeColor="accent1" w:themeShade="BF"/>
          <w:lang w:val="en-US" w:eastAsia="en-US"/>
        </w:rPr>
      </w:pPr>
      <w:r w:rsidRPr="00FF5F6F">
        <w:rPr>
          <w:rFonts w:cs="Arial"/>
          <w:lang w:val="en-US"/>
        </w:rPr>
        <w:t>“</w:t>
      </w:r>
      <w:r w:rsidRPr="00FF5F6F">
        <w:rPr>
          <w:rFonts w:eastAsia="SimSun" w:cs="Arial"/>
          <w:color w:val="2F5496" w:themeColor="accent1" w:themeShade="BF"/>
          <w:lang w:val="en-US" w:eastAsia="en-US"/>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1B9FF979" w14:textId="77777777" w:rsidR="00B43B30" w:rsidRPr="00FF5F6F" w:rsidRDefault="00B43B30" w:rsidP="00B43B30">
      <w:pPr>
        <w:overflowPunct/>
        <w:autoSpaceDE/>
        <w:autoSpaceDN/>
        <w:adjustRightInd/>
        <w:ind w:left="568" w:hanging="284"/>
        <w:textAlignment w:val="auto"/>
        <w:rPr>
          <w:rFonts w:cs="Arial"/>
          <w:color w:val="2F5496" w:themeColor="accent1" w:themeShade="BF"/>
          <w:lang w:val="en-US" w:eastAsia="x-none"/>
        </w:rPr>
      </w:pPr>
      <w:r w:rsidRPr="00FF5F6F">
        <w:rPr>
          <w:rFonts w:cs="Arial"/>
          <w:color w:val="2F5496" w:themeColor="accent1" w:themeShade="BF"/>
          <w:lang w:val="en-US" w:eastAsia="x-none"/>
        </w:rPr>
        <w:t>-</w:t>
      </w:r>
      <w:r w:rsidRPr="00FF5F6F">
        <w:rPr>
          <w:rFonts w:cs="Arial"/>
          <w:color w:val="2F5496" w:themeColor="accent1" w:themeShade="BF"/>
          <w:lang w:val="en-US" w:eastAsia="x-none"/>
        </w:rPr>
        <w:tab/>
      </w:r>
      <w:r w:rsidRPr="00836295">
        <w:rPr>
          <w:rFonts w:cs="Arial"/>
          <w:color w:val="2F5496" w:themeColor="accent1" w:themeShade="BF"/>
          <w:lang w:val="en-US" w:eastAsia="x-none"/>
        </w:rPr>
        <w:t>Increased time-domain paging occasions or paging monitoring occasions.</w:t>
      </w:r>
    </w:p>
    <w:p w14:paraId="01BD74E3" w14:textId="2C3F8113" w:rsidR="00C153E3" w:rsidRPr="00FF5F6F" w:rsidRDefault="00B43B30" w:rsidP="00C153E3">
      <w:pPr>
        <w:overflowPunct/>
        <w:autoSpaceDE/>
        <w:autoSpaceDN/>
        <w:adjustRightInd/>
        <w:ind w:left="851" w:hanging="284"/>
        <w:textAlignment w:val="auto"/>
        <w:rPr>
          <w:lang w:val="en-US"/>
        </w:rPr>
      </w:pPr>
      <w:r w:rsidRPr="00FF5F6F">
        <w:rPr>
          <w:rFonts w:cs="Arial"/>
          <w:color w:val="2F5496" w:themeColor="accent1" w:themeShade="BF"/>
          <w:lang w:val="en-US" w:eastAsia="x-none"/>
        </w:rPr>
        <w:t>-</w:t>
      </w:r>
      <w:r w:rsidRPr="00FF5F6F">
        <w:rPr>
          <w:rFonts w:cs="Arial"/>
          <w:color w:val="2F5496" w:themeColor="accent1" w:themeShade="BF"/>
          <w:lang w:val="en-US" w:eastAsia="x-none"/>
        </w:rPr>
        <w:tab/>
        <w:t>This can enable additional paging occasions outside of DRS.</w:t>
      </w:r>
      <w:r w:rsidRPr="00FF5F6F">
        <w:rPr>
          <w:lang w:val="en-US"/>
        </w:rPr>
        <w:t>”</w:t>
      </w:r>
    </w:p>
    <w:p w14:paraId="1B477C1D" w14:textId="3BE95FA0" w:rsidR="00C153E3" w:rsidRPr="00FF5F6F" w:rsidRDefault="00C11B72" w:rsidP="00C11B72">
      <w:pPr>
        <w:pStyle w:val="Doc-text2"/>
        <w:ind w:left="0" w:firstLine="0"/>
        <w:rPr>
          <w:lang w:val="en-US"/>
        </w:rPr>
      </w:pPr>
      <w:r w:rsidRPr="00FF5F6F">
        <w:rPr>
          <w:lang w:val="en-US"/>
        </w:rPr>
        <w:t>At RAN2#105</w:t>
      </w:r>
      <w:r w:rsidR="00AE27C8">
        <w:t xml:space="preserve">, it was agreed to </w:t>
      </w:r>
      <w:r w:rsidR="00B71E88">
        <w:t xml:space="preserve">provide additional paging opportunities using the second </w:t>
      </w:r>
      <w:r w:rsidR="00885268">
        <w:rPr>
          <w:lang w:val="en-US"/>
        </w:rPr>
        <w:t>mechanism</w:t>
      </w:r>
      <w:r w:rsidR="00E72942">
        <w:rPr>
          <w:lang w:val="en-US"/>
        </w:rPr>
        <w:t xml:space="preserve"> (use of </w:t>
      </w:r>
      <w:r w:rsidR="00614A6C">
        <w:rPr>
          <w:lang w:val="en-US"/>
        </w:rPr>
        <w:t xml:space="preserve">extended </w:t>
      </w:r>
      <w:r w:rsidR="00E72942">
        <w:rPr>
          <w:lang w:val="en-US"/>
        </w:rPr>
        <w:t>paging occasion</w:t>
      </w:r>
      <w:r w:rsidR="00C743F0">
        <w:rPr>
          <w:lang w:val="en-US"/>
        </w:rPr>
        <w:t xml:space="preserve"> or paging occasion window</w:t>
      </w:r>
      <w:r w:rsidR="0043242D">
        <w:rPr>
          <w:lang w:val="en-US"/>
        </w:rPr>
        <w:t>, POW</w:t>
      </w:r>
      <w:r w:rsidR="00E72942">
        <w:rPr>
          <w:lang w:val="en-US"/>
        </w:rPr>
        <w:t>)</w:t>
      </w:r>
      <w:r w:rsidR="003174E2">
        <w:rPr>
          <w:lang w:val="en-US"/>
        </w:rPr>
        <w:t xml:space="preserve"> </w:t>
      </w:r>
      <w:r w:rsidR="003174E2">
        <w:rPr>
          <w:lang w:val="en-US"/>
        </w:rPr>
        <w:fldChar w:fldCharType="begin"/>
      </w:r>
      <w:r w:rsidR="003174E2">
        <w:rPr>
          <w:lang w:val="en-US"/>
        </w:rPr>
        <w:instrText xml:space="preserve"> REF _Ref4022913 \r \h </w:instrText>
      </w:r>
      <w:r w:rsidR="003174E2">
        <w:rPr>
          <w:lang w:val="en-US"/>
        </w:rPr>
      </w:r>
      <w:r w:rsidR="003174E2">
        <w:rPr>
          <w:lang w:val="en-US"/>
        </w:rPr>
        <w:fldChar w:fldCharType="separate"/>
      </w:r>
      <w:r w:rsidR="003174E2">
        <w:rPr>
          <w:lang w:val="en-US"/>
        </w:rPr>
        <w:t>[2]</w:t>
      </w:r>
      <w:r w:rsidR="003174E2">
        <w:rPr>
          <w:lang w:val="en-US"/>
        </w:rPr>
        <w:fldChar w:fldCharType="end"/>
      </w:r>
      <w:r w:rsidRPr="00FF5F6F">
        <w:rPr>
          <w:lang w:val="en-US"/>
        </w:rPr>
        <w:t>:</w:t>
      </w:r>
    </w:p>
    <w:p w14:paraId="412089BD" w14:textId="77777777" w:rsidR="003B6ABD" w:rsidRPr="00F555EF" w:rsidRDefault="003B6ABD" w:rsidP="003B6ABD">
      <w:pPr>
        <w:pStyle w:val="Agreement"/>
        <w:tabs>
          <w:tab w:val="clear" w:pos="1440"/>
          <w:tab w:val="num" w:pos="1619"/>
        </w:tabs>
        <w:ind w:left="1619"/>
        <w:rPr>
          <w:b w:val="0"/>
          <w:lang w:val="en-US"/>
        </w:rPr>
      </w:pPr>
      <w:r w:rsidRPr="00F555EF">
        <w:rPr>
          <w:b w:val="0"/>
          <w:lang w:val="en-US"/>
        </w:rPr>
        <w:t>A UE can be configured for an additional number of monitoring occasions at or after or before (FFS) its calculated PO (when the paging message can be transmitted)</w:t>
      </w:r>
    </w:p>
    <w:p w14:paraId="1850FE2A" w14:textId="77777777" w:rsidR="003B6ABD" w:rsidRPr="00F555EF" w:rsidRDefault="003B6ABD" w:rsidP="003B6ABD">
      <w:pPr>
        <w:pStyle w:val="Agreement"/>
        <w:tabs>
          <w:tab w:val="clear" w:pos="1440"/>
          <w:tab w:val="num" w:pos="1619"/>
        </w:tabs>
        <w:ind w:left="1619"/>
        <w:rPr>
          <w:b w:val="0"/>
          <w:lang w:val="en-US"/>
        </w:rPr>
      </w:pPr>
      <w:r w:rsidRPr="00F555EF">
        <w:rPr>
          <w:b w:val="0"/>
          <w:lang w:val="en-US"/>
        </w:rPr>
        <w:t>FFS dynamic extension</w:t>
      </w:r>
    </w:p>
    <w:p w14:paraId="76335750" w14:textId="77777777" w:rsidR="003B6ABD" w:rsidRPr="00F555EF" w:rsidRDefault="003B6ABD" w:rsidP="003B6ABD">
      <w:pPr>
        <w:pStyle w:val="Agreement"/>
        <w:tabs>
          <w:tab w:val="clear" w:pos="1440"/>
          <w:tab w:val="num" w:pos="1619"/>
        </w:tabs>
        <w:ind w:left="1619"/>
        <w:rPr>
          <w:b w:val="0"/>
          <w:lang w:val="en-US"/>
        </w:rPr>
      </w:pPr>
      <w:r w:rsidRPr="00F555EF">
        <w:rPr>
          <w:b w:val="0"/>
          <w:lang w:val="en-US"/>
        </w:rPr>
        <w:t xml:space="preserve">FFS dynamic termination </w:t>
      </w:r>
    </w:p>
    <w:p w14:paraId="72150D35" w14:textId="77777777" w:rsidR="003B6ABD" w:rsidRPr="00FF5F6F" w:rsidRDefault="003B6ABD" w:rsidP="00C11B72">
      <w:pPr>
        <w:overflowPunct/>
        <w:autoSpaceDE/>
        <w:autoSpaceDN/>
        <w:adjustRightInd/>
        <w:textAlignment w:val="auto"/>
        <w:rPr>
          <w:lang w:val="en-US"/>
        </w:rPr>
      </w:pPr>
    </w:p>
    <w:p w14:paraId="5D0E3B2A" w14:textId="29F4C528" w:rsidR="004000E8" w:rsidRPr="00FF5F6F" w:rsidRDefault="00230D18" w:rsidP="00CE0424">
      <w:pPr>
        <w:pStyle w:val="Heading1"/>
        <w:rPr>
          <w:lang w:val="en-US"/>
        </w:rPr>
      </w:pPr>
      <w:bookmarkStart w:id="1" w:name="_Ref178064866"/>
      <w:r w:rsidRPr="00FF5F6F">
        <w:rPr>
          <w:lang w:val="en-US"/>
        </w:rPr>
        <w:t>2</w:t>
      </w:r>
      <w:r w:rsidRPr="00FF5F6F">
        <w:rPr>
          <w:lang w:val="en-US"/>
        </w:rPr>
        <w:tab/>
      </w:r>
      <w:r w:rsidR="004000E8" w:rsidRPr="00FF5F6F">
        <w:rPr>
          <w:lang w:val="en-US"/>
        </w:rPr>
        <w:t>Discussion</w:t>
      </w:r>
      <w:bookmarkEnd w:id="1"/>
    </w:p>
    <w:p w14:paraId="13AA7E9F" w14:textId="1C002E26" w:rsidR="00AC530C" w:rsidRDefault="00AC530C" w:rsidP="006D203B">
      <w:pPr>
        <w:rPr>
          <w:rFonts w:cs="Arial"/>
          <w:lang w:val="en-US"/>
        </w:rPr>
      </w:pPr>
    </w:p>
    <w:p w14:paraId="0BA2BE0C" w14:textId="26A7835E" w:rsidR="00D558C1" w:rsidRDefault="00A555F7" w:rsidP="006D203B">
      <w:pPr>
        <w:rPr>
          <w:rFonts w:cs="Arial"/>
          <w:lang w:val="en-US"/>
        </w:rPr>
      </w:pPr>
      <w:r>
        <w:rPr>
          <w:rFonts w:cs="Arial"/>
          <w:lang w:val="en-US"/>
        </w:rPr>
        <w:t>Relevant t</w:t>
      </w:r>
      <w:r w:rsidR="00D558C1">
        <w:rPr>
          <w:rFonts w:cs="Arial"/>
          <w:lang w:val="en-US"/>
        </w:rPr>
        <w:t>ext from TS 38.304</w:t>
      </w:r>
      <w:r w:rsidR="009F2286">
        <w:rPr>
          <w:rFonts w:cs="Arial"/>
          <w:lang w:val="en-US"/>
        </w:rPr>
        <w:t xml:space="preserve"> </w:t>
      </w:r>
      <w:r>
        <w:rPr>
          <w:rFonts w:cs="Arial"/>
          <w:lang w:val="en-US"/>
        </w:rPr>
        <w:fldChar w:fldCharType="begin"/>
      </w:r>
      <w:r>
        <w:rPr>
          <w:rFonts w:cs="Arial"/>
          <w:lang w:val="en-US"/>
        </w:rPr>
        <w:instrText xml:space="preserve"> REF _Ref4404029 \r \h </w:instrText>
      </w:r>
      <w:r>
        <w:rPr>
          <w:rFonts w:cs="Arial"/>
          <w:lang w:val="en-US"/>
        </w:rPr>
      </w:r>
      <w:r>
        <w:rPr>
          <w:rFonts w:cs="Arial"/>
          <w:lang w:val="en-US"/>
        </w:rPr>
        <w:fldChar w:fldCharType="separate"/>
      </w:r>
      <w:r>
        <w:rPr>
          <w:rFonts w:cs="Arial"/>
          <w:lang w:val="en-US"/>
        </w:rPr>
        <w:t>[3]</w:t>
      </w:r>
      <w:r>
        <w:rPr>
          <w:rFonts w:cs="Arial"/>
          <w:lang w:val="en-US"/>
        </w:rPr>
        <w:fldChar w:fldCharType="end"/>
      </w:r>
      <w:r w:rsidR="00D558C1">
        <w:rPr>
          <w:rFonts w:cs="Arial"/>
          <w:lang w:val="en-US"/>
        </w:rPr>
        <w:t>:</w:t>
      </w:r>
    </w:p>
    <w:tbl>
      <w:tblPr>
        <w:tblStyle w:val="TableGrid"/>
        <w:tblW w:w="0" w:type="auto"/>
        <w:tblInd w:w="-5" w:type="dxa"/>
        <w:tblLook w:val="04A0" w:firstRow="1" w:lastRow="0" w:firstColumn="1" w:lastColumn="0" w:noHBand="0" w:noVBand="1"/>
      </w:tblPr>
      <w:tblGrid>
        <w:gridCol w:w="9067"/>
      </w:tblGrid>
      <w:tr w:rsidR="00E647F2" w14:paraId="564E183F" w14:textId="77777777" w:rsidTr="00266976">
        <w:tc>
          <w:tcPr>
            <w:tcW w:w="9067" w:type="dxa"/>
          </w:tcPr>
          <w:p w14:paraId="083F6544" w14:textId="77777777" w:rsidR="00266976" w:rsidRPr="00266976" w:rsidRDefault="00266976" w:rsidP="00266976">
            <w:pPr>
              <w:overflowPunct/>
              <w:autoSpaceDE/>
              <w:autoSpaceDN/>
              <w:adjustRightInd/>
              <w:textAlignment w:val="auto"/>
              <w:rPr>
                <w:rFonts w:ascii="Times New Roman" w:hAnsi="Times New Roman"/>
                <w:lang w:val="en-US" w:eastAsia="en-US"/>
              </w:rPr>
            </w:pPr>
            <w:r w:rsidRPr="00266976">
              <w:rPr>
                <w:rFonts w:ascii="Times New Roman" w:hAnsi="Times New Roman"/>
                <w:lang w:val="en-US" w:eastAsia="en-US"/>
              </w:rPr>
              <w:t xml:space="preserve">The PDCCH monitoring occasions for paging are determined according to </w:t>
            </w:r>
            <w:r w:rsidRPr="00266976">
              <w:rPr>
                <w:rFonts w:ascii="Times New Roman" w:hAnsi="Times New Roman"/>
                <w:i/>
                <w:lang w:val="en-US" w:eastAsia="en-US"/>
              </w:rPr>
              <w:t xml:space="preserve">pagingSearchSpace </w:t>
            </w:r>
            <w:r w:rsidRPr="00266976">
              <w:rPr>
                <w:rFonts w:ascii="Times New Roman" w:hAnsi="Times New Roman"/>
                <w:lang w:val="en-US" w:eastAsia="en-US"/>
              </w:rPr>
              <w:t xml:space="preserve">as specified in TS 38.213 [4] and </w:t>
            </w:r>
            <w:r w:rsidRPr="00266976">
              <w:rPr>
                <w:rFonts w:ascii="Times New Roman" w:hAnsi="Times New Roman"/>
                <w:i/>
                <w:lang w:val="en-US" w:eastAsia="en-US"/>
              </w:rPr>
              <w:t>firstPDCCH-MonitoringOccasionOfPO</w:t>
            </w:r>
            <w:r w:rsidRPr="00266976">
              <w:rPr>
                <w:rFonts w:ascii="Times New Roman" w:hAnsi="Times New Roman"/>
                <w:lang w:val="en-US" w:eastAsia="en-US"/>
              </w:rPr>
              <w:t xml:space="preserve"> if</w:t>
            </w:r>
            <w:r w:rsidRPr="00266976">
              <w:rPr>
                <w:rFonts w:ascii="Times New Roman" w:hAnsi="Times New Roman"/>
                <w:i/>
                <w:lang w:val="en-US" w:eastAsia="en-US"/>
              </w:rPr>
              <w:t xml:space="preserve"> </w:t>
            </w:r>
            <w:r w:rsidRPr="00266976">
              <w:rPr>
                <w:rFonts w:ascii="Times New Roman" w:hAnsi="Times New Roman"/>
                <w:lang w:val="en-US" w:eastAsia="en-US"/>
              </w:rPr>
              <w:t xml:space="preserve">configured as specified in TS 38.331 [3]. </w:t>
            </w:r>
            <w:r w:rsidRPr="00266976">
              <w:rPr>
                <w:rFonts w:ascii="Times New Roman" w:hAnsi="Times New Roman"/>
                <w:lang w:val="en-US" w:eastAsia="ko-KR"/>
              </w:rPr>
              <w:t>Otherwise,</w:t>
            </w:r>
            <w:r w:rsidRPr="00266976">
              <w:rPr>
                <w:rFonts w:ascii="Times New Roman" w:hAnsi="Times New Roman"/>
                <w:lang w:val="en-US" w:eastAsia="en-US"/>
              </w:rPr>
              <w:t xml:space="preserve"> w</w:t>
            </w:r>
            <w:r w:rsidRPr="00266976">
              <w:rPr>
                <w:rFonts w:ascii="Times New Roman" w:hAnsi="Times New Roman"/>
                <w:lang w:val="en-US" w:eastAsia="zh-CN"/>
              </w:rPr>
              <w:t xml:space="preserve">hen </w:t>
            </w:r>
            <w:r w:rsidRPr="00266976">
              <w:rPr>
                <w:rFonts w:ascii="Times New Roman" w:hAnsi="Times New Roman"/>
                <w:i/>
                <w:lang w:val="en-US" w:eastAsia="en-US"/>
              </w:rPr>
              <w:t>SearchSpaceId</w:t>
            </w:r>
            <w:r w:rsidRPr="00266976">
              <w:rPr>
                <w:rFonts w:ascii="Times New Roman" w:hAnsi="Times New Roman"/>
                <w:lang w:val="en-US" w:eastAsia="en-US"/>
              </w:rPr>
              <w:t xml:space="preserve"> = 0</w:t>
            </w:r>
            <w:r w:rsidRPr="00266976">
              <w:rPr>
                <w:rFonts w:ascii="Times New Roman" w:hAnsi="Times New Roman"/>
                <w:lang w:val="en-US" w:eastAsia="zh-CN"/>
              </w:rPr>
              <w:t xml:space="preserve"> is configured for </w:t>
            </w:r>
            <w:r w:rsidRPr="00266976">
              <w:rPr>
                <w:rFonts w:ascii="Times New Roman" w:hAnsi="Times New Roman"/>
                <w:i/>
                <w:lang w:val="en-US" w:eastAsia="en-US"/>
              </w:rPr>
              <w:t>pagingSearchSpace</w:t>
            </w:r>
            <w:r w:rsidRPr="00266976">
              <w:rPr>
                <w:rFonts w:ascii="Times New Roman" w:hAnsi="Times New Roman"/>
                <w:lang w:val="en-US" w:eastAsia="zh-CN"/>
              </w:rPr>
              <w:t xml:space="preserve">, </w:t>
            </w:r>
            <w:r w:rsidRPr="00266976">
              <w:rPr>
                <w:rFonts w:ascii="Times New Roman" w:hAnsi="Times New Roman"/>
                <w:lang w:val="en-US" w:eastAsia="en-US"/>
              </w:rPr>
              <w:t>the PDCCH monitoring occasions for paging are same as for RMSI as defined in clause 13 in TS 38.213 [4].</w:t>
            </w:r>
          </w:p>
          <w:p w14:paraId="031C873F" w14:textId="77777777" w:rsidR="00266976" w:rsidRPr="00266976" w:rsidRDefault="00266976" w:rsidP="00266976">
            <w:pPr>
              <w:overflowPunct/>
              <w:autoSpaceDE/>
              <w:autoSpaceDN/>
              <w:adjustRightInd/>
              <w:textAlignment w:val="auto"/>
              <w:rPr>
                <w:rFonts w:ascii="Times New Roman" w:hAnsi="Times New Roman"/>
                <w:bCs/>
                <w:lang w:val="en-US" w:eastAsia="en-US"/>
              </w:rPr>
            </w:pPr>
            <w:bookmarkStart w:id="2" w:name="_Hlk515815985"/>
            <w:r w:rsidRPr="00266976">
              <w:rPr>
                <w:rFonts w:ascii="Times New Roman" w:hAnsi="Times New Roman"/>
                <w:lang w:val="en-US" w:eastAsia="zh-CN"/>
              </w:rPr>
              <w:t xml:space="preserve">When </w:t>
            </w:r>
            <w:r w:rsidRPr="00266976">
              <w:rPr>
                <w:rFonts w:ascii="Times New Roman" w:hAnsi="Times New Roman"/>
                <w:i/>
                <w:lang w:val="en-US" w:eastAsia="en-US"/>
              </w:rPr>
              <w:t>SearchSpaceId</w:t>
            </w:r>
            <w:r w:rsidRPr="00266976">
              <w:rPr>
                <w:rFonts w:ascii="Times New Roman" w:hAnsi="Times New Roman"/>
                <w:lang w:val="en-US" w:eastAsia="en-US"/>
              </w:rPr>
              <w:t xml:space="preserve"> = 0</w:t>
            </w:r>
            <w:r w:rsidRPr="00266976">
              <w:rPr>
                <w:rFonts w:ascii="Times New Roman" w:hAnsi="Times New Roman"/>
                <w:lang w:val="en-US" w:eastAsia="zh-CN"/>
              </w:rPr>
              <w:t xml:space="preserve"> is configured for </w:t>
            </w:r>
            <w:r w:rsidRPr="00266976">
              <w:rPr>
                <w:rFonts w:ascii="Times New Roman" w:hAnsi="Times New Roman"/>
                <w:i/>
                <w:lang w:val="en-US" w:eastAsia="en-US"/>
              </w:rPr>
              <w:t>pagingSearchSpace</w:t>
            </w:r>
            <w:r w:rsidRPr="00266976">
              <w:rPr>
                <w:rFonts w:ascii="Times New Roman" w:hAnsi="Times New Roman"/>
                <w:bCs/>
                <w:lang w:val="en-US" w:eastAsia="en-US"/>
              </w:rPr>
              <w:t xml:space="preserve">, Ns is either 1 or 2. For Ns = 1, there is only one PO which starts </w:t>
            </w:r>
            <w:r w:rsidRPr="00266976">
              <w:rPr>
                <w:rFonts w:ascii="Times New Roman" w:hAnsi="Times New Roman" w:hint="eastAsia"/>
                <w:bCs/>
                <w:lang w:val="en-US" w:eastAsia="ko-KR"/>
              </w:rPr>
              <w:t xml:space="preserve">from the first PDCCH monitoring occasion for paging </w:t>
            </w:r>
            <w:r w:rsidRPr="00266976">
              <w:rPr>
                <w:rFonts w:ascii="Times New Roman" w:hAnsi="Times New Roman"/>
                <w:bCs/>
                <w:lang w:val="en-US" w:eastAsia="en-US"/>
              </w:rPr>
              <w:t>in the PF. For Ns = 2, PO is either in the first half frame (i_s = 0) or the second half frame (i_s = 1) of the PF.</w:t>
            </w:r>
          </w:p>
          <w:p w14:paraId="787D2F6F" w14:textId="77777777" w:rsidR="00266976" w:rsidRPr="00266976" w:rsidRDefault="00266976" w:rsidP="00266976">
            <w:pPr>
              <w:overflowPunct/>
              <w:autoSpaceDE/>
              <w:autoSpaceDN/>
              <w:adjustRightInd/>
              <w:textAlignment w:val="auto"/>
              <w:rPr>
                <w:rFonts w:ascii="Times New Roman" w:hAnsi="Times New Roman"/>
                <w:lang w:val="en-US" w:eastAsia="ko-KR"/>
              </w:rPr>
            </w:pPr>
            <w:r w:rsidRPr="00266976">
              <w:rPr>
                <w:rFonts w:ascii="Times New Roman" w:hAnsi="Times New Roman"/>
                <w:lang w:val="en-US" w:eastAsia="zh-CN"/>
              </w:rPr>
              <w:t xml:space="preserve">When </w:t>
            </w:r>
            <w:r w:rsidRPr="00266976">
              <w:rPr>
                <w:rFonts w:ascii="Times New Roman" w:hAnsi="Times New Roman"/>
                <w:i/>
                <w:lang w:val="en-US" w:eastAsia="en-US"/>
              </w:rPr>
              <w:t>SearchSpaceId</w:t>
            </w:r>
            <w:r w:rsidRPr="00266976">
              <w:rPr>
                <w:rFonts w:ascii="Times New Roman" w:hAnsi="Times New Roman"/>
                <w:lang w:val="en-US" w:eastAsia="en-US"/>
              </w:rPr>
              <w:t xml:space="preserve"> </w:t>
            </w:r>
            <w:r w:rsidRPr="00266976">
              <w:rPr>
                <w:rFonts w:ascii="Times New Roman" w:hAnsi="Times New Roman"/>
                <w:lang w:val="en-US" w:eastAsia="zh-CN"/>
              </w:rPr>
              <w:t xml:space="preserve">other than 0 is configured for </w:t>
            </w:r>
            <w:r w:rsidRPr="00266976">
              <w:rPr>
                <w:rFonts w:ascii="Times New Roman" w:hAnsi="Times New Roman"/>
                <w:i/>
                <w:lang w:val="en-US" w:eastAsia="en-US"/>
              </w:rPr>
              <w:t>pagingSearchSpace</w:t>
            </w:r>
            <w:r w:rsidRPr="00266976">
              <w:rPr>
                <w:rFonts w:ascii="Times New Roman" w:hAnsi="Times New Roman"/>
                <w:i/>
                <w:lang w:val="en-US" w:eastAsia="zh-CN"/>
              </w:rPr>
              <w:t xml:space="preserve">, </w:t>
            </w:r>
            <w:r w:rsidRPr="00266976">
              <w:rPr>
                <w:rFonts w:ascii="Times New Roman" w:hAnsi="Times New Roman"/>
                <w:lang w:val="en-US" w:eastAsia="en-US"/>
              </w:rPr>
              <w:t>the UE monitors the (i_s + 1)</w:t>
            </w:r>
            <w:r w:rsidRPr="00266976">
              <w:rPr>
                <w:rFonts w:ascii="Times New Roman" w:hAnsi="Times New Roman"/>
                <w:vertAlign w:val="superscript"/>
                <w:lang w:val="en-US" w:eastAsia="en-US"/>
              </w:rPr>
              <w:t>th</w:t>
            </w:r>
            <w:r w:rsidRPr="00266976">
              <w:rPr>
                <w:rFonts w:ascii="Times New Roman" w:hAnsi="Times New Roman"/>
                <w:lang w:val="en-US" w:eastAsia="en-US"/>
              </w:rPr>
              <w:t xml:space="preserve"> PO.</w:t>
            </w:r>
            <w:r w:rsidRPr="00266976">
              <w:rPr>
                <w:rFonts w:ascii="Times New Roman" w:hAnsi="Times New Roman"/>
                <w:lang w:val="en-US" w:eastAsia="ko-KR"/>
              </w:rPr>
              <w:t xml:space="preserve"> A</w:t>
            </w:r>
            <w:r w:rsidRPr="00266976">
              <w:rPr>
                <w:rFonts w:ascii="Times New Roman" w:hAnsi="Times New Roman"/>
                <w:lang w:val="en-US" w:eastAsia="en-US"/>
              </w:rPr>
              <w:t xml:space="preserve"> PO </w:t>
            </w:r>
            <w:r w:rsidRPr="00266976">
              <w:rPr>
                <w:rFonts w:ascii="Times New Roman" w:hAnsi="Times New Roman" w:hint="eastAsia"/>
                <w:lang w:val="en-US" w:eastAsia="ko-KR"/>
              </w:rPr>
              <w:t xml:space="preserve">is a set of 'S' consecutive </w:t>
            </w:r>
            <w:r w:rsidRPr="00266976">
              <w:rPr>
                <w:rFonts w:ascii="Times New Roman" w:hAnsi="Times New Roman"/>
                <w:lang w:val="en-US" w:eastAsia="en-US"/>
              </w:rPr>
              <w:t>PDCCH monitoring occasion</w:t>
            </w:r>
            <w:r w:rsidRPr="00266976">
              <w:rPr>
                <w:rFonts w:ascii="Times New Roman" w:hAnsi="Times New Roman" w:hint="eastAsia"/>
                <w:lang w:val="en-US" w:eastAsia="ko-KR"/>
              </w:rPr>
              <w:t>s</w:t>
            </w:r>
            <w:r w:rsidRPr="00266976">
              <w:rPr>
                <w:rFonts w:ascii="Times New Roman" w:hAnsi="Times New Roman"/>
                <w:lang w:val="en-US" w:eastAsia="ko-KR"/>
              </w:rPr>
              <w:t xml:space="preserve"> </w:t>
            </w:r>
            <w:r w:rsidRPr="00266976">
              <w:rPr>
                <w:rFonts w:ascii="Times New Roman" w:hAnsi="Times New Roman"/>
                <w:lang w:val="en-US" w:eastAsia="en-US"/>
              </w:rPr>
              <w:t>where</w:t>
            </w:r>
            <w:r w:rsidRPr="00266976">
              <w:rPr>
                <w:rFonts w:ascii="Times New Roman" w:hAnsi="Times New Roman" w:hint="eastAsia"/>
                <w:lang w:val="en-US" w:eastAsia="ko-KR"/>
              </w:rPr>
              <w:t xml:space="preserve"> 'S'</w:t>
            </w:r>
            <w:r w:rsidRPr="00266976">
              <w:rPr>
                <w:rFonts w:ascii="Times New Roman" w:hAnsi="Times New Roman"/>
                <w:lang w:val="en-US" w:eastAsia="en-US"/>
              </w:rPr>
              <w:t xml:space="preserve"> is the number of actual transmitted SSBs determined according to </w:t>
            </w:r>
            <w:r w:rsidRPr="00266976">
              <w:rPr>
                <w:rFonts w:ascii="Times New Roman" w:hAnsi="Times New Roman"/>
                <w:i/>
                <w:lang w:val="en-US" w:eastAsia="en-US"/>
              </w:rPr>
              <w:t>ssb-PositionsInBurst</w:t>
            </w:r>
            <w:r w:rsidRPr="00266976">
              <w:rPr>
                <w:rFonts w:ascii="Times New Roman" w:hAnsi="Times New Roman"/>
                <w:lang w:val="en-US" w:eastAsia="en-US"/>
              </w:rPr>
              <w:t xml:space="preserve"> in</w:t>
            </w:r>
            <w:r w:rsidRPr="00266976">
              <w:rPr>
                <w:rFonts w:ascii="Times New Roman" w:hAnsi="Times New Roman"/>
                <w:i/>
                <w:lang w:val="en-US" w:eastAsia="en-US"/>
              </w:rPr>
              <w:t xml:space="preserve"> SIB1</w:t>
            </w:r>
            <w:r w:rsidRPr="00266976">
              <w:rPr>
                <w:rFonts w:ascii="Times New Roman" w:hAnsi="Times New Roman"/>
                <w:lang w:val="en-US" w:eastAsia="ko-KR"/>
              </w:rPr>
              <w:t>.</w:t>
            </w:r>
            <w:r w:rsidRPr="00266976">
              <w:rPr>
                <w:rFonts w:ascii="Times New Roman" w:hAnsi="Times New Roman" w:hint="eastAsia"/>
                <w:lang w:val="en-US" w:eastAsia="ko-KR"/>
              </w:rPr>
              <w:t xml:space="preserve"> The</w:t>
            </w:r>
            <w:r w:rsidRPr="00266976">
              <w:rPr>
                <w:rFonts w:ascii="Times New Roman" w:hAnsi="Times New Roman"/>
                <w:lang w:val="en-US" w:eastAsia="en-US"/>
              </w:rPr>
              <w:t xml:space="preserve"> K</w:t>
            </w:r>
            <w:r w:rsidRPr="00266976">
              <w:rPr>
                <w:rFonts w:ascii="Times New Roman" w:hAnsi="Times New Roman"/>
                <w:vertAlign w:val="superscript"/>
                <w:lang w:val="en-US" w:eastAsia="en-US"/>
              </w:rPr>
              <w:t>th</w:t>
            </w:r>
            <w:r w:rsidRPr="00266976">
              <w:rPr>
                <w:rFonts w:ascii="Times New Roman" w:hAnsi="Times New Roman"/>
                <w:lang w:val="en-US" w:eastAsia="en-US"/>
              </w:rPr>
              <w:t xml:space="preserve"> </w:t>
            </w:r>
            <w:r w:rsidRPr="00266976">
              <w:rPr>
                <w:rFonts w:ascii="Times New Roman" w:hAnsi="Times New Roman" w:hint="eastAsia"/>
                <w:lang w:val="en-US" w:eastAsia="ko-KR"/>
              </w:rPr>
              <w:t xml:space="preserve">PDCCH </w:t>
            </w:r>
            <w:r w:rsidRPr="00266976">
              <w:rPr>
                <w:rFonts w:ascii="Times New Roman" w:hAnsi="Times New Roman"/>
                <w:lang w:val="en-US" w:eastAsia="en-US"/>
              </w:rPr>
              <w:t xml:space="preserve">monitoring occasion </w:t>
            </w:r>
            <w:r w:rsidRPr="00266976">
              <w:rPr>
                <w:rFonts w:ascii="Times New Roman" w:hAnsi="Times New Roman" w:hint="eastAsia"/>
                <w:lang w:val="en-US" w:eastAsia="ko-KR"/>
              </w:rPr>
              <w:t xml:space="preserve">for paging </w:t>
            </w:r>
            <w:r w:rsidRPr="00266976">
              <w:rPr>
                <w:rFonts w:ascii="Times New Roman" w:hAnsi="Times New Roman"/>
                <w:lang w:val="en-US" w:eastAsia="en-US"/>
              </w:rPr>
              <w:t>in the PO correspond</w:t>
            </w:r>
            <w:r w:rsidRPr="00266976">
              <w:rPr>
                <w:rFonts w:ascii="Times New Roman" w:hAnsi="Times New Roman" w:hint="eastAsia"/>
                <w:lang w:val="en-US" w:eastAsia="ko-KR"/>
              </w:rPr>
              <w:t>s</w:t>
            </w:r>
            <w:r w:rsidRPr="00266976">
              <w:rPr>
                <w:rFonts w:ascii="Times New Roman" w:hAnsi="Times New Roman"/>
                <w:lang w:val="en-US" w:eastAsia="en-US"/>
              </w:rPr>
              <w:t xml:space="preserve"> to the K</w:t>
            </w:r>
            <w:r w:rsidRPr="00266976">
              <w:rPr>
                <w:rFonts w:ascii="Times New Roman" w:hAnsi="Times New Roman" w:hint="eastAsia"/>
                <w:vertAlign w:val="superscript"/>
                <w:lang w:val="en-US" w:eastAsia="ko-KR"/>
              </w:rPr>
              <w:t>th</w:t>
            </w:r>
            <w:r w:rsidRPr="00266976">
              <w:rPr>
                <w:rFonts w:ascii="Times New Roman" w:hAnsi="Times New Roman" w:hint="eastAsia"/>
                <w:lang w:val="en-US" w:eastAsia="ko-KR"/>
              </w:rPr>
              <w:t xml:space="preserve"> </w:t>
            </w:r>
            <w:r w:rsidRPr="00266976">
              <w:rPr>
                <w:rFonts w:ascii="Times New Roman" w:hAnsi="Times New Roman"/>
                <w:lang w:val="en-US" w:eastAsia="en-US"/>
              </w:rPr>
              <w:t>transmitted SSB</w:t>
            </w:r>
            <w:r w:rsidRPr="00266976">
              <w:rPr>
                <w:rFonts w:ascii="Times New Roman" w:hAnsi="Times New Roman" w:hint="eastAsia"/>
                <w:lang w:val="en-US" w:eastAsia="ko-KR"/>
              </w:rPr>
              <w:t>.</w:t>
            </w:r>
            <w:r w:rsidRPr="00266976">
              <w:rPr>
                <w:rFonts w:ascii="Times New Roman" w:hAnsi="Times New Roman"/>
                <w:lang w:val="en-US" w:eastAsia="ko-KR"/>
              </w:rPr>
              <w:t xml:space="preserve"> The </w:t>
            </w:r>
            <w:r w:rsidRPr="00266976">
              <w:rPr>
                <w:rFonts w:ascii="Times New Roman" w:hAnsi="Times New Roman"/>
                <w:lang w:val="en-US" w:eastAsia="en-US"/>
              </w:rPr>
              <w:t xml:space="preserve">PDCCH </w:t>
            </w:r>
            <w:r w:rsidRPr="00266976">
              <w:rPr>
                <w:rFonts w:ascii="Times New Roman" w:hAnsi="Times New Roman"/>
                <w:lang w:val="en-US" w:eastAsia="en-US"/>
              </w:rPr>
              <w:lastRenderedPageBreak/>
              <w:t>monitoring occasions</w:t>
            </w:r>
            <w:r w:rsidRPr="00266976">
              <w:rPr>
                <w:rFonts w:ascii="Times New Roman" w:hAnsi="Times New Roman"/>
                <w:lang w:val="en-US" w:eastAsia="ko-KR"/>
              </w:rPr>
              <w:t xml:space="preserve"> </w:t>
            </w:r>
            <w:r w:rsidRPr="00266976">
              <w:rPr>
                <w:rFonts w:ascii="Times New Roman" w:hAnsi="Times New Roman"/>
                <w:lang w:val="en-US" w:eastAsia="en-US"/>
              </w:rPr>
              <w:t>for</w:t>
            </w:r>
            <w:r w:rsidRPr="00266976">
              <w:rPr>
                <w:rFonts w:ascii="Times New Roman" w:hAnsi="Times New Roman"/>
                <w:lang w:val="en-US" w:eastAsia="ko-KR"/>
              </w:rPr>
              <w:t xml:space="preserve"> paging which do not overlap with UL symbols </w:t>
            </w:r>
            <w:r w:rsidRPr="00266976">
              <w:rPr>
                <w:rFonts w:ascii="Times New Roman" w:hAnsi="Times New Roman"/>
                <w:lang w:val="en-US" w:eastAsia="en-US"/>
              </w:rPr>
              <w:t>are sequentially numbered from zero</w:t>
            </w:r>
            <w:r w:rsidRPr="00266976">
              <w:rPr>
                <w:rFonts w:ascii="Times New Roman" w:hAnsi="Times New Roman"/>
                <w:lang w:val="en-US" w:eastAsia="ko-KR"/>
              </w:rPr>
              <w:t xml:space="preserve"> </w:t>
            </w:r>
            <w:r w:rsidRPr="00266976">
              <w:rPr>
                <w:rFonts w:ascii="Times New Roman" w:hAnsi="Times New Roman"/>
                <w:lang w:val="en-US" w:eastAsia="en-US"/>
              </w:rPr>
              <w:t xml:space="preserve">starting from </w:t>
            </w:r>
            <w:r w:rsidRPr="00266976">
              <w:rPr>
                <w:rFonts w:ascii="Times New Roman" w:hAnsi="Times New Roman"/>
                <w:lang w:val="en-US" w:eastAsia="ko-KR"/>
              </w:rPr>
              <w:t xml:space="preserve">the </w:t>
            </w:r>
            <w:r w:rsidRPr="00266976">
              <w:rPr>
                <w:rFonts w:ascii="Times New Roman" w:hAnsi="Times New Roman"/>
                <w:lang w:val="en-US" w:eastAsia="en-US"/>
              </w:rPr>
              <w:t>first PDCCH monitoring occasion in the PF.</w:t>
            </w:r>
            <w:r w:rsidRPr="00266976">
              <w:rPr>
                <w:rFonts w:ascii="Times New Roman" w:hAnsi="Times New Roman"/>
                <w:lang w:val="en-US" w:eastAsia="ko-KR"/>
              </w:rPr>
              <w:t xml:space="preserve"> </w:t>
            </w:r>
            <w:r w:rsidRPr="00266976">
              <w:rPr>
                <w:rFonts w:ascii="Times New Roman" w:hAnsi="Times New Roman"/>
                <w:lang w:val="en-US" w:eastAsia="en-US"/>
              </w:rPr>
              <w:t xml:space="preserve">When </w:t>
            </w:r>
            <w:r w:rsidRPr="00266976">
              <w:rPr>
                <w:rFonts w:ascii="Times New Roman" w:hAnsi="Times New Roman"/>
                <w:i/>
                <w:lang w:val="en-US" w:eastAsia="en-US"/>
              </w:rPr>
              <w:t xml:space="preserve">firstPDCCH-MonitoringOccasionOfPO </w:t>
            </w:r>
            <w:r w:rsidRPr="00266976">
              <w:rPr>
                <w:rFonts w:ascii="Times New Roman" w:hAnsi="Times New Roman"/>
                <w:lang w:val="en-US" w:eastAsia="en-US"/>
              </w:rPr>
              <w:t>is present, the starting PDCCH monitoring occasion number of (i_s + 1)</w:t>
            </w:r>
            <w:r w:rsidRPr="00266976">
              <w:rPr>
                <w:rFonts w:ascii="Times New Roman" w:hAnsi="Times New Roman"/>
                <w:vertAlign w:val="superscript"/>
                <w:lang w:val="en-US" w:eastAsia="en-US"/>
              </w:rPr>
              <w:t>th</w:t>
            </w:r>
            <w:r w:rsidRPr="00266976">
              <w:rPr>
                <w:rFonts w:ascii="Times New Roman" w:hAnsi="Times New Roman"/>
                <w:lang w:val="en-US" w:eastAsia="en-US"/>
              </w:rPr>
              <w:t xml:space="preserve"> PO </w:t>
            </w:r>
            <w:r w:rsidRPr="00266976">
              <w:rPr>
                <w:rFonts w:ascii="Times New Roman" w:hAnsi="Times New Roman"/>
                <w:lang w:val="en-US" w:eastAsia="ko-KR"/>
              </w:rPr>
              <w:t xml:space="preserve">is </w:t>
            </w:r>
            <w:r w:rsidRPr="00266976">
              <w:rPr>
                <w:rFonts w:ascii="Times New Roman" w:hAnsi="Times New Roman"/>
                <w:lang w:val="en-US" w:eastAsia="en-US"/>
              </w:rPr>
              <w:t>the (i_s + 1)</w:t>
            </w:r>
            <w:r w:rsidRPr="00266976">
              <w:rPr>
                <w:rFonts w:ascii="Times New Roman" w:hAnsi="Times New Roman"/>
                <w:vertAlign w:val="superscript"/>
                <w:lang w:val="en-US" w:eastAsia="en-US"/>
              </w:rPr>
              <w:t>th</w:t>
            </w:r>
            <w:r w:rsidRPr="00266976">
              <w:rPr>
                <w:rFonts w:ascii="Times New Roman" w:hAnsi="Times New Roman"/>
                <w:lang w:val="en-US" w:eastAsia="en-US"/>
              </w:rPr>
              <w:t xml:space="preserve"> value of the </w:t>
            </w:r>
            <w:r w:rsidRPr="00266976">
              <w:rPr>
                <w:rFonts w:ascii="Times New Roman" w:hAnsi="Times New Roman"/>
                <w:i/>
                <w:lang w:val="en-US" w:eastAsia="en-US"/>
              </w:rPr>
              <w:t>firstPDCCH-MonitoringOccasionOfPO</w:t>
            </w:r>
            <w:r w:rsidRPr="00266976">
              <w:rPr>
                <w:rFonts w:ascii="Times New Roman" w:hAnsi="Times New Roman"/>
                <w:lang w:val="en-US" w:eastAsia="en-US"/>
              </w:rPr>
              <w:t xml:space="preserve"> parameter; </w:t>
            </w:r>
            <w:r w:rsidRPr="00266976">
              <w:rPr>
                <w:rFonts w:ascii="Times New Roman" w:hAnsi="Times New Roman"/>
                <w:lang w:val="en-US" w:eastAsia="ko-KR"/>
              </w:rPr>
              <w:t xml:space="preserve">otherwise, </w:t>
            </w:r>
            <w:r w:rsidRPr="00266976">
              <w:rPr>
                <w:rFonts w:ascii="Times New Roman" w:hAnsi="Times New Roman"/>
                <w:lang w:val="en-US" w:eastAsia="en-US"/>
              </w:rPr>
              <w:t xml:space="preserve">it is equal to i_s * </w:t>
            </w:r>
            <w:r w:rsidRPr="00266976">
              <w:rPr>
                <w:rFonts w:ascii="Times New Roman" w:hAnsi="Times New Roman"/>
                <w:lang w:val="en-US" w:eastAsia="ko-KR"/>
              </w:rPr>
              <w:t>S.</w:t>
            </w:r>
          </w:p>
          <w:p w14:paraId="7591B454" w14:textId="77777777" w:rsidR="00266976" w:rsidRPr="00266976" w:rsidRDefault="00266976" w:rsidP="00266976">
            <w:pPr>
              <w:keepLines/>
              <w:overflowPunct/>
              <w:autoSpaceDE/>
              <w:autoSpaceDN/>
              <w:adjustRightInd/>
              <w:ind w:left="1135" w:hanging="851"/>
              <w:textAlignment w:val="auto"/>
              <w:rPr>
                <w:rFonts w:ascii="Times New Roman" w:hAnsi="Times New Roman"/>
                <w:lang w:val="en-US" w:eastAsia="x-none"/>
              </w:rPr>
            </w:pPr>
            <w:r w:rsidRPr="00266976">
              <w:rPr>
                <w:rFonts w:ascii="Times New Roman" w:hAnsi="Times New Roman"/>
                <w:lang w:val="en-US" w:eastAsia="x-none"/>
              </w:rPr>
              <w:t>NOTE 1:</w:t>
            </w:r>
            <w:r w:rsidRPr="00266976">
              <w:rPr>
                <w:rFonts w:ascii="Times New Roman" w:hAnsi="Times New Roman"/>
                <w:lang w:val="en-US" w:eastAsia="x-none"/>
              </w:rPr>
              <w:tab/>
              <w:t>A PO associated with a PF may start in the PF or after the PF.</w:t>
            </w:r>
          </w:p>
          <w:bookmarkEnd w:id="2"/>
          <w:p w14:paraId="10DBAB7A" w14:textId="5172D505" w:rsidR="00E647F2" w:rsidRPr="00266976" w:rsidRDefault="00266976" w:rsidP="00266976">
            <w:pPr>
              <w:keepLines/>
              <w:overflowPunct/>
              <w:autoSpaceDE/>
              <w:autoSpaceDN/>
              <w:adjustRightInd/>
              <w:ind w:left="1135" w:hanging="851"/>
              <w:textAlignment w:val="auto"/>
              <w:rPr>
                <w:rFonts w:ascii="Times New Roman" w:hAnsi="Times New Roman"/>
                <w:lang w:val="en-US" w:eastAsia="en-US"/>
              </w:rPr>
            </w:pPr>
            <w:r w:rsidRPr="00266976">
              <w:rPr>
                <w:rFonts w:ascii="Times New Roman" w:hAnsi="Times New Roman"/>
                <w:lang w:val="en-US" w:eastAsia="x-none"/>
              </w:rPr>
              <w:t>NOTE 2:</w:t>
            </w:r>
            <w:r w:rsidRPr="00266976">
              <w:rPr>
                <w:rFonts w:ascii="Times New Roman" w:hAnsi="Times New Roman"/>
                <w:lang w:val="en-US" w:eastAsia="x-none"/>
              </w:rPr>
              <w:tab/>
            </w:r>
            <w:r w:rsidRPr="00266976">
              <w:rPr>
                <w:rFonts w:ascii="Times New Roman" w:hAnsi="Times New Roman"/>
                <w:lang w:val="en-US"/>
              </w:rPr>
              <w:t xml:space="preserve">When </w:t>
            </w:r>
            <w:r w:rsidRPr="00266976">
              <w:rPr>
                <w:rFonts w:ascii="Times New Roman" w:hAnsi="Times New Roman"/>
                <w:i/>
                <w:lang w:val="en-US"/>
              </w:rPr>
              <w:t>SearchSpaceId</w:t>
            </w:r>
            <w:r w:rsidRPr="00266976">
              <w:rPr>
                <w:rFonts w:ascii="Times New Roman" w:hAnsi="Times New Roman"/>
                <w:lang w:val="en-US"/>
              </w:rPr>
              <w:t xml:space="preserve"> other than 0 is configured for </w:t>
            </w:r>
            <w:r w:rsidRPr="00266976">
              <w:rPr>
                <w:rFonts w:ascii="Times New Roman" w:hAnsi="Times New Roman"/>
                <w:i/>
                <w:lang w:val="en-US"/>
              </w:rPr>
              <w:t>paging-SearchSpace</w:t>
            </w:r>
            <w:r w:rsidRPr="00266976">
              <w:rPr>
                <w:rFonts w:ascii="Times New Roman" w:hAnsi="Times New Roman"/>
                <w:lang w:val="en-US" w:eastAsia="x-none"/>
              </w:rPr>
              <w:t>, the PDCCH monitoring occasions for a PO can span multiple radio frames and multiple periods of the paging search space.</w:t>
            </w:r>
          </w:p>
        </w:tc>
      </w:tr>
    </w:tbl>
    <w:p w14:paraId="014E3F28" w14:textId="3BA993E5" w:rsidR="00B04BA6" w:rsidRDefault="00B04BA6" w:rsidP="006D203B">
      <w:pPr>
        <w:rPr>
          <w:rFonts w:cs="Arial"/>
          <w:lang w:val="en-US"/>
        </w:rPr>
      </w:pPr>
    </w:p>
    <w:p w14:paraId="382EC64C" w14:textId="673B3533" w:rsidR="00441C0A" w:rsidRDefault="003D7A1C" w:rsidP="006D203B">
      <w:pPr>
        <w:rPr>
          <w:rFonts w:cs="Arial"/>
          <w:lang w:val="en-US"/>
        </w:rPr>
      </w:pPr>
      <w:r w:rsidRPr="009C7434">
        <w:t xml:space="preserve">In NR Rel-15, the </w:t>
      </w:r>
      <w:r w:rsidR="009C7434" w:rsidRPr="009C7434">
        <w:t xml:space="preserve">number of </w:t>
      </w:r>
      <w:r w:rsidRPr="009C7434">
        <w:t xml:space="preserve">paging </w:t>
      </w:r>
      <w:r w:rsidR="009C7434" w:rsidRPr="009C7434">
        <w:t xml:space="preserve">monitoring occasions are calculated depending on the </w:t>
      </w:r>
      <w:r w:rsidR="00076316" w:rsidRPr="00CD5865">
        <w:rPr>
          <w:rFonts w:cs="Arial"/>
          <w:i/>
        </w:rPr>
        <w:t>SearchSpaceId</w:t>
      </w:r>
      <w:r w:rsidR="00076316">
        <w:rPr>
          <w:i/>
        </w:rPr>
        <w:t xml:space="preserve"> </w:t>
      </w:r>
      <w:r w:rsidR="00076316" w:rsidRPr="00076316">
        <w:t>within the</w:t>
      </w:r>
      <w:r w:rsidR="00076316">
        <w:rPr>
          <w:i/>
        </w:rPr>
        <w:t xml:space="preserve"> </w:t>
      </w:r>
      <w:r w:rsidR="00441C0A">
        <w:rPr>
          <w:i/>
        </w:rPr>
        <w:t xml:space="preserve">pagingSearchSpace </w:t>
      </w:r>
      <w:r w:rsidR="00441C0A" w:rsidRPr="00441C0A">
        <w:t>configuration:</w:t>
      </w:r>
    </w:p>
    <w:p w14:paraId="69F84079" w14:textId="73CE5D10" w:rsidR="00B116E7" w:rsidRPr="00CD5865" w:rsidRDefault="00442A5E" w:rsidP="00442A5E">
      <w:pPr>
        <w:pStyle w:val="ListParagraph"/>
        <w:numPr>
          <w:ilvl w:val="0"/>
          <w:numId w:val="28"/>
        </w:numPr>
        <w:rPr>
          <w:rFonts w:ascii="Arial" w:hAnsi="Arial" w:cs="Arial"/>
          <w:bCs/>
          <w:sz w:val="20"/>
        </w:rPr>
      </w:pPr>
      <w:r w:rsidRPr="00CD5865">
        <w:rPr>
          <w:rFonts w:ascii="Arial" w:hAnsi="Arial" w:cs="Arial"/>
          <w:i/>
          <w:sz w:val="20"/>
        </w:rPr>
        <w:t>SearchSpaceId</w:t>
      </w:r>
      <w:r w:rsidRPr="00CD5865">
        <w:rPr>
          <w:rFonts w:ascii="Arial" w:hAnsi="Arial" w:cs="Arial"/>
          <w:sz w:val="20"/>
        </w:rPr>
        <w:t xml:space="preserve"> = 0</w:t>
      </w:r>
      <w:r w:rsidR="0005565B" w:rsidRPr="00CD5865">
        <w:rPr>
          <w:rFonts w:ascii="Arial" w:hAnsi="Arial" w:cs="Arial"/>
          <w:sz w:val="20"/>
        </w:rPr>
        <w:br/>
      </w:r>
      <w:r w:rsidRPr="00CD5865">
        <w:rPr>
          <w:rFonts w:ascii="Arial" w:hAnsi="Arial" w:cs="Arial"/>
          <w:bCs/>
          <w:sz w:val="20"/>
        </w:rPr>
        <w:t xml:space="preserve">Ns is either 1 or 2. </w:t>
      </w:r>
      <w:r w:rsidR="00683465" w:rsidRPr="00CD5865">
        <w:rPr>
          <w:rFonts w:ascii="Arial" w:hAnsi="Arial" w:cs="Arial"/>
          <w:bCs/>
          <w:sz w:val="20"/>
          <w:lang w:val="en-US"/>
        </w:rPr>
        <w:t>There is only one paging monitoring occasion.</w:t>
      </w:r>
    </w:p>
    <w:p w14:paraId="4ED5195C" w14:textId="77777777" w:rsidR="00B116E7" w:rsidRPr="00CD5865" w:rsidRDefault="00B116E7" w:rsidP="00A86B89">
      <w:pPr>
        <w:pStyle w:val="ListParagraph"/>
        <w:rPr>
          <w:rFonts w:ascii="Arial" w:hAnsi="Arial" w:cs="Arial"/>
          <w:bCs/>
          <w:sz w:val="20"/>
        </w:rPr>
      </w:pPr>
    </w:p>
    <w:p w14:paraId="046AC14C" w14:textId="7E865AA2" w:rsidR="00442A5E" w:rsidRPr="00CD5865" w:rsidRDefault="00442A5E" w:rsidP="00A86B89">
      <w:pPr>
        <w:pStyle w:val="ListParagraph"/>
        <w:numPr>
          <w:ilvl w:val="0"/>
          <w:numId w:val="28"/>
        </w:numPr>
        <w:rPr>
          <w:rFonts w:ascii="Arial" w:hAnsi="Arial" w:cs="Arial"/>
          <w:bCs/>
          <w:sz w:val="20"/>
        </w:rPr>
      </w:pPr>
      <w:r w:rsidRPr="00CD5865">
        <w:rPr>
          <w:rFonts w:ascii="Arial" w:hAnsi="Arial" w:cs="Arial"/>
          <w:i/>
          <w:sz w:val="20"/>
        </w:rPr>
        <w:t>SearchSpaceId</w:t>
      </w:r>
      <w:r w:rsidRPr="00CD5865">
        <w:rPr>
          <w:rFonts w:ascii="Arial" w:hAnsi="Arial" w:cs="Arial"/>
          <w:sz w:val="20"/>
        </w:rPr>
        <w:t xml:space="preserve"> </w:t>
      </w:r>
      <w:r w:rsidRPr="00CD5865">
        <w:rPr>
          <w:rFonts w:ascii="Arial" w:hAnsi="Arial" w:cs="Arial"/>
          <w:sz w:val="20"/>
          <w:lang w:val="en-US" w:eastAsia="zh-CN"/>
        </w:rPr>
        <w:t xml:space="preserve">other than </w:t>
      </w:r>
      <w:r w:rsidR="00B116E7" w:rsidRPr="00CD5865">
        <w:rPr>
          <w:rFonts w:ascii="Arial" w:hAnsi="Arial" w:cs="Arial"/>
          <w:sz w:val="20"/>
          <w:lang w:val="en-US" w:eastAsia="zh-CN"/>
        </w:rPr>
        <w:t>0:</w:t>
      </w:r>
      <w:r w:rsidR="00683465" w:rsidRPr="00CD5865">
        <w:rPr>
          <w:rFonts w:ascii="Arial" w:hAnsi="Arial" w:cs="Arial"/>
          <w:sz w:val="20"/>
          <w:lang w:val="en-US" w:eastAsia="zh-CN"/>
        </w:rPr>
        <w:t xml:space="preserve"> </w:t>
      </w:r>
      <w:r w:rsidR="00B116E7" w:rsidRPr="00CD5865">
        <w:rPr>
          <w:rFonts w:ascii="Arial" w:hAnsi="Arial" w:cs="Arial"/>
          <w:sz w:val="20"/>
          <w:lang w:val="en-US" w:eastAsia="zh-CN"/>
        </w:rPr>
        <w:t>multi-beam transmission</w:t>
      </w:r>
      <w:r w:rsidR="00B116E7" w:rsidRPr="00CD5865">
        <w:rPr>
          <w:rFonts w:ascii="Arial" w:hAnsi="Arial" w:cs="Arial"/>
          <w:sz w:val="20"/>
          <w:lang w:val="en-US" w:eastAsia="zh-CN"/>
        </w:rPr>
        <w:br/>
      </w:r>
      <w:r w:rsidR="00A86B89" w:rsidRPr="00CD5865">
        <w:rPr>
          <w:rFonts w:ascii="Arial" w:hAnsi="Arial" w:cs="Arial"/>
          <w:sz w:val="20"/>
          <w:lang w:val="en-US" w:eastAsia="ko-KR"/>
        </w:rPr>
        <w:t xml:space="preserve">- </w:t>
      </w:r>
      <w:r w:rsidRPr="00CD5865">
        <w:rPr>
          <w:rFonts w:ascii="Arial" w:hAnsi="Arial" w:cs="Arial"/>
          <w:sz w:val="20"/>
          <w:lang w:eastAsia="ko-KR"/>
        </w:rPr>
        <w:t>A</w:t>
      </w:r>
      <w:r w:rsidRPr="00CD5865">
        <w:rPr>
          <w:rFonts w:ascii="Arial" w:hAnsi="Arial" w:cs="Arial"/>
          <w:sz w:val="20"/>
          <w:lang w:val="en-US"/>
        </w:rPr>
        <w:t xml:space="preserve"> PO </w:t>
      </w:r>
      <w:r w:rsidRPr="00CD5865">
        <w:rPr>
          <w:rFonts w:ascii="Arial" w:hAnsi="Arial" w:cs="Arial"/>
          <w:sz w:val="20"/>
          <w:lang w:val="en-US" w:eastAsia="ko-KR"/>
        </w:rPr>
        <w:t xml:space="preserve">is a set of 'S' consecutive </w:t>
      </w:r>
      <w:r w:rsidRPr="00CD5865">
        <w:rPr>
          <w:rFonts w:ascii="Arial" w:hAnsi="Arial" w:cs="Arial"/>
          <w:sz w:val="20"/>
          <w:lang w:val="en-US"/>
        </w:rPr>
        <w:t>PDCCH monitoring occasion</w:t>
      </w:r>
      <w:r w:rsidRPr="00CD5865">
        <w:rPr>
          <w:rFonts w:ascii="Arial" w:hAnsi="Arial" w:cs="Arial"/>
          <w:sz w:val="20"/>
          <w:lang w:val="en-US" w:eastAsia="ko-KR"/>
        </w:rPr>
        <w:t xml:space="preserve">s </w:t>
      </w:r>
      <w:r w:rsidR="00A86B89" w:rsidRPr="00CD5865">
        <w:rPr>
          <w:rFonts w:ascii="Arial" w:hAnsi="Arial" w:cs="Arial"/>
          <w:sz w:val="20"/>
        </w:rPr>
        <w:br/>
      </w:r>
      <w:r w:rsidR="00A86B89" w:rsidRPr="00CD5865">
        <w:rPr>
          <w:rFonts w:ascii="Arial" w:hAnsi="Arial" w:cs="Arial"/>
          <w:sz w:val="20"/>
          <w:lang w:val="en-US" w:eastAsia="ko-KR"/>
        </w:rPr>
        <w:t xml:space="preserve">- </w:t>
      </w:r>
      <w:r w:rsidRPr="00CD5865">
        <w:rPr>
          <w:rFonts w:ascii="Arial" w:hAnsi="Arial" w:cs="Arial"/>
          <w:sz w:val="20"/>
          <w:lang w:eastAsia="ko-KR"/>
        </w:rPr>
        <w:t>'S'</w:t>
      </w:r>
      <w:r w:rsidRPr="00CD5865">
        <w:rPr>
          <w:rFonts w:ascii="Arial" w:hAnsi="Arial" w:cs="Arial"/>
          <w:sz w:val="20"/>
        </w:rPr>
        <w:t xml:space="preserve"> is the number of actual transmitted SSBs determined according to </w:t>
      </w:r>
      <w:r w:rsidRPr="00CD5865">
        <w:rPr>
          <w:rFonts w:ascii="Arial" w:hAnsi="Arial" w:cs="Arial"/>
          <w:i/>
          <w:sz w:val="20"/>
        </w:rPr>
        <w:t>ssb-PositionsInBurst</w:t>
      </w:r>
      <w:r w:rsidRPr="00CD5865">
        <w:rPr>
          <w:rFonts w:ascii="Arial" w:hAnsi="Arial" w:cs="Arial"/>
          <w:sz w:val="20"/>
        </w:rPr>
        <w:t xml:space="preserve"> in</w:t>
      </w:r>
      <w:r w:rsidRPr="00CD5865">
        <w:rPr>
          <w:rFonts w:ascii="Arial" w:hAnsi="Arial" w:cs="Arial"/>
          <w:i/>
          <w:sz w:val="20"/>
        </w:rPr>
        <w:t xml:space="preserve"> </w:t>
      </w:r>
      <w:r w:rsidRPr="00CD5865">
        <w:rPr>
          <w:rFonts w:ascii="Arial" w:hAnsi="Arial" w:cs="Arial"/>
          <w:i/>
          <w:sz w:val="20"/>
          <w:lang w:val="en-US"/>
        </w:rPr>
        <w:t>SIB1</w:t>
      </w:r>
      <w:r w:rsidRPr="00CD5865">
        <w:rPr>
          <w:rFonts w:ascii="Arial" w:hAnsi="Arial" w:cs="Arial"/>
          <w:sz w:val="20"/>
          <w:lang w:val="en-US" w:eastAsia="ko-KR"/>
        </w:rPr>
        <w:t xml:space="preserve">. </w:t>
      </w:r>
      <w:r w:rsidR="00A86B89" w:rsidRPr="00CD5865">
        <w:rPr>
          <w:rFonts w:ascii="Arial" w:hAnsi="Arial" w:cs="Arial"/>
          <w:sz w:val="20"/>
          <w:lang w:val="en-US" w:eastAsia="ko-KR"/>
        </w:rPr>
        <w:br/>
        <w:t xml:space="preserve">- </w:t>
      </w:r>
      <w:r w:rsidRPr="00CD5865">
        <w:rPr>
          <w:rFonts w:ascii="Arial" w:hAnsi="Arial" w:cs="Arial"/>
          <w:sz w:val="20"/>
          <w:lang w:val="en-US" w:eastAsia="ko-KR"/>
        </w:rPr>
        <w:t>The</w:t>
      </w:r>
      <w:r w:rsidRPr="00CD5865">
        <w:rPr>
          <w:rFonts w:ascii="Arial" w:hAnsi="Arial" w:cs="Arial"/>
          <w:sz w:val="20"/>
          <w:lang w:val="en-US"/>
        </w:rPr>
        <w:t xml:space="preserve"> K</w:t>
      </w:r>
      <w:r w:rsidRPr="00CD5865">
        <w:rPr>
          <w:rFonts w:ascii="Arial" w:hAnsi="Arial" w:cs="Arial"/>
          <w:sz w:val="20"/>
          <w:vertAlign w:val="superscript"/>
          <w:lang w:val="en-US"/>
        </w:rPr>
        <w:t>th</w:t>
      </w:r>
      <w:r w:rsidRPr="00CD5865">
        <w:rPr>
          <w:rFonts w:ascii="Arial" w:hAnsi="Arial" w:cs="Arial"/>
          <w:sz w:val="20"/>
          <w:lang w:val="en-US"/>
        </w:rPr>
        <w:t xml:space="preserve"> </w:t>
      </w:r>
      <w:r w:rsidRPr="00CD5865">
        <w:rPr>
          <w:rFonts w:ascii="Arial" w:hAnsi="Arial" w:cs="Arial"/>
          <w:sz w:val="20"/>
          <w:lang w:val="en-US" w:eastAsia="ko-KR"/>
        </w:rPr>
        <w:t xml:space="preserve">PDCCH </w:t>
      </w:r>
      <w:r w:rsidRPr="00CD5865">
        <w:rPr>
          <w:rFonts w:ascii="Arial" w:hAnsi="Arial" w:cs="Arial"/>
          <w:sz w:val="20"/>
          <w:lang w:val="en-US"/>
        </w:rPr>
        <w:t xml:space="preserve">monitoring occasion </w:t>
      </w:r>
      <w:r w:rsidRPr="00CD5865">
        <w:rPr>
          <w:rFonts w:ascii="Arial" w:hAnsi="Arial" w:cs="Arial"/>
          <w:sz w:val="20"/>
          <w:lang w:val="en-US" w:eastAsia="ko-KR"/>
        </w:rPr>
        <w:t xml:space="preserve">for paging </w:t>
      </w:r>
      <w:r w:rsidRPr="00CD5865">
        <w:rPr>
          <w:rFonts w:ascii="Arial" w:hAnsi="Arial" w:cs="Arial"/>
          <w:sz w:val="20"/>
          <w:lang w:val="en-US"/>
        </w:rPr>
        <w:t>in the PO correspond</w:t>
      </w:r>
      <w:r w:rsidRPr="00CD5865">
        <w:rPr>
          <w:rFonts w:ascii="Arial" w:hAnsi="Arial" w:cs="Arial"/>
          <w:sz w:val="20"/>
          <w:lang w:val="en-US" w:eastAsia="ko-KR"/>
        </w:rPr>
        <w:t>s</w:t>
      </w:r>
      <w:r w:rsidRPr="00CD5865">
        <w:rPr>
          <w:rFonts w:ascii="Arial" w:hAnsi="Arial" w:cs="Arial"/>
          <w:sz w:val="20"/>
          <w:lang w:val="en-US"/>
        </w:rPr>
        <w:t xml:space="preserve"> to the K</w:t>
      </w:r>
      <w:r w:rsidRPr="00CD5865">
        <w:rPr>
          <w:rFonts w:ascii="Arial" w:hAnsi="Arial" w:cs="Arial"/>
          <w:sz w:val="20"/>
          <w:vertAlign w:val="superscript"/>
          <w:lang w:val="en-US" w:eastAsia="ko-KR"/>
        </w:rPr>
        <w:t>th</w:t>
      </w:r>
      <w:r w:rsidRPr="00CD5865">
        <w:rPr>
          <w:rFonts w:ascii="Arial" w:hAnsi="Arial" w:cs="Arial"/>
          <w:sz w:val="20"/>
          <w:lang w:val="en-US" w:eastAsia="ko-KR"/>
        </w:rPr>
        <w:t xml:space="preserve"> </w:t>
      </w:r>
      <w:r w:rsidRPr="00CD5865">
        <w:rPr>
          <w:rFonts w:ascii="Arial" w:hAnsi="Arial" w:cs="Arial"/>
          <w:sz w:val="20"/>
          <w:lang w:val="en-US"/>
        </w:rPr>
        <w:t>transmitted SSB</w:t>
      </w:r>
      <w:r w:rsidRPr="00CD5865">
        <w:rPr>
          <w:rFonts w:ascii="Arial" w:hAnsi="Arial" w:cs="Arial"/>
          <w:sz w:val="20"/>
          <w:lang w:val="en-US" w:eastAsia="ko-KR"/>
        </w:rPr>
        <w:t>.</w:t>
      </w:r>
    </w:p>
    <w:p w14:paraId="2D1B2AF5" w14:textId="77777777" w:rsidR="005C1788" w:rsidRPr="005C1788" w:rsidRDefault="005C1788" w:rsidP="00CD5865">
      <w:pPr>
        <w:pStyle w:val="ListParagraph"/>
        <w:rPr>
          <w:bCs/>
        </w:rPr>
      </w:pPr>
    </w:p>
    <w:p w14:paraId="5DD7A891" w14:textId="435981FE" w:rsidR="0012239C" w:rsidRDefault="00AC530C" w:rsidP="006D203B">
      <w:pPr>
        <w:rPr>
          <w:rFonts w:cs="Arial"/>
          <w:lang w:val="en-US"/>
        </w:rPr>
      </w:pPr>
      <w:r>
        <w:rPr>
          <w:rFonts w:cs="Arial"/>
          <w:lang w:val="en-US"/>
        </w:rPr>
        <w:t xml:space="preserve">According to the RAN2#105 agreement, </w:t>
      </w:r>
      <w:r w:rsidR="006E3C88" w:rsidRPr="00FF5F6F">
        <w:rPr>
          <w:rFonts w:cs="Arial"/>
          <w:lang w:val="en-US"/>
        </w:rPr>
        <w:t>a</w:t>
      </w:r>
      <w:r w:rsidR="0012239C" w:rsidRPr="00FF5F6F">
        <w:rPr>
          <w:rFonts w:cs="Arial"/>
          <w:lang w:val="en-US"/>
        </w:rPr>
        <w:t xml:space="preserve"> PO </w:t>
      </w:r>
      <w:r>
        <w:rPr>
          <w:rFonts w:cs="Arial"/>
          <w:lang w:val="en-US"/>
        </w:rPr>
        <w:t>is</w:t>
      </w:r>
      <w:r w:rsidR="0012239C" w:rsidRPr="00FF5F6F">
        <w:rPr>
          <w:rFonts w:cs="Arial"/>
          <w:lang w:val="en-US"/>
        </w:rPr>
        <w:t xml:space="preserve"> extended to a window</w:t>
      </w:r>
      <w:r w:rsidR="00136E82">
        <w:rPr>
          <w:rFonts w:cs="Arial"/>
        </w:rPr>
        <w:t>, referred to as paging window (PW),</w:t>
      </w:r>
      <w:r w:rsidR="0012239C" w:rsidRPr="00FF5F6F">
        <w:rPr>
          <w:rFonts w:cs="Arial"/>
          <w:lang w:val="en-US"/>
        </w:rPr>
        <w:t xml:space="preserve"> containing </w:t>
      </w:r>
      <w:r w:rsidR="00B20B9A">
        <w:rPr>
          <w:rFonts w:cs="Arial"/>
          <w:lang w:val="en-US"/>
        </w:rPr>
        <w:t>additional monitoring occasions</w:t>
      </w:r>
      <w:r w:rsidR="0012239C" w:rsidRPr="00FF5F6F">
        <w:rPr>
          <w:rFonts w:cs="Arial"/>
          <w:lang w:val="en-US"/>
        </w:rPr>
        <w:t>, thus providing increased flexibility to the gNB when transmitting the paging and reducing the risk that some beam directions are not covered due to CCA failures.</w:t>
      </w:r>
    </w:p>
    <w:p w14:paraId="33B238DB" w14:textId="77777777" w:rsidR="00331CD6" w:rsidRPr="00B20B9A" w:rsidRDefault="00331CD6" w:rsidP="00B20B9A">
      <w:pPr>
        <w:numPr>
          <w:ilvl w:val="0"/>
          <w:numId w:val="29"/>
        </w:numPr>
        <w:rPr>
          <w:rFonts w:cs="Arial"/>
        </w:rPr>
      </w:pPr>
      <w:r w:rsidRPr="00B20B9A">
        <w:rPr>
          <w:rFonts w:cs="Arial"/>
          <w:lang w:val="en-US"/>
        </w:rPr>
        <w:t>S: number of beams</w:t>
      </w:r>
    </w:p>
    <w:p w14:paraId="41E3E984" w14:textId="77777777" w:rsidR="00BC1A31" w:rsidRPr="00860082" w:rsidRDefault="00331CD6" w:rsidP="00B20B9A">
      <w:pPr>
        <w:numPr>
          <w:ilvl w:val="0"/>
          <w:numId w:val="29"/>
        </w:numPr>
        <w:rPr>
          <w:rFonts w:cs="Arial"/>
          <w:lang w:val="en-US"/>
        </w:rPr>
      </w:pPr>
      <w:r w:rsidRPr="00B20B9A">
        <w:rPr>
          <w:rFonts w:cs="Arial"/>
          <w:lang w:val="en-US"/>
        </w:rPr>
        <w:t>X: extension factor, so that the PO consists of X transmission/monitoring occasions per beam</w:t>
      </w:r>
    </w:p>
    <w:p w14:paraId="1BE89E50" w14:textId="33405E07" w:rsidR="001343A8" w:rsidRPr="00860082" w:rsidRDefault="00BC1A31" w:rsidP="00860082">
      <w:pPr>
        <w:numPr>
          <w:ilvl w:val="0"/>
          <w:numId w:val="29"/>
        </w:numPr>
        <w:rPr>
          <w:rFonts w:cs="Arial"/>
          <w:lang w:val="en-US"/>
        </w:rPr>
      </w:pPr>
      <w:r w:rsidRPr="00860082">
        <w:rPr>
          <w:rFonts w:cs="Arial"/>
          <w:lang w:val="en-US"/>
        </w:rPr>
        <w:t>The</w:t>
      </w:r>
      <w:r w:rsidR="00860082" w:rsidRPr="00860082">
        <w:rPr>
          <w:rFonts w:cs="Arial"/>
          <w:lang w:val="en-US"/>
        </w:rPr>
        <w:t>re are</w:t>
      </w:r>
      <w:r w:rsidRPr="00860082">
        <w:rPr>
          <w:rFonts w:cs="Arial"/>
          <w:lang w:val="en-US"/>
        </w:rPr>
        <w:t xml:space="preserve"> </w:t>
      </w:r>
      <w:r w:rsidR="00331CD6" w:rsidRPr="00860082">
        <w:rPr>
          <w:rFonts w:cs="Arial"/>
          <w:lang w:val="en-US"/>
        </w:rPr>
        <w:t>X*S monitoring occasions</w:t>
      </w:r>
      <w:r w:rsidR="00860082" w:rsidRPr="00860082">
        <w:rPr>
          <w:rFonts w:cs="Arial"/>
          <w:lang w:val="en-US"/>
        </w:rPr>
        <w:t xml:space="preserve"> per paging window (or extended PO)</w:t>
      </w:r>
    </w:p>
    <w:p w14:paraId="060095AD" w14:textId="3FC9B577" w:rsidR="00F63950" w:rsidRPr="00FF5F6F" w:rsidRDefault="00230D18" w:rsidP="00F63950">
      <w:pPr>
        <w:pStyle w:val="Heading2"/>
        <w:rPr>
          <w:lang w:val="en-US"/>
        </w:rPr>
      </w:pPr>
      <w:r w:rsidRPr="00F7071C">
        <w:t>2.1</w:t>
      </w:r>
      <w:r w:rsidRPr="00F7071C">
        <w:tab/>
      </w:r>
      <w:r w:rsidR="00831F07">
        <w:rPr>
          <w:lang w:val="en-US"/>
        </w:rPr>
        <w:t xml:space="preserve">Mapping between beam directions and paging monitoring occasions within </w:t>
      </w:r>
      <w:r w:rsidR="008215E7" w:rsidRPr="00FF5F6F">
        <w:rPr>
          <w:lang w:val="en-US"/>
        </w:rPr>
        <w:t xml:space="preserve">a paging window </w:t>
      </w:r>
    </w:p>
    <w:p w14:paraId="3D55EF5C" w14:textId="073FAA12" w:rsidR="00FC755E" w:rsidRPr="00FF5F6F" w:rsidRDefault="00FC755E" w:rsidP="00FC755E">
      <w:pPr>
        <w:rPr>
          <w:rStyle w:val="IvDbodytextChar"/>
        </w:rPr>
      </w:pPr>
      <w:r w:rsidRPr="00FF5F6F">
        <w:rPr>
          <w:rFonts w:cs="Arial"/>
          <w:lang w:val="en-US"/>
        </w:rPr>
        <w:t xml:space="preserve">A gNB can utilize the paging </w:t>
      </w:r>
      <w:r w:rsidR="00264E24">
        <w:rPr>
          <w:rFonts w:cs="Arial"/>
        </w:rPr>
        <w:t xml:space="preserve"> window</w:t>
      </w:r>
      <w:r w:rsidR="00301B13" w:rsidRPr="00FF5F6F">
        <w:rPr>
          <w:rFonts w:cs="Arial"/>
          <w:lang w:val="en-US"/>
        </w:rPr>
        <w:t xml:space="preserve"> (which from the UE perspective are </w:t>
      </w:r>
      <w:r w:rsidR="00306433" w:rsidRPr="00FF5F6F">
        <w:rPr>
          <w:rFonts w:cs="Arial"/>
          <w:lang w:val="en-US"/>
        </w:rPr>
        <w:t>PDCCH monitoring occasions)</w:t>
      </w:r>
      <w:r w:rsidRPr="00FF5F6F">
        <w:rPr>
          <w:rFonts w:cs="Arial"/>
          <w:lang w:val="en-US"/>
        </w:rPr>
        <w:t xml:space="preserve"> </w:t>
      </w:r>
      <w:r w:rsidRPr="00FF5F6F" w:rsidDel="00453288">
        <w:rPr>
          <w:rFonts w:cs="Arial"/>
          <w:lang w:val="en-US"/>
        </w:rPr>
        <w:t xml:space="preserve">in </w:t>
      </w:r>
      <w:r w:rsidRPr="00FF5F6F">
        <w:rPr>
          <w:rFonts w:cs="Arial"/>
          <w:lang w:val="en-US"/>
        </w:rPr>
        <w:t xml:space="preserve">different ways to compensate for CCA failures. </w:t>
      </w:r>
      <w:r w:rsidRPr="00FF5F6F">
        <w:rPr>
          <w:rStyle w:val="IvDbodytextChar"/>
        </w:rPr>
        <w:t xml:space="preserve">One aspect which is affected by this choice is the UE’s ability to predict when the paging will be transmitted in a certain beam direction. This is essential for a UE which wishes to monitor only a single beam direction, based on previously acquired knowledge of the best beam (e.g. acquired from SSB/DRS reception). This is also connected to another affected aspect, which is the UE’s required potential monitoring time as well as its possibilities for micro-sleep periods within the </w:t>
      </w:r>
      <w:r w:rsidR="00B26F11">
        <w:rPr>
          <w:rStyle w:val="IvDbodytextChar"/>
        </w:rPr>
        <w:t xml:space="preserve">paging </w:t>
      </w:r>
      <w:r w:rsidRPr="00FF5F6F">
        <w:rPr>
          <w:rStyle w:val="IvDbodytextChar"/>
        </w:rPr>
        <w:t>window</w:t>
      </w:r>
      <w:r w:rsidR="00B26F11">
        <w:rPr>
          <w:rStyle w:val="IvDbodytextChar"/>
        </w:rPr>
        <w:t xml:space="preserve"> (PW)</w:t>
      </w:r>
      <w:r w:rsidR="00722D03" w:rsidRPr="00FF5F6F">
        <w:rPr>
          <w:rStyle w:val="IvDbodytextChar"/>
        </w:rPr>
        <w:t>. Hence, predictable mapping between</w:t>
      </w:r>
      <w:r w:rsidR="00722D03" w:rsidRPr="00FF5F6F" w:rsidDel="0079489C">
        <w:rPr>
          <w:rStyle w:val="IvDbodytextChar"/>
        </w:rPr>
        <w:t xml:space="preserve"> </w:t>
      </w:r>
      <w:r w:rsidR="0079489C">
        <w:rPr>
          <w:rStyle w:val="IvDbodytextChar"/>
        </w:rPr>
        <w:t xml:space="preserve">the </w:t>
      </w:r>
      <w:r w:rsidR="003F0ACC">
        <w:rPr>
          <w:rStyle w:val="IvDbodytextChar"/>
        </w:rPr>
        <w:t xml:space="preserve">paging </w:t>
      </w:r>
      <w:r w:rsidR="0079489C">
        <w:rPr>
          <w:rStyle w:val="IvDbodytextChar"/>
        </w:rPr>
        <w:t>monitoring occasions</w:t>
      </w:r>
      <w:r w:rsidR="0079489C" w:rsidRPr="00FF5F6F">
        <w:rPr>
          <w:rStyle w:val="IvDbodytextChar"/>
        </w:rPr>
        <w:t xml:space="preserve"> </w:t>
      </w:r>
      <w:r w:rsidR="00367BA5">
        <w:rPr>
          <w:rStyle w:val="IvDbodytextChar"/>
        </w:rPr>
        <w:t xml:space="preserve">(PMO) </w:t>
      </w:r>
      <w:r w:rsidR="00722D03" w:rsidRPr="00FF5F6F">
        <w:rPr>
          <w:rStyle w:val="IvDbodytextChar"/>
        </w:rPr>
        <w:t xml:space="preserve">and beam direction is a desirable feature, but this will also reduce the scheduling flexibility, which means that the </w:t>
      </w:r>
      <w:r w:rsidR="002028DB">
        <w:rPr>
          <w:rStyle w:val="IvDbodytextChar"/>
        </w:rPr>
        <w:t>PMOs</w:t>
      </w:r>
      <w:r w:rsidR="002028DB" w:rsidRPr="00FF5F6F">
        <w:rPr>
          <w:rStyle w:val="IvDbodytextChar"/>
        </w:rPr>
        <w:t xml:space="preserve"> </w:t>
      </w:r>
      <w:r w:rsidR="00722D03" w:rsidRPr="00FF5F6F">
        <w:rPr>
          <w:rStyle w:val="IvDbodytextChar"/>
        </w:rPr>
        <w:t xml:space="preserve">in the window may not be optimally utilized, as some </w:t>
      </w:r>
      <w:r w:rsidR="002028DB">
        <w:rPr>
          <w:rStyle w:val="IvDbodytextChar"/>
        </w:rPr>
        <w:t>PMOs</w:t>
      </w:r>
      <w:r w:rsidR="002028DB" w:rsidRPr="00FF5F6F">
        <w:rPr>
          <w:rStyle w:val="IvDbodytextChar"/>
        </w:rPr>
        <w:t xml:space="preserve"> </w:t>
      </w:r>
      <w:r w:rsidR="00722D03" w:rsidRPr="00FF5F6F">
        <w:rPr>
          <w:rStyle w:val="IvDbodytextChar"/>
        </w:rPr>
        <w:t>may be skipped, which could have been used if the beam predictability was sacrificed. Th</w:t>
      </w:r>
      <w:r w:rsidR="00454115" w:rsidRPr="00FF5F6F">
        <w:rPr>
          <w:rStyle w:val="IvDbodytextChar"/>
        </w:rPr>
        <w:t>is</w:t>
      </w:r>
      <w:r w:rsidR="00722D03" w:rsidRPr="00FF5F6F">
        <w:rPr>
          <w:rStyle w:val="IvDbodytextChar"/>
        </w:rPr>
        <w:t xml:space="preserve"> </w:t>
      </w:r>
      <w:r w:rsidR="007B265C" w:rsidRPr="00FF5F6F">
        <w:rPr>
          <w:rStyle w:val="IvDbodytextChar"/>
        </w:rPr>
        <w:t>conflict</w:t>
      </w:r>
      <w:r w:rsidR="00454115" w:rsidRPr="00FF5F6F">
        <w:rPr>
          <w:rStyle w:val="IvDbodytextChar"/>
        </w:rPr>
        <w:t xml:space="preserve"> of</w:t>
      </w:r>
      <w:r w:rsidR="007B265C" w:rsidRPr="00FF5F6F">
        <w:rPr>
          <w:rStyle w:val="IvDbodytextChar"/>
        </w:rPr>
        <w:t xml:space="preserve"> interests provides room for different methods to be studied and potentially used in parallel. Some possible principles of such methods are described below.</w:t>
      </w:r>
    </w:p>
    <w:p w14:paraId="1F51C70B" w14:textId="0D6FA9BF" w:rsidR="00235D27" w:rsidRPr="00FF5F6F" w:rsidRDefault="00235D27" w:rsidP="00235D27">
      <w:pPr>
        <w:pStyle w:val="Observation"/>
        <w:rPr>
          <w:lang w:val="en-US"/>
        </w:rPr>
      </w:pPr>
      <w:bookmarkStart w:id="3" w:name="_Toc4708118"/>
      <w:bookmarkStart w:id="4" w:name="_Toc4708182"/>
      <w:bookmarkStart w:id="5" w:name="_Toc4710805"/>
      <w:r w:rsidRPr="00FF5F6F">
        <w:rPr>
          <w:lang w:val="en-US"/>
        </w:rPr>
        <w:t xml:space="preserve">It is desirable to maintain a predictable mapping between paging </w:t>
      </w:r>
      <w:r w:rsidR="002028DB">
        <w:rPr>
          <w:lang w:val="en-US"/>
        </w:rPr>
        <w:t>monitoring occasion</w:t>
      </w:r>
      <w:r w:rsidRPr="00FF5F6F" w:rsidDel="002028DB">
        <w:rPr>
          <w:lang w:val="en-US"/>
        </w:rPr>
        <w:t xml:space="preserve"> </w:t>
      </w:r>
      <w:r w:rsidR="00865D50">
        <w:rPr>
          <w:lang w:val="en-US"/>
        </w:rPr>
        <w:t xml:space="preserve">(PMO) </w:t>
      </w:r>
      <w:r w:rsidRPr="00FF5F6F">
        <w:rPr>
          <w:lang w:val="en-US"/>
        </w:rPr>
        <w:t>and beam in a paging window, in order to enable a UE to monitor a single selected beam.</w:t>
      </w:r>
      <w:bookmarkEnd w:id="3"/>
      <w:bookmarkEnd w:id="4"/>
      <w:bookmarkEnd w:id="5"/>
    </w:p>
    <w:p w14:paraId="15A7C7A8" w14:textId="44AB34FF" w:rsidR="00235D27" w:rsidRPr="00FF5F6F" w:rsidRDefault="00235D27" w:rsidP="00235D27">
      <w:pPr>
        <w:pStyle w:val="Observation"/>
        <w:rPr>
          <w:lang w:val="en-US"/>
        </w:rPr>
      </w:pPr>
      <w:bookmarkStart w:id="6" w:name="_Toc4708119"/>
      <w:bookmarkStart w:id="7" w:name="_Toc4708183"/>
      <w:bookmarkStart w:id="8" w:name="_Toc4710806"/>
      <w:r w:rsidRPr="00FF5F6F">
        <w:rPr>
          <w:lang w:val="en-US"/>
        </w:rPr>
        <w:t xml:space="preserve">It is desirable to allow full utilization of the </w:t>
      </w:r>
      <w:r w:rsidR="00F80934">
        <w:rPr>
          <w:lang w:val="en-US"/>
        </w:rPr>
        <w:t>PMOs</w:t>
      </w:r>
      <w:r w:rsidR="00F80934" w:rsidRPr="00FF5F6F">
        <w:rPr>
          <w:lang w:val="en-US"/>
        </w:rPr>
        <w:t xml:space="preserve"> </w:t>
      </w:r>
      <w:r w:rsidRPr="00FF5F6F">
        <w:rPr>
          <w:lang w:val="en-US"/>
        </w:rPr>
        <w:t xml:space="preserve">configured in a paging window, i.e. to avoid unnecessarily skipping </w:t>
      </w:r>
      <w:r w:rsidR="00F80934">
        <w:rPr>
          <w:lang w:val="en-US"/>
        </w:rPr>
        <w:t>PMOs</w:t>
      </w:r>
      <w:r w:rsidR="00F80934" w:rsidRPr="00FF5F6F">
        <w:rPr>
          <w:lang w:val="en-US"/>
        </w:rPr>
        <w:t xml:space="preserve"> </w:t>
      </w:r>
      <w:r w:rsidRPr="00FF5F6F">
        <w:rPr>
          <w:lang w:val="en-US"/>
        </w:rPr>
        <w:t>while there are still beams remaining to be transmitted.</w:t>
      </w:r>
      <w:bookmarkEnd w:id="6"/>
      <w:bookmarkEnd w:id="7"/>
      <w:bookmarkEnd w:id="8"/>
    </w:p>
    <w:p w14:paraId="66A023E9" w14:textId="5C4F388E" w:rsidR="00F3793A" w:rsidRPr="00FF5F6F" w:rsidRDefault="004C6C91" w:rsidP="009568BC">
      <w:pPr>
        <w:pStyle w:val="Heading3"/>
        <w:rPr>
          <w:lang w:val="en-US"/>
        </w:rPr>
      </w:pPr>
      <w:r>
        <w:rPr>
          <w:lang w:val="en-US"/>
        </w:rPr>
        <w:lastRenderedPageBreak/>
        <w:t xml:space="preserve">Option 1) </w:t>
      </w:r>
      <w:r w:rsidR="00667870">
        <w:rPr>
          <w:lang w:val="en-US"/>
        </w:rPr>
        <w:t>Consecutive PMOs</w:t>
      </w:r>
      <w:r w:rsidR="00F3793A" w:rsidRPr="00FF5F6F">
        <w:rPr>
          <w:lang w:val="en-US"/>
        </w:rPr>
        <w:t xml:space="preserve"> for each beam</w:t>
      </w:r>
    </w:p>
    <w:p w14:paraId="67F2B090" w14:textId="6F375467" w:rsidR="00F3793A" w:rsidRDefault="00F3793A" w:rsidP="00F3793A">
      <w:pPr>
        <w:pStyle w:val="BodyText"/>
        <w:rPr>
          <w:lang w:val="en-US"/>
        </w:rPr>
      </w:pPr>
      <w:r w:rsidRPr="00FF5F6F">
        <w:rPr>
          <w:rFonts w:cs="Arial"/>
          <w:lang w:val="en-US"/>
        </w:rPr>
        <w:t xml:space="preserve">With this principle </w:t>
      </w:r>
      <w:r w:rsidR="00A25D75">
        <w:rPr>
          <w:lang w:val="en-US"/>
        </w:rPr>
        <w:t xml:space="preserve">X PMOs </w:t>
      </w:r>
      <w:r w:rsidRPr="00FF5F6F">
        <w:rPr>
          <w:lang w:val="en-US"/>
        </w:rPr>
        <w:t>are allocated to each beam</w:t>
      </w:r>
      <w:r w:rsidR="004E7835">
        <w:rPr>
          <w:lang w:val="en-US"/>
        </w:rPr>
        <w:t xml:space="preserve"> as illustrated in </w:t>
      </w:r>
      <w:r w:rsidR="002E7BC6">
        <w:rPr>
          <w:lang w:val="en-US"/>
        </w:rPr>
        <w:fldChar w:fldCharType="begin"/>
      </w:r>
      <w:r w:rsidR="002E7BC6">
        <w:rPr>
          <w:lang w:val="en-US"/>
        </w:rPr>
        <w:instrText xml:space="preserve"> REF _Ref4668790 \h </w:instrText>
      </w:r>
      <w:r w:rsidR="002E7BC6">
        <w:rPr>
          <w:lang w:val="en-US"/>
        </w:rPr>
      </w:r>
      <w:r w:rsidR="002E7BC6">
        <w:rPr>
          <w:lang w:val="en-US"/>
        </w:rPr>
        <w:fldChar w:fldCharType="separate"/>
      </w:r>
      <w:r w:rsidR="002E7BC6">
        <w:t xml:space="preserve">Figure </w:t>
      </w:r>
      <w:r w:rsidR="002E7BC6">
        <w:rPr>
          <w:noProof/>
        </w:rPr>
        <w:t>1</w:t>
      </w:r>
      <w:r w:rsidR="002E7BC6">
        <w:rPr>
          <w:lang w:val="en-US"/>
        </w:rPr>
        <w:fldChar w:fldCharType="end"/>
      </w:r>
      <w:r w:rsidRPr="00FF5F6F">
        <w:rPr>
          <w:lang w:val="en-US"/>
        </w:rPr>
        <w:t xml:space="preserve">. The gNB attempts </w:t>
      </w:r>
      <w:r w:rsidR="008F69A1" w:rsidRPr="00FF5F6F">
        <w:rPr>
          <w:lang w:val="en-US"/>
        </w:rPr>
        <w:t>to transmit</w:t>
      </w:r>
      <w:r w:rsidRPr="00FF5F6F">
        <w:rPr>
          <w:lang w:val="en-US"/>
        </w:rPr>
        <w:t xml:space="preserve"> a certain beam until it is successfully transmitted or until the </w:t>
      </w:r>
      <w:r w:rsidR="009B4E14">
        <w:rPr>
          <w:lang w:val="en-US"/>
        </w:rPr>
        <w:t>all X transmission attempts for that beam have failed.</w:t>
      </w:r>
    </w:p>
    <w:p w14:paraId="2C237D81" w14:textId="5688B5FB" w:rsidR="00E020AA" w:rsidRDefault="005C1D5A" w:rsidP="001D49FB">
      <w:pPr>
        <w:pStyle w:val="BodyText"/>
        <w:jc w:val="center"/>
        <w:rPr>
          <w:lang w:val="en-US"/>
        </w:rPr>
      </w:pPr>
      <w:r>
        <w:rPr>
          <w:noProof/>
          <w:lang w:val="en-US"/>
        </w:rPr>
        <w:drawing>
          <wp:inline distT="0" distB="0" distL="0" distR="0" wp14:anchorId="4A7A2800" wp14:editId="574991AE">
            <wp:extent cx="6108705" cy="12985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0109" cy="1298873"/>
                    </a:xfrm>
                    <a:prstGeom prst="rect">
                      <a:avLst/>
                    </a:prstGeom>
                    <a:noFill/>
                  </pic:spPr>
                </pic:pic>
              </a:graphicData>
            </a:graphic>
          </wp:inline>
        </w:drawing>
      </w:r>
    </w:p>
    <w:p w14:paraId="55BA4390" w14:textId="74F34080" w:rsidR="004E7835" w:rsidRPr="00FF5F6F" w:rsidRDefault="009E145B" w:rsidP="00F7071C">
      <w:pPr>
        <w:pStyle w:val="Caption"/>
        <w:rPr>
          <w:lang w:val="en-US"/>
        </w:rPr>
      </w:pPr>
      <w:bookmarkStart w:id="9" w:name="_Ref4668790"/>
      <w:r>
        <w:t xml:space="preserve">Figure </w:t>
      </w:r>
      <w:r w:rsidR="00427BCD">
        <w:rPr>
          <w:noProof/>
        </w:rPr>
        <w:fldChar w:fldCharType="begin"/>
      </w:r>
      <w:r w:rsidR="00427BCD">
        <w:rPr>
          <w:noProof/>
        </w:rPr>
        <w:instrText xml:space="preserve"> SEQ Figure \* ARABIC </w:instrText>
      </w:r>
      <w:r w:rsidR="00427BCD">
        <w:rPr>
          <w:noProof/>
        </w:rPr>
        <w:fldChar w:fldCharType="separate"/>
      </w:r>
      <w:r w:rsidR="00666317">
        <w:rPr>
          <w:noProof/>
        </w:rPr>
        <w:t>1</w:t>
      </w:r>
      <w:r w:rsidR="00427BCD">
        <w:rPr>
          <w:noProof/>
        </w:rPr>
        <w:fldChar w:fldCharType="end"/>
      </w:r>
      <w:bookmarkEnd w:id="9"/>
      <w:r>
        <w:t>:</w:t>
      </w:r>
      <w:r w:rsidR="00453C32">
        <w:t xml:space="preserve"> Extension </w:t>
      </w:r>
      <w:r w:rsidR="00666317">
        <w:t>per beam</w:t>
      </w:r>
      <w:r w:rsidR="00453C32">
        <w:t xml:space="preserve"> </w:t>
      </w:r>
    </w:p>
    <w:p w14:paraId="09FB7C8C" w14:textId="2A58D341" w:rsidR="00542E92" w:rsidRPr="00FF5F6F" w:rsidRDefault="002115F8" w:rsidP="00542E92">
      <w:pPr>
        <w:pStyle w:val="BodyText"/>
        <w:rPr>
          <w:lang w:val="en-US"/>
        </w:rPr>
      </w:pPr>
      <w:r w:rsidRPr="00FF5F6F">
        <w:rPr>
          <w:lang w:val="en-US"/>
        </w:rPr>
        <w:t xml:space="preserve">With this principle there is a predetermined mapping between </w:t>
      </w:r>
      <w:r w:rsidR="00EC55B1">
        <w:rPr>
          <w:lang w:val="en-US"/>
        </w:rPr>
        <w:t>PMO</w:t>
      </w:r>
      <w:r w:rsidR="00EC55B1" w:rsidRPr="00FF5F6F">
        <w:rPr>
          <w:lang w:val="en-US"/>
        </w:rPr>
        <w:t xml:space="preserve"> </w:t>
      </w:r>
      <w:r w:rsidRPr="00FF5F6F">
        <w:rPr>
          <w:lang w:val="en-US"/>
        </w:rPr>
        <w:t xml:space="preserve">and beam direction and consequently a UE can limit its monitoring time to a small subwindow, e.g. monitoring the </w:t>
      </w:r>
      <w:r w:rsidR="00DD4F1F">
        <w:rPr>
          <w:lang w:val="en-US"/>
        </w:rPr>
        <w:t>X PMOs</w:t>
      </w:r>
      <w:r w:rsidRPr="00FF5F6F">
        <w:rPr>
          <w:lang w:val="en-US"/>
        </w:rPr>
        <w:t xml:space="preserve"> associated with a single beam direction (but </w:t>
      </w:r>
      <w:r w:rsidR="00542E92" w:rsidRPr="00FF5F6F">
        <w:rPr>
          <w:lang w:val="en-US"/>
        </w:rPr>
        <w:t>stops monitoring</w:t>
      </w:r>
      <w:r w:rsidRPr="00FF5F6F">
        <w:rPr>
          <w:lang w:val="en-US"/>
        </w:rPr>
        <w:t xml:space="preserve"> if it receives a paging transmission).</w:t>
      </w:r>
      <w:r w:rsidR="00542E92" w:rsidRPr="00FF5F6F">
        <w:rPr>
          <w:lang w:val="en-US"/>
        </w:rPr>
        <w:t xml:space="preserve"> However, when the gNB succeeds to transmit a beam, any remaining TXOPs allocated to that beam are skipped (in order to preserve beam predictability) before the next beam can be transmitted.</w:t>
      </w:r>
    </w:p>
    <w:p w14:paraId="77930FDD" w14:textId="0BAC6C0D" w:rsidR="00542E92" w:rsidRDefault="00235D27" w:rsidP="00542E92">
      <w:pPr>
        <w:pStyle w:val="BodyText"/>
        <w:rPr>
          <w:lang w:val="en-US"/>
        </w:rPr>
      </w:pPr>
      <w:r w:rsidRPr="00FF5F6F">
        <w:rPr>
          <w:lang w:val="en-US"/>
        </w:rPr>
        <w:t>With t</w:t>
      </w:r>
      <w:r w:rsidR="00542E92" w:rsidRPr="00FF5F6F">
        <w:rPr>
          <w:lang w:val="en-US"/>
        </w:rPr>
        <w:t xml:space="preserve">his </w:t>
      </w:r>
      <w:r w:rsidRPr="00FF5F6F">
        <w:rPr>
          <w:lang w:val="en-US"/>
        </w:rPr>
        <w:t xml:space="preserve">principle less is to gain from configuring </w:t>
      </w:r>
      <w:r w:rsidR="00885C59">
        <w:rPr>
          <w:lang w:val="en-US"/>
        </w:rPr>
        <w:t>PMOs</w:t>
      </w:r>
      <w:r w:rsidRPr="00FF5F6F">
        <w:rPr>
          <w:lang w:val="en-US"/>
        </w:rPr>
        <w:t xml:space="preserve"> so densely that multiple </w:t>
      </w:r>
      <w:r w:rsidR="00AF674A">
        <w:rPr>
          <w:lang w:val="en-US"/>
        </w:rPr>
        <w:t>PMO</w:t>
      </w:r>
      <w:r w:rsidR="00AF674A" w:rsidRPr="00FF5F6F">
        <w:rPr>
          <w:lang w:val="en-US"/>
        </w:rPr>
        <w:t xml:space="preserve">s </w:t>
      </w:r>
      <w:r w:rsidRPr="00FF5F6F">
        <w:rPr>
          <w:lang w:val="en-US"/>
        </w:rPr>
        <w:t>can be used after a single successful CCA.</w:t>
      </w:r>
    </w:p>
    <w:p w14:paraId="0B4835EF" w14:textId="77777777" w:rsidR="00EB30A7" w:rsidRPr="00FF5F6F" w:rsidRDefault="00EB30A7" w:rsidP="00542E92">
      <w:pPr>
        <w:pStyle w:val="BodyText"/>
        <w:rPr>
          <w:lang w:val="en-US"/>
        </w:rPr>
      </w:pPr>
    </w:p>
    <w:p w14:paraId="18937B99" w14:textId="70B9E75E" w:rsidR="003629E6" w:rsidRPr="00FF5F6F" w:rsidRDefault="004C6C91" w:rsidP="009568BC">
      <w:pPr>
        <w:pStyle w:val="Heading3"/>
        <w:rPr>
          <w:lang w:val="en-US"/>
        </w:rPr>
      </w:pPr>
      <w:r>
        <w:rPr>
          <w:lang w:val="en-US"/>
        </w:rPr>
        <w:t xml:space="preserve">Option 2) </w:t>
      </w:r>
      <w:r w:rsidR="00C56A5B">
        <w:rPr>
          <w:lang w:val="en-US"/>
        </w:rPr>
        <w:t xml:space="preserve">PMO </w:t>
      </w:r>
      <w:r w:rsidR="009568BC" w:rsidRPr="00FF5F6F">
        <w:rPr>
          <w:lang w:val="en-US"/>
        </w:rPr>
        <w:t>mapping</w:t>
      </w:r>
      <w:r w:rsidR="00F3793A" w:rsidRPr="00FF5F6F">
        <w:rPr>
          <w:lang w:val="en-US"/>
        </w:rPr>
        <w:t xml:space="preserve"> using beam sweeping</w:t>
      </w:r>
    </w:p>
    <w:p w14:paraId="12A3C90F" w14:textId="618C9A98" w:rsidR="00A63F37" w:rsidRDefault="00A63F37" w:rsidP="009568BC">
      <w:pPr>
        <w:rPr>
          <w:rFonts w:cs="Arial"/>
          <w:lang w:val="en-US" w:eastAsia="ko-KR"/>
        </w:rPr>
      </w:pPr>
      <w:r>
        <w:rPr>
          <w:rFonts w:cs="Arial"/>
        </w:rPr>
        <w:t>This approach is based on legacy</w:t>
      </w:r>
      <w:r w:rsidR="00CD7CF5">
        <w:rPr>
          <w:rFonts w:cs="Arial"/>
        </w:rPr>
        <w:t xml:space="preserve"> </w:t>
      </w:r>
      <w:r w:rsidR="002E7BC6">
        <w:rPr>
          <w:rFonts w:cs="Arial"/>
          <w:lang w:val="en-US"/>
        </w:rPr>
        <w:t>NR Rel-15 where</w:t>
      </w:r>
      <w:r w:rsidR="00CD7CF5">
        <w:rPr>
          <w:rFonts w:cs="Arial"/>
        </w:rPr>
        <w:t xml:space="preserve"> </w:t>
      </w:r>
      <w:r w:rsidR="00CD7CF5">
        <w:rPr>
          <w:rFonts w:cs="Arial"/>
          <w:lang w:val="en-US"/>
        </w:rPr>
        <w:t>‘S’ consecutive PMOs</w:t>
      </w:r>
      <w:r w:rsidR="002E7BC6">
        <w:rPr>
          <w:rFonts w:cs="Arial"/>
          <w:lang w:val="en-US"/>
        </w:rPr>
        <w:t xml:space="preserve"> are defined per PO</w:t>
      </w:r>
      <w:r>
        <w:rPr>
          <w:rFonts w:cs="Arial"/>
        </w:rPr>
        <w:t xml:space="preserve">, where the </w:t>
      </w:r>
      <w:r w:rsidRPr="00CD5865">
        <w:rPr>
          <w:rFonts w:cs="Arial"/>
          <w:lang w:val="en-US"/>
        </w:rPr>
        <w:t>K</w:t>
      </w:r>
      <w:r w:rsidRPr="00CD5865">
        <w:rPr>
          <w:rFonts w:cs="Arial"/>
          <w:vertAlign w:val="superscript"/>
          <w:lang w:val="en-US"/>
        </w:rPr>
        <w:t>th</w:t>
      </w:r>
      <w:r w:rsidRPr="00CD5865">
        <w:rPr>
          <w:rFonts w:cs="Arial"/>
          <w:lang w:val="en-US"/>
        </w:rPr>
        <w:t xml:space="preserve"> </w:t>
      </w:r>
      <w:r>
        <w:rPr>
          <w:rFonts w:cs="Arial"/>
          <w:lang w:eastAsia="ko-KR"/>
        </w:rPr>
        <w:t>PMO</w:t>
      </w:r>
      <w:r w:rsidR="00CD7CF5">
        <w:rPr>
          <w:rFonts w:cs="Arial"/>
          <w:lang w:eastAsia="ko-KR"/>
        </w:rPr>
        <w:t xml:space="preserve"> </w:t>
      </w:r>
      <w:r w:rsidR="002E7BC6">
        <w:rPr>
          <w:rFonts w:cs="Arial"/>
          <w:lang w:val="en-US" w:eastAsia="ko-KR"/>
        </w:rPr>
        <w:t>c</w:t>
      </w:r>
      <w:r w:rsidRPr="00CD5865">
        <w:rPr>
          <w:rFonts w:cs="Arial"/>
          <w:lang w:val="en-US"/>
        </w:rPr>
        <w:t>orrespond</w:t>
      </w:r>
      <w:r w:rsidRPr="00CD5865">
        <w:rPr>
          <w:rFonts w:cs="Arial"/>
          <w:lang w:val="en-US" w:eastAsia="ko-KR"/>
        </w:rPr>
        <w:t>s</w:t>
      </w:r>
      <w:r w:rsidRPr="00CD5865">
        <w:rPr>
          <w:rFonts w:cs="Arial"/>
          <w:lang w:val="en-US"/>
        </w:rPr>
        <w:t xml:space="preserve"> to the K</w:t>
      </w:r>
      <w:r w:rsidRPr="00CD5865">
        <w:rPr>
          <w:rFonts w:cs="Arial"/>
          <w:vertAlign w:val="superscript"/>
          <w:lang w:val="en-US" w:eastAsia="ko-KR"/>
        </w:rPr>
        <w:t>th</w:t>
      </w:r>
      <w:r w:rsidRPr="00CD5865">
        <w:rPr>
          <w:rFonts w:cs="Arial"/>
          <w:lang w:val="en-US" w:eastAsia="ko-KR"/>
        </w:rPr>
        <w:t xml:space="preserve"> </w:t>
      </w:r>
      <w:r w:rsidRPr="00CD5865">
        <w:rPr>
          <w:rFonts w:cs="Arial"/>
          <w:lang w:val="en-US"/>
        </w:rPr>
        <w:t>transmitted SSB</w:t>
      </w:r>
      <w:r w:rsidRPr="00CD5865">
        <w:rPr>
          <w:rFonts w:cs="Arial"/>
          <w:lang w:val="en-US" w:eastAsia="ko-KR"/>
        </w:rPr>
        <w:t>.</w:t>
      </w:r>
      <w:r w:rsidR="00E17974">
        <w:rPr>
          <w:rFonts w:cs="Arial"/>
          <w:lang w:val="en-US" w:eastAsia="ko-KR"/>
        </w:rPr>
        <w:t xml:space="preserve"> This mapping is repeated </w:t>
      </w:r>
      <w:r w:rsidR="004E7835">
        <w:rPr>
          <w:rFonts w:cs="Arial"/>
          <w:lang w:val="en-US" w:eastAsia="ko-KR"/>
        </w:rPr>
        <w:t xml:space="preserve">(X-1) times as illustrated in </w:t>
      </w:r>
      <w:r w:rsidR="001A3125">
        <w:rPr>
          <w:rFonts w:cs="Arial"/>
          <w:lang w:val="en-US" w:eastAsia="ko-KR"/>
        </w:rPr>
        <w:fldChar w:fldCharType="begin"/>
      </w:r>
      <w:r w:rsidR="001A3125">
        <w:rPr>
          <w:rFonts w:cs="Arial"/>
          <w:lang w:val="en-US" w:eastAsia="ko-KR"/>
        </w:rPr>
        <w:instrText xml:space="preserve"> REF _Ref4668905 \h </w:instrText>
      </w:r>
      <w:r w:rsidR="001A3125">
        <w:rPr>
          <w:rFonts w:cs="Arial"/>
          <w:lang w:val="en-US" w:eastAsia="ko-KR"/>
        </w:rPr>
      </w:r>
      <w:r w:rsidR="001A3125">
        <w:rPr>
          <w:rFonts w:cs="Arial"/>
          <w:lang w:val="en-US" w:eastAsia="ko-KR"/>
        </w:rPr>
        <w:fldChar w:fldCharType="separate"/>
      </w:r>
      <w:r w:rsidR="001A3125">
        <w:t xml:space="preserve">Figure </w:t>
      </w:r>
      <w:r w:rsidR="001A3125">
        <w:rPr>
          <w:noProof/>
        </w:rPr>
        <w:t>2</w:t>
      </w:r>
      <w:r w:rsidR="001A3125">
        <w:rPr>
          <w:rFonts w:cs="Arial"/>
          <w:lang w:val="en-US" w:eastAsia="ko-KR"/>
        </w:rPr>
        <w:fldChar w:fldCharType="end"/>
      </w:r>
      <w:r w:rsidR="00194900">
        <w:rPr>
          <w:rFonts w:cs="Arial"/>
          <w:lang w:val="en-US" w:eastAsia="ko-KR"/>
        </w:rPr>
        <w:t xml:space="preserve"> for an extension factor of X=2</w:t>
      </w:r>
      <w:r w:rsidR="002D32D7">
        <w:rPr>
          <w:rFonts w:cs="Arial"/>
          <w:lang w:val="en-US" w:eastAsia="ko-KR"/>
        </w:rPr>
        <w:t>, i.e. one additional set</w:t>
      </w:r>
      <w:r w:rsidR="001A3125">
        <w:rPr>
          <w:rFonts w:cs="Arial"/>
          <w:lang w:val="en-US" w:eastAsia="ko-KR"/>
        </w:rPr>
        <w:t>.</w:t>
      </w:r>
    </w:p>
    <w:p w14:paraId="59994934" w14:textId="610637D3" w:rsidR="004E7835" w:rsidRDefault="00593A23" w:rsidP="00666317">
      <w:pPr>
        <w:jc w:val="center"/>
        <w:rPr>
          <w:rFonts w:cs="Arial"/>
          <w:lang w:val="en-US"/>
        </w:rPr>
      </w:pPr>
      <w:r>
        <w:rPr>
          <w:rFonts w:cs="Arial"/>
          <w:noProof/>
          <w:lang w:val="en-US"/>
        </w:rPr>
        <w:drawing>
          <wp:inline distT="0" distB="0" distL="0" distR="0" wp14:anchorId="0B529EED" wp14:editId="0DAE6C03">
            <wp:extent cx="5985933" cy="1467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0379" cy="1480657"/>
                    </a:xfrm>
                    <a:prstGeom prst="rect">
                      <a:avLst/>
                    </a:prstGeom>
                    <a:noFill/>
                  </pic:spPr>
                </pic:pic>
              </a:graphicData>
            </a:graphic>
          </wp:inline>
        </w:drawing>
      </w:r>
    </w:p>
    <w:p w14:paraId="16E52452" w14:textId="64C81BA9" w:rsidR="00B00920" w:rsidRDefault="00666317" w:rsidP="00B00920">
      <w:pPr>
        <w:pStyle w:val="Caption"/>
      </w:pPr>
      <w:bookmarkStart w:id="10" w:name="_Ref4668905"/>
      <w:r>
        <w:t xml:space="preserve">Figure </w:t>
      </w:r>
      <w:r w:rsidR="00427BCD">
        <w:rPr>
          <w:noProof/>
        </w:rPr>
        <w:fldChar w:fldCharType="begin"/>
      </w:r>
      <w:r w:rsidR="00427BCD">
        <w:rPr>
          <w:noProof/>
        </w:rPr>
        <w:instrText xml:space="preserve"> SEQ Figure \* ARABIC </w:instrText>
      </w:r>
      <w:r w:rsidR="00427BCD">
        <w:rPr>
          <w:noProof/>
        </w:rPr>
        <w:fldChar w:fldCharType="separate"/>
      </w:r>
      <w:r>
        <w:rPr>
          <w:noProof/>
        </w:rPr>
        <w:t>2</w:t>
      </w:r>
      <w:r w:rsidR="00427BCD">
        <w:rPr>
          <w:noProof/>
        </w:rPr>
        <w:fldChar w:fldCharType="end"/>
      </w:r>
      <w:bookmarkEnd w:id="10"/>
      <w:r>
        <w:t>: Extension per beam sweep</w:t>
      </w:r>
    </w:p>
    <w:p w14:paraId="0B88DCCA" w14:textId="6F6F57EA" w:rsidR="00B00920" w:rsidRPr="00FF5F6F" w:rsidRDefault="00C5133C" w:rsidP="00B00920">
      <w:pPr>
        <w:rPr>
          <w:rFonts w:cs="Arial"/>
          <w:lang w:val="en-US"/>
        </w:rPr>
      </w:pPr>
      <w:r>
        <w:rPr>
          <w:lang w:eastAsia="en-GB"/>
        </w:rPr>
        <w:t xml:space="preserve">Depending on the PDCCH </w:t>
      </w:r>
      <w:r w:rsidR="00B121EC">
        <w:rPr>
          <w:lang w:eastAsia="en-GB"/>
        </w:rPr>
        <w:t xml:space="preserve">configuration, there may be gaps between the PDCCH monitoring occasions, which is not illustrated in the figure. </w:t>
      </w:r>
      <w:r w:rsidR="0053317E">
        <w:rPr>
          <w:lang w:eastAsia="en-GB"/>
        </w:rPr>
        <w:t xml:space="preserve">So in principle, some beam transmissions with the </w:t>
      </w:r>
      <w:r w:rsidR="00194900">
        <w:rPr>
          <w:lang w:eastAsia="en-GB"/>
        </w:rPr>
        <w:t xml:space="preserve">set “S” may in principle fail, such that </w:t>
      </w:r>
      <w:r w:rsidR="009A27D0">
        <w:rPr>
          <w:lang w:eastAsia="en-GB"/>
        </w:rPr>
        <w:t xml:space="preserve">some PMOs within the set may be skipped. </w:t>
      </w:r>
      <w:r w:rsidR="00A4609D">
        <w:rPr>
          <w:rFonts w:cs="Arial"/>
          <w:lang w:val="en-US"/>
        </w:rPr>
        <w:t xml:space="preserve"> </w:t>
      </w:r>
      <w:r w:rsidR="00B00920" w:rsidRPr="00FF5F6F">
        <w:rPr>
          <w:rFonts w:cs="Arial"/>
          <w:lang w:val="en-US"/>
        </w:rPr>
        <w:t xml:space="preserve">This principle preserves predictable </w:t>
      </w:r>
      <w:r w:rsidR="009A27D0">
        <w:rPr>
          <w:rFonts w:cs="Arial"/>
          <w:lang w:val="en-US"/>
        </w:rPr>
        <w:t>PMO</w:t>
      </w:r>
      <w:r w:rsidR="009A27D0" w:rsidRPr="00FF5F6F">
        <w:rPr>
          <w:rFonts w:cs="Arial"/>
          <w:lang w:val="en-US"/>
        </w:rPr>
        <w:t xml:space="preserve"> </w:t>
      </w:r>
      <w:r w:rsidR="00B00920" w:rsidRPr="00FF5F6F">
        <w:rPr>
          <w:rFonts w:cs="Arial"/>
          <w:lang w:val="en-US"/>
        </w:rPr>
        <w:t xml:space="preserve">to beam mapping, but makes suboptimal use of the configured </w:t>
      </w:r>
      <w:r w:rsidR="00A4609D">
        <w:rPr>
          <w:rFonts w:cs="Arial"/>
          <w:lang w:val="en-US"/>
        </w:rPr>
        <w:t>PMOs</w:t>
      </w:r>
      <w:r w:rsidR="00864599">
        <w:rPr>
          <w:rFonts w:cs="Arial"/>
          <w:lang w:val="en-US"/>
        </w:rPr>
        <w:t>.</w:t>
      </w:r>
    </w:p>
    <w:p w14:paraId="249B202D" w14:textId="363617E8" w:rsidR="0067364B" w:rsidRPr="00FF5F6F" w:rsidRDefault="0067364B" w:rsidP="009568BC">
      <w:pPr>
        <w:rPr>
          <w:rFonts w:cs="Arial"/>
          <w:lang w:val="en-US"/>
        </w:rPr>
      </w:pPr>
      <w:r w:rsidRPr="00FF5F6F">
        <w:rPr>
          <w:rFonts w:cs="Arial"/>
          <w:lang w:val="en-US"/>
        </w:rPr>
        <w:t xml:space="preserve">If the </w:t>
      </w:r>
      <w:r w:rsidR="00571107">
        <w:rPr>
          <w:rFonts w:cs="Arial"/>
          <w:lang w:val="en-US"/>
        </w:rPr>
        <w:t>PMOs</w:t>
      </w:r>
      <w:r w:rsidR="00571107" w:rsidRPr="00FF5F6F">
        <w:rPr>
          <w:rFonts w:cs="Arial"/>
          <w:lang w:val="en-US"/>
        </w:rPr>
        <w:t xml:space="preserve"> </w:t>
      </w:r>
      <w:r w:rsidRPr="00FF5F6F">
        <w:rPr>
          <w:rFonts w:cs="Arial"/>
          <w:lang w:val="en-US"/>
        </w:rPr>
        <w:t xml:space="preserve">are configured dense enough the gNB </w:t>
      </w:r>
      <w:r w:rsidR="00223388">
        <w:rPr>
          <w:rFonts w:cs="Arial"/>
          <w:lang w:val="en-US"/>
        </w:rPr>
        <w:t>may</w:t>
      </w:r>
      <w:r w:rsidR="00F5120E">
        <w:rPr>
          <w:rFonts w:cs="Arial"/>
          <w:lang w:val="en-US"/>
        </w:rPr>
        <w:t xml:space="preserve"> </w:t>
      </w:r>
      <w:r w:rsidRPr="00FF5F6F">
        <w:rPr>
          <w:rFonts w:cs="Arial"/>
          <w:lang w:val="en-US"/>
        </w:rPr>
        <w:t>conclude the entire beam sweep following a single successful CCA</w:t>
      </w:r>
      <w:r w:rsidR="00123C32" w:rsidRPr="00FF5F6F">
        <w:rPr>
          <w:rFonts w:cs="Arial"/>
          <w:lang w:val="en-US"/>
        </w:rPr>
        <w:t>.</w:t>
      </w:r>
      <w:r w:rsidR="00F5120E">
        <w:rPr>
          <w:rFonts w:cs="Arial"/>
          <w:lang w:val="en-US"/>
        </w:rPr>
        <w:t xml:space="preserve"> Thus, PMOs are not unnecessarily skipped.</w:t>
      </w:r>
      <w:r w:rsidR="00BB5242">
        <w:rPr>
          <w:rFonts w:cs="Arial"/>
          <w:lang w:val="en-US"/>
        </w:rPr>
        <w:t xml:space="preserve"> Depending on </w:t>
      </w:r>
      <w:r w:rsidR="00035544">
        <w:rPr>
          <w:rFonts w:cs="Arial"/>
          <w:lang w:val="en-US"/>
        </w:rPr>
        <w:t xml:space="preserve">CCA success, the transmission does not necessarily start at the beginning of a beam sweep, but may </w:t>
      </w:r>
      <w:r w:rsidR="00DC0A4C">
        <w:rPr>
          <w:rFonts w:cs="Arial"/>
          <w:lang w:val="en-US"/>
        </w:rPr>
        <w:t>start at position k</w:t>
      </w:r>
      <w:r w:rsidR="00706B18">
        <w:rPr>
          <w:rFonts w:cs="Arial"/>
          <w:lang w:val="en-US"/>
        </w:rPr>
        <w:t xml:space="preserve"> in set x=0, and end at position (k-1) within set x=1</w:t>
      </w:r>
      <w:r w:rsidR="000639E2">
        <w:rPr>
          <w:rFonts w:cs="Arial"/>
          <w:lang w:val="en-US"/>
        </w:rPr>
        <w:t xml:space="preserve"> as illustrated in the right part of </w:t>
      </w:r>
      <w:r w:rsidR="000639E2">
        <w:rPr>
          <w:rFonts w:cs="Arial"/>
          <w:lang w:val="en-US"/>
        </w:rPr>
        <w:fldChar w:fldCharType="begin"/>
      </w:r>
      <w:r w:rsidR="000639E2">
        <w:rPr>
          <w:rFonts w:cs="Arial"/>
          <w:lang w:val="en-US"/>
        </w:rPr>
        <w:instrText xml:space="preserve"> REF _Ref4668905 \h </w:instrText>
      </w:r>
      <w:r w:rsidR="000639E2">
        <w:rPr>
          <w:rFonts w:cs="Arial"/>
          <w:lang w:val="en-US"/>
        </w:rPr>
      </w:r>
      <w:r w:rsidR="000639E2">
        <w:rPr>
          <w:rFonts w:cs="Arial"/>
          <w:lang w:val="en-US"/>
        </w:rPr>
        <w:fldChar w:fldCharType="separate"/>
      </w:r>
      <w:r w:rsidR="000639E2">
        <w:t xml:space="preserve">Figure </w:t>
      </w:r>
      <w:r w:rsidR="000639E2">
        <w:rPr>
          <w:noProof/>
        </w:rPr>
        <w:t>2</w:t>
      </w:r>
      <w:r w:rsidR="000639E2">
        <w:rPr>
          <w:rFonts w:cs="Arial"/>
          <w:lang w:val="en-US"/>
        </w:rPr>
        <w:fldChar w:fldCharType="end"/>
      </w:r>
      <w:r w:rsidR="00706B18">
        <w:rPr>
          <w:rFonts w:cs="Arial"/>
          <w:lang w:val="en-US"/>
        </w:rPr>
        <w:t>.</w:t>
      </w:r>
    </w:p>
    <w:p w14:paraId="76F3C572" w14:textId="56E605CD" w:rsidR="008D46F9" w:rsidRPr="00FF5F6F" w:rsidRDefault="008D46F9" w:rsidP="002F09C5">
      <w:pPr>
        <w:pStyle w:val="Observation"/>
        <w:rPr>
          <w:lang w:val="en-US"/>
        </w:rPr>
      </w:pPr>
      <w:bookmarkStart w:id="11" w:name="_Toc4708120"/>
      <w:bookmarkStart w:id="12" w:name="_Toc4708184"/>
      <w:bookmarkStart w:id="13" w:name="_Toc4710807"/>
      <w:r w:rsidRPr="00FF5F6F">
        <w:rPr>
          <w:lang w:val="en-US"/>
        </w:rPr>
        <w:t xml:space="preserve">If </w:t>
      </w:r>
      <w:r w:rsidR="00310439">
        <w:rPr>
          <w:lang w:val="en-US"/>
        </w:rPr>
        <w:t>a PO consists of X</w:t>
      </w:r>
      <w:r w:rsidRPr="00FF5F6F">
        <w:rPr>
          <w:lang w:val="en-US"/>
        </w:rPr>
        <w:t xml:space="preserve"> sets </w:t>
      </w:r>
      <w:r w:rsidR="00666134">
        <w:rPr>
          <w:lang w:val="en-US"/>
        </w:rPr>
        <w:t xml:space="preserve">of PMOs with </w:t>
      </w:r>
      <w:r w:rsidR="005711F4">
        <w:rPr>
          <w:lang w:val="en-US"/>
        </w:rPr>
        <w:t>unambiguous mappi</w:t>
      </w:r>
      <w:r w:rsidR="00CA1791">
        <w:rPr>
          <w:lang w:val="en-US"/>
        </w:rPr>
        <w:t>ng</w:t>
      </w:r>
      <w:r w:rsidRPr="00FF5F6F">
        <w:rPr>
          <w:lang w:val="en-US"/>
        </w:rPr>
        <w:t xml:space="preserve"> beam sweeps and the </w:t>
      </w:r>
      <w:r w:rsidR="00CA1791">
        <w:rPr>
          <w:lang w:val="en-US"/>
        </w:rPr>
        <w:t>PMOs</w:t>
      </w:r>
      <w:r w:rsidR="00CA1791" w:rsidRPr="00FF5F6F">
        <w:rPr>
          <w:lang w:val="en-US"/>
        </w:rPr>
        <w:t xml:space="preserve"> </w:t>
      </w:r>
      <w:r w:rsidRPr="00FF5F6F">
        <w:rPr>
          <w:lang w:val="en-US"/>
        </w:rPr>
        <w:t xml:space="preserve">are configured dense enough to allow transmission in multiple sequential </w:t>
      </w:r>
      <w:r w:rsidR="00B8748F">
        <w:rPr>
          <w:lang w:val="en-US"/>
        </w:rPr>
        <w:t>PMOs</w:t>
      </w:r>
      <w:r w:rsidR="00B8748F" w:rsidRPr="00FF5F6F">
        <w:rPr>
          <w:lang w:val="en-US"/>
        </w:rPr>
        <w:t xml:space="preserve"> </w:t>
      </w:r>
      <w:r w:rsidR="00B400C6" w:rsidRPr="00FF5F6F">
        <w:rPr>
          <w:lang w:val="en-US"/>
        </w:rPr>
        <w:t>(even across sets)</w:t>
      </w:r>
      <w:r w:rsidRPr="00FF5F6F">
        <w:rPr>
          <w:lang w:val="en-US"/>
        </w:rPr>
        <w:t xml:space="preserve"> after a single successful CCA</w:t>
      </w:r>
      <w:r w:rsidRPr="00FF5F6F" w:rsidDel="008362DF">
        <w:rPr>
          <w:lang w:val="en-US"/>
        </w:rPr>
        <w:t xml:space="preserve">, </w:t>
      </w:r>
      <w:r w:rsidR="008362DF">
        <w:rPr>
          <w:lang w:val="en-US"/>
        </w:rPr>
        <w:t>PMOs can be efficiently utilized</w:t>
      </w:r>
      <w:r w:rsidRPr="00FF5F6F">
        <w:rPr>
          <w:rFonts w:cs="Arial"/>
          <w:lang w:val="en-US"/>
        </w:rPr>
        <w:t>.</w:t>
      </w:r>
      <w:bookmarkEnd w:id="11"/>
      <w:bookmarkEnd w:id="12"/>
      <w:bookmarkEnd w:id="13"/>
    </w:p>
    <w:p w14:paraId="24B8E316" w14:textId="5EA39BB8" w:rsidR="002F09C5" w:rsidRPr="00FF5F6F" w:rsidRDefault="00027CA3" w:rsidP="00FA3B5F">
      <w:pPr>
        <w:rPr>
          <w:rFonts w:cs="Arial"/>
          <w:lang w:val="en-US"/>
        </w:rPr>
      </w:pPr>
      <w:bookmarkStart w:id="14" w:name="_Toc513731599"/>
      <w:bookmarkStart w:id="15" w:name="_Toc513731615"/>
      <w:bookmarkStart w:id="16" w:name="_Toc513731669"/>
      <w:bookmarkStart w:id="17" w:name="_Toc513731721"/>
      <w:bookmarkStart w:id="18" w:name="_Toc513738284"/>
      <w:bookmarkStart w:id="19" w:name="_Toc513738298"/>
      <w:r w:rsidRPr="00FF5F6F">
        <w:rPr>
          <w:rFonts w:cs="Arial"/>
          <w:lang w:val="en-US"/>
        </w:rPr>
        <w:t xml:space="preserve">RAN2 should </w:t>
      </w:r>
      <w:r w:rsidR="00941F30" w:rsidRPr="00FF5F6F">
        <w:rPr>
          <w:rFonts w:cs="Arial"/>
          <w:lang w:val="en-US"/>
        </w:rPr>
        <w:t xml:space="preserve">adopt </w:t>
      </w:r>
      <w:r w:rsidR="001D6ACE" w:rsidRPr="00FF5F6F">
        <w:rPr>
          <w:rFonts w:cs="Arial"/>
          <w:lang w:val="en-US"/>
        </w:rPr>
        <w:t xml:space="preserve">the last of the above principles, i.e. </w:t>
      </w:r>
      <w:r w:rsidR="00773C6E" w:rsidRPr="00FF5F6F">
        <w:rPr>
          <w:rFonts w:cs="Arial"/>
          <w:lang w:val="en-US"/>
        </w:rPr>
        <w:t>configuring</w:t>
      </w:r>
      <w:r w:rsidR="007360C0" w:rsidRPr="00FF5F6F">
        <w:rPr>
          <w:rFonts w:cs="Arial"/>
          <w:lang w:val="en-US"/>
        </w:rPr>
        <w:t xml:space="preserve"> a PO to consist of</w:t>
      </w:r>
      <w:r w:rsidR="00773C6E" w:rsidRPr="00FF5F6F">
        <w:rPr>
          <w:rFonts w:cs="Arial"/>
          <w:lang w:val="en-US"/>
        </w:rPr>
        <w:t xml:space="preserve"> </w:t>
      </w:r>
      <w:r w:rsidR="007A567A">
        <w:rPr>
          <w:rFonts w:cs="Arial"/>
          <w:lang w:val="en-US"/>
        </w:rPr>
        <w:t>X</w:t>
      </w:r>
      <w:r w:rsidR="00FE71FF" w:rsidRPr="00FF5F6F">
        <w:rPr>
          <w:rFonts w:cs="Arial"/>
          <w:lang w:val="en-US"/>
        </w:rPr>
        <w:t xml:space="preserve"> </w:t>
      </w:r>
      <w:r w:rsidR="00773C6E" w:rsidRPr="00FF5F6F">
        <w:rPr>
          <w:rFonts w:cs="Arial"/>
          <w:lang w:val="en-US"/>
        </w:rPr>
        <w:t xml:space="preserve">sets of </w:t>
      </w:r>
      <w:r w:rsidR="00736413" w:rsidRPr="00FF5F6F">
        <w:rPr>
          <w:rFonts w:cs="Arial"/>
          <w:lang w:val="en-US"/>
        </w:rPr>
        <w:t>PDCCH monitoring occasions</w:t>
      </w:r>
      <w:r w:rsidR="007A567A">
        <w:rPr>
          <w:rFonts w:cs="Arial"/>
          <w:lang w:val="en-US"/>
        </w:rPr>
        <w:t xml:space="preserve"> (PMOs)</w:t>
      </w:r>
      <w:r w:rsidR="00736413" w:rsidRPr="00FF5F6F">
        <w:rPr>
          <w:rFonts w:cs="Arial"/>
          <w:lang w:val="en-US"/>
        </w:rPr>
        <w:t xml:space="preserve"> with unambiguous</w:t>
      </w:r>
      <w:r w:rsidR="001B7FF5" w:rsidRPr="00FF5F6F">
        <w:rPr>
          <w:rFonts w:cs="Arial"/>
          <w:lang w:val="en-US"/>
        </w:rPr>
        <w:t xml:space="preserve"> </w:t>
      </w:r>
      <w:r w:rsidR="00736413" w:rsidRPr="00FF5F6F">
        <w:rPr>
          <w:rFonts w:cs="Arial"/>
          <w:lang w:val="en-US"/>
        </w:rPr>
        <w:t>mapping to SSB</w:t>
      </w:r>
      <w:r w:rsidR="001B7FF5" w:rsidRPr="00FF5F6F">
        <w:rPr>
          <w:rFonts w:cs="Arial"/>
          <w:lang w:val="en-US"/>
        </w:rPr>
        <w:t xml:space="preserve"> beams</w:t>
      </w:r>
      <w:r w:rsidR="002B0FD9">
        <w:rPr>
          <w:rFonts w:cs="Arial"/>
          <w:lang w:val="en-US"/>
        </w:rPr>
        <w:t>, with X&gt;1</w:t>
      </w:r>
      <w:r w:rsidR="00AA1D18" w:rsidRPr="00FF5F6F">
        <w:rPr>
          <w:rFonts w:cs="Arial"/>
          <w:lang w:val="en-US"/>
        </w:rPr>
        <w:t xml:space="preserve"> compensat</w:t>
      </w:r>
      <w:r w:rsidR="002B0FD9">
        <w:rPr>
          <w:rFonts w:cs="Arial"/>
          <w:lang w:val="en-US"/>
        </w:rPr>
        <w:t>ing</w:t>
      </w:r>
      <w:r w:rsidR="00AA1D18" w:rsidRPr="00FF5F6F">
        <w:rPr>
          <w:rFonts w:cs="Arial"/>
          <w:lang w:val="en-US"/>
        </w:rPr>
        <w:t xml:space="preserve"> for </w:t>
      </w:r>
      <w:r w:rsidR="00E20AA1" w:rsidRPr="00FF5F6F">
        <w:rPr>
          <w:rFonts w:cs="Arial"/>
          <w:lang w:val="en-US"/>
        </w:rPr>
        <w:t>CCA failures.</w:t>
      </w:r>
      <w:r w:rsidR="00736413" w:rsidRPr="00FF5F6F">
        <w:rPr>
          <w:rFonts w:cs="Arial"/>
          <w:lang w:val="en-US"/>
        </w:rPr>
        <w:t xml:space="preserve"> </w:t>
      </w:r>
      <w:r w:rsidR="00E20AA1" w:rsidRPr="00FF5F6F">
        <w:rPr>
          <w:rFonts w:cs="Arial"/>
          <w:lang w:val="en-US"/>
        </w:rPr>
        <w:t xml:space="preserve">Dense configuration of PDCCH monitoring occasions </w:t>
      </w:r>
      <w:r w:rsidR="002B0FD9">
        <w:rPr>
          <w:rFonts w:cs="Arial"/>
          <w:lang w:val="en-US"/>
        </w:rPr>
        <w:t xml:space="preserve">(PMOs) </w:t>
      </w:r>
      <w:r w:rsidR="00C85E65" w:rsidRPr="00FF5F6F">
        <w:rPr>
          <w:rFonts w:cs="Arial"/>
          <w:lang w:val="en-US"/>
        </w:rPr>
        <w:t xml:space="preserve">would allow complete beam sweep transmission after a single </w:t>
      </w:r>
      <w:r w:rsidR="00DB7B82" w:rsidRPr="00FF5F6F">
        <w:rPr>
          <w:rFonts w:cs="Arial"/>
          <w:lang w:val="en-US"/>
        </w:rPr>
        <w:t xml:space="preserve">successful </w:t>
      </w:r>
      <w:r w:rsidR="00C85E65" w:rsidRPr="00FF5F6F">
        <w:rPr>
          <w:rFonts w:cs="Arial"/>
          <w:lang w:val="en-US"/>
        </w:rPr>
        <w:t>CCA</w:t>
      </w:r>
      <w:bookmarkEnd w:id="14"/>
      <w:bookmarkEnd w:id="15"/>
      <w:bookmarkEnd w:id="16"/>
      <w:bookmarkEnd w:id="17"/>
      <w:bookmarkEnd w:id="18"/>
      <w:bookmarkEnd w:id="19"/>
      <w:r w:rsidRPr="00FF5F6F">
        <w:rPr>
          <w:rFonts w:cs="Arial"/>
          <w:lang w:val="en-US"/>
        </w:rPr>
        <w:t>.</w:t>
      </w:r>
    </w:p>
    <w:p w14:paraId="34C2499A" w14:textId="6ED1D62B" w:rsidR="007E4B93" w:rsidRDefault="00FA3B5F" w:rsidP="002F09C5">
      <w:pPr>
        <w:pStyle w:val="Proposal"/>
        <w:rPr>
          <w:lang w:val="en-US"/>
        </w:rPr>
      </w:pPr>
      <w:bookmarkStart w:id="20" w:name="_Toc4675060"/>
      <w:bookmarkStart w:id="21" w:name="_Toc4708122"/>
      <w:bookmarkStart w:id="22" w:name="_Toc4708185"/>
      <w:bookmarkStart w:id="23" w:name="_Toc4710808"/>
      <w:r w:rsidRPr="00FF5F6F">
        <w:rPr>
          <w:lang w:val="en-US"/>
        </w:rPr>
        <w:t>A PO consist of</w:t>
      </w:r>
      <w:r w:rsidRPr="00FF5F6F" w:rsidDel="00D73055">
        <w:rPr>
          <w:lang w:val="en-US"/>
        </w:rPr>
        <w:t xml:space="preserve"> </w:t>
      </w:r>
      <w:r w:rsidR="00D73055">
        <w:rPr>
          <w:lang w:val="en-US"/>
        </w:rPr>
        <w:t>X</w:t>
      </w:r>
      <w:r w:rsidRPr="00FF5F6F">
        <w:rPr>
          <w:lang w:val="en-US"/>
        </w:rPr>
        <w:t xml:space="preserve"> sets of PDCCH monitoring occasions with unambiguous mapping to SSB beams.</w:t>
      </w:r>
      <w:bookmarkEnd w:id="20"/>
      <w:bookmarkEnd w:id="21"/>
      <w:bookmarkEnd w:id="22"/>
      <w:bookmarkEnd w:id="23"/>
      <w:r w:rsidRPr="00FF5F6F">
        <w:rPr>
          <w:lang w:val="en-US"/>
        </w:rPr>
        <w:t xml:space="preserve"> </w:t>
      </w:r>
    </w:p>
    <w:p w14:paraId="227E02D1" w14:textId="2C49E877" w:rsidR="001E6A46" w:rsidRPr="00CC0072" w:rsidRDefault="001767A4" w:rsidP="001E6A46">
      <w:pPr>
        <w:pStyle w:val="Heading3"/>
        <w:rPr>
          <w:lang w:val="en-US"/>
        </w:rPr>
      </w:pPr>
      <w:r w:rsidRPr="00A90E75">
        <w:rPr>
          <w:lang w:val="en-US"/>
        </w:rPr>
        <w:t xml:space="preserve">Whether </w:t>
      </w:r>
      <w:r w:rsidR="001E6A46" w:rsidRPr="00A90E75">
        <w:rPr>
          <w:lang w:val="en-US"/>
        </w:rPr>
        <w:t xml:space="preserve">additional </w:t>
      </w:r>
      <w:r w:rsidRPr="00A90E75">
        <w:rPr>
          <w:lang w:val="en-US"/>
        </w:rPr>
        <w:t>PMOs should be added before the</w:t>
      </w:r>
      <w:r w:rsidR="001E6A46" w:rsidRPr="00A90E75">
        <w:rPr>
          <w:lang w:val="en-US"/>
        </w:rPr>
        <w:t xml:space="preserve"> calculated PO</w:t>
      </w:r>
      <w:r w:rsidR="001E6A46" w:rsidRPr="00CC0072">
        <w:rPr>
          <w:lang w:val="en-US"/>
        </w:rPr>
        <w:t xml:space="preserve"> </w:t>
      </w:r>
    </w:p>
    <w:p w14:paraId="7A851192" w14:textId="31345AC0" w:rsidR="001E6A46" w:rsidRPr="004E19BA" w:rsidRDefault="00CC0072" w:rsidP="00283DE6">
      <w:pPr>
        <w:pStyle w:val="Doc-text2"/>
        <w:ind w:left="0" w:firstLine="0"/>
        <w:rPr>
          <w:lang w:val="en-US"/>
        </w:rPr>
      </w:pPr>
      <w:r>
        <w:rPr>
          <w:lang w:val="en-US"/>
        </w:rPr>
        <w:t xml:space="preserve">In </w:t>
      </w:r>
      <w:r>
        <w:rPr>
          <w:lang w:val="en-US"/>
        </w:rPr>
        <w:fldChar w:fldCharType="begin"/>
      </w:r>
      <w:r>
        <w:rPr>
          <w:lang w:val="en-US"/>
        </w:rPr>
        <w:instrText xml:space="preserve"> REF _Ref4022913 \r \h </w:instrText>
      </w:r>
      <w:r>
        <w:rPr>
          <w:lang w:val="en-US"/>
        </w:rPr>
      </w:r>
      <w:r>
        <w:rPr>
          <w:lang w:val="en-US"/>
        </w:rPr>
        <w:fldChar w:fldCharType="separate"/>
      </w:r>
      <w:r>
        <w:rPr>
          <w:lang w:val="en-US"/>
        </w:rPr>
        <w:t>[2]</w:t>
      </w:r>
      <w:r>
        <w:rPr>
          <w:lang w:val="en-US"/>
        </w:rPr>
        <w:fldChar w:fldCharType="end"/>
      </w:r>
      <w:r>
        <w:rPr>
          <w:lang w:val="en-US"/>
        </w:rPr>
        <w:t>, it is FFS whether the addition</w:t>
      </w:r>
      <w:r w:rsidRPr="004E19BA">
        <w:rPr>
          <w:lang w:val="en-US"/>
        </w:rPr>
        <w:t xml:space="preserve">al PMOs can be added before the calculated PO. Given that we can use </w:t>
      </w:r>
      <w:r w:rsidR="001E6A46" w:rsidRPr="004E19BA">
        <w:rPr>
          <w:rFonts w:ascii="Times New Roman" w:hAnsi="Times New Roman"/>
          <w:i/>
          <w:lang w:val="en-US" w:eastAsia="en-US"/>
        </w:rPr>
        <w:t>firstPDCCH-MonitoringOccasionOfPO</w:t>
      </w:r>
      <w:r w:rsidRPr="004E19BA">
        <w:rPr>
          <w:lang w:val="en-US"/>
        </w:rPr>
        <w:t xml:space="preserve">, which allows flexible </w:t>
      </w:r>
      <w:r w:rsidR="004E19BA" w:rsidRPr="004E19BA">
        <w:rPr>
          <w:lang w:val="en-US"/>
        </w:rPr>
        <w:t xml:space="preserve">configuration of “PO start” relative to the PF, there is no obvious benefit defining a calculated PO, and then require the UE to monitor PDCCH occasions before the PO start. </w:t>
      </w:r>
    </w:p>
    <w:p w14:paraId="6E9C3F01" w14:textId="7B29E8E5" w:rsidR="00C22EE9" w:rsidRDefault="00C22EE9" w:rsidP="00283DE6">
      <w:pPr>
        <w:pStyle w:val="Doc-text2"/>
        <w:ind w:left="0" w:firstLine="0"/>
        <w:rPr>
          <w:lang w:val="en-US"/>
        </w:rPr>
      </w:pPr>
    </w:p>
    <w:p w14:paraId="11D889D0" w14:textId="1615EB5C" w:rsidR="00C22EE9" w:rsidRPr="0042333A" w:rsidRDefault="00C22EE9" w:rsidP="0042333A">
      <w:pPr>
        <w:pStyle w:val="Observation"/>
        <w:rPr>
          <w:lang w:val="en-US"/>
        </w:rPr>
      </w:pPr>
      <w:bookmarkStart w:id="24" w:name="_Toc4708121"/>
      <w:bookmarkStart w:id="25" w:name="_Toc4708186"/>
      <w:bookmarkStart w:id="26" w:name="_Toc4710809"/>
      <w:r>
        <w:rPr>
          <w:lang w:val="en-US"/>
        </w:rPr>
        <w:t>Starting PDCCH monitoring occasions at the beginning of the calculated PO as in legacy NR Rel-15 keeps UE behavior simple.</w:t>
      </w:r>
      <w:bookmarkEnd w:id="24"/>
      <w:bookmarkEnd w:id="25"/>
      <w:bookmarkEnd w:id="26"/>
    </w:p>
    <w:p w14:paraId="56B528BC" w14:textId="77777777" w:rsidR="00283DE6" w:rsidRDefault="00283DE6" w:rsidP="0042333A">
      <w:pPr>
        <w:pStyle w:val="Doc-text2"/>
        <w:ind w:left="0" w:firstLine="0"/>
      </w:pPr>
    </w:p>
    <w:p w14:paraId="75A9B95A" w14:textId="4309E786" w:rsidR="00283DE6" w:rsidRPr="00283DE6" w:rsidRDefault="00283DE6" w:rsidP="00283DE6">
      <w:pPr>
        <w:pStyle w:val="Proposal"/>
        <w:rPr>
          <w:lang w:val="en-US"/>
        </w:rPr>
      </w:pPr>
      <w:bookmarkStart w:id="27" w:name="_Toc4708123"/>
      <w:bookmarkStart w:id="28" w:name="_Toc4708187"/>
      <w:bookmarkStart w:id="29" w:name="_Toc4710810"/>
      <w:r>
        <w:rPr>
          <w:lang w:val="en-US"/>
        </w:rPr>
        <w:t>The NR Rel-15 PO calculation is reused, i.e. the legacy set starts according to legacy, and the additional beam sweeping set(s) occupy the subsequent PMOs</w:t>
      </w:r>
      <w:r w:rsidR="00E20292">
        <w:rPr>
          <w:lang w:val="en-US"/>
        </w:rPr>
        <w:t>.</w:t>
      </w:r>
      <w:bookmarkEnd w:id="27"/>
      <w:bookmarkEnd w:id="28"/>
      <w:bookmarkEnd w:id="29"/>
    </w:p>
    <w:p w14:paraId="4E5EDD95" w14:textId="32921B63" w:rsidR="001D7B60" w:rsidRDefault="0032564E" w:rsidP="005B44BB">
      <w:pPr>
        <w:pStyle w:val="Heading2"/>
        <w:rPr>
          <w:lang w:val="en-US"/>
        </w:rPr>
      </w:pPr>
      <w:r w:rsidRPr="0032564E">
        <w:rPr>
          <w:lang w:val="en-US"/>
        </w:rPr>
        <w:t>2.2</w:t>
      </w:r>
      <w:r w:rsidRPr="0032564E">
        <w:rPr>
          <w:lang w:val="en-US"/>
        </w:rPr>
        <w:tab/>
      </w:r>
      <w:r w:rsidR="0010248F">
        <w:rPr>
          <w:lang w:val="en-US"/>
        </w:rPr>
        <w:t xml:space="preserve">Dynamic extension vs. </w:t>
      </w:r>
      <w:r w:rsidR="00822AB7">
        <w:rPr>
          <w:lang w:val="en-US"/>
        </w:rPr>
        <w:t>dynamic termination</w:t>
      </w:r>
    </w:p>
    <w:p w14:paraId="2A3179A3" w14:textId="14B0E7CF" w:rsidR="00822AB7" w:rsidRDefault="00656E06" w:rsidP="00BD6CAE">
      <w:pPr>
        <w:rPr>
          <w:lang w:val="en-US"/>
        </w:rPr>
      </w:pPr>
      <w:r>
        <w:rPr>
          <w:lang w:val="en-US"/>
        </w:rPr>
        <w:t xml:space="preserve">In </w:t>
      </w:r>
      <w:r w:rsidR="00000108">
        <w:rPr>
          <w:lang w:val="en-US"/>
        </w:rPr>
        <w:fldChar w:fldCharType="begin"/>
      </w:r>
      <w:r w:rsidR="00000108">
        <w:rPr>
          <w:lang w:val="en-US"/>
        </w:rPr>
        <w:instrText xml:space="preserve"> REF _Ref4675374 \r \h </w:instrText>
      </w:r>
      <w:r w:rsidR="00000108">
        <w:rPr>
          <w:lang w:val="en-US"/>
        </w:rPr>
      </w:r>
      <w:r w:rsidR="00000108">
        <w:rPr>
          <w:lang w:val="en-US"/>
        </w:rPr>
        <w:fldChar w:fldCharType="separate"/>
      </w:r>
      <w:r w:rsidR="00000108">
        <w:rPr>
          <w:lang w:val="en-US"/>
        </w:rPr>
        <w:t>[4]</w:t>
      </w:r>
      <w:r w:rsidR="00000108">
        <w:rPr>
          <w:lang w:val="en-US"/>
        </w:rPr>
        <w:fldChar w:fldCharType="end"/>
      </w:r>
      <w:r w:rsidR="00000108">
        <w:rPr>
          <w:lang w:val="en-US"/>
        </w:rPr>
        <w:t xml:space="preserve">, it was proposed to </w:t>
      </w:r>
      <w:r w:rsidR="00000108" w:rsidRPr="00000108">
        <w:rPr>
          <w:lang w:val="en-US"/>
        </w:rPr>
        <w:t>configure</w:t>
      </w:r>
      <w:r w:rsidR="00000108">
        <w:rPr>
          <w:lang w:val="en-US"/>
        </w:rPr>
        <w:t xml:space="preserve"> the UE</w:t>
      </w:r>
      <w:r w:rsidR="00000108" w:rsidRPr="00000108">
        <w:rPr>
          <w:lang w:val="en-US"/>
        </w:rPr>
        <w:t xml:space="preserve"> with conditional POs that may be triggered to be active</w:t>
      </w:r>
      <w:r w:rsidR="00CE276B">
        <w:rPr>
          <w:lang w:val="en-US"/>
        </w:rPr>
        <w:t xml:space="preserve"> </w:t>
      </w:r>
      <w:r w:rsidR="00000108" w:rsidRPr="00000108">
        <w:rPr>
          <w:lang w:val="en-US"/>
        </w:rPr>
        <w:t>depending on the channel occupancy of the unlicensed channel.</w:t>
      </w:r>
      <w:r w:rsidR="00CE276B">
        <w:rPr>
          <w:lang w:val="en-US"/>
        </w:rPr>
        <w:t xml:space="preserve"> </w:t>
      </w:r>
      <w:r w:rsidR="00CE276B" w:rsidRPr="00CE276B">
        <w:rPr>
          <w:lang w:val="en-US"/>
        </w:rPr>
        <w:t>For example, in high occupancy, a UE may monitor multiple POs</w:t>
      </w:r>
      <w:r w:rsidR="00CE276B">
        <w:rPr>
          <w:lang w:val="en-US"/>
        </w:rPr>
        <w:t xml:space="preserve"> (or rather PMO), w</w:t>
      </w:r>
      <w:r w:rsidR="00CE276B" w:rsidRPr="00CE276B">
        <w:rPr>
          <w:lang w:val="en-US"/>
        </w:rPr>
        <w:t>hereas in low channel occupancy, the UE can monitor a single PO in a single PF</w:t>
      </w:r>
      <w:r w:rsidR="00CE276B">
        <w:rPr>
          <w:lang w:val="en-US"/>
        </w:rPr>
        <w:t xml:space="preserve"> (or rather PMO)</w:t>
      </w:r>
      <w:r w:rsidR="00CE276B" w:rsidRPr="00CE276B">
        <w:rPr>
          <w:lang w:val="en-US"/>
        </w:rPr>
        <w:t xml:space="preserve"> per DRX cycle.</w:t>
      </w:r>
      <w:r w:rsidR="00CE276B">
        <w:rPr>
          <w:lang w:val="en-US"/>
        </w:rPr>
        <w:t xml:space="preserve"> However, this kind of dynamic extension would require IDLE mode UEs to performance channel occupancy measurements. This increases UE complexity by introducing dependencies in the UE on channel occupancy measurements that may be different at various locations and different from gNB point-of-view, reducing the predictability on UE behavior.</w:t>
      </w:r>
    </w:p>
    <w:p w14:paraId="6E03C775" w14:textId="4F4818D6" w:rsidR="00E20292" w:rsidRPr="00283DE6" w:rsidRDefault="00E20292" w:rsidP="00E20292">
      <w:pPr>
        <w:pStyle w:val="Proposal"/>
        <w:rPr>
          <w:lang w:val="en-US"/>
        </w:rPr>
      </w:pPr>
      <w:bookmarkStart w:id="30" w:name="_Toc4708124"/>
      <w:bookmarkStart w:id="31" w:name="_Toc4708188"/>
      <w:bookmarkStart w:id="32" w:name="_Toc4710811"/>
      <w:r>
        <w:rPr>
          <w:lang w:val="en-US"/>
        </w:rPr>
        <w:t>Dynamic extension of the PO based on channel occupancy is not supported.</w:t>
      </w:r>
      <w:bookmarkEnd w:id="30"/>
      <w:bookmarkEnd w:id="31"/>
      <w:bookmarkEnd w:id="32"/>
    </w:p>
    <w:p w14:paraId="715A7E57" w14:textId="66C34555" w:rsidR="001547D8" w:rsidRDefault="00000108" w:rsidP="00F7071C">
      <w:pPr>
        <w:pStyle w:val="Doc-text2"/>
        <w:tabs>
          <w:tab w:val="clear" w:pos="1622"/>
        </w:tabs>
        <w:ind w:left="0" w:hanging="2"/>
      </w:pPr>
      <w:r>
        <w:t xml:space="preserve">In </w:t>
      </w:r>
      <w:r>
        <w:rPr>
          <w:b/>
          <w:bCs/>
          <w:lang w:eastAsia="zh-CN"/>
        </w:rPr>
        <w:fldChar w:fldCharType="begin"/>
      </w:r>
      <w:r>
        <w:instrText xml:space="preserve"> REF _Ref4675390 \r \h </w:instrText>
      </w:r>
      <w:r w:rsidR="00F5193E">
        <w:instrText xml:space="preserve"> \* MERGEFORMAT </w:instrText>
      </w:r>
      <w:r>
        <w:rPr>
          <w:b/>
          <w:bCs/>
          <w:lang w:eastAsia="zh-CN"/>
        </w:rPr>
      </w:r>
      <w:r>
        <w:rPr>
          <w:b/>
          <w:bCs/>
          <w:lang w:eastAsia="zh-CN"/>
        </w:rPr>
        <w:fldChar w:fldCharType="separate"/>
      </w:r>
      <w:r>
        <w:t>[5]</w:t>
      </w:r>
      <w:r>
        <w:rPr>
          <w:b/>
          <w:bCs/>
          <w:lang w:eastAsia="zh-CN"/>
        </w:rPr>
        <w:fldChar w:fldCharType="end"/>
      </w:r>
      <w:r w:rsidR="00E20292">
        <w:t>, it was proposed that t</w:t>
      </w:r>
      <w:r w:rsidR="00E20292" w:rsidRPr="00E20292">
        <w:t>he UE can stop the paging monitoring within the paging window if a paging message is received by the UE and the paging message does not include the UE ID.</w:t>
      </w:r>
      <w:r w:rsidR="00E20292">
        <w:t xml:space="preserve"> In principle, this is according to legacy behavior</w:t>
      </w:r>
      <w:r w:rsidR="003D3ABA">
        <w:t xml:space="preserve"> and makes sense to allow the UE to go back to DRX mode when the paging procedure is finished</w:t>
      </w:r>
      <w:r w:rsidR="00E20292">
        <w:t>. On the other hand, the configuration of a high number of beams S and high extension factor X could require that the gNB reduces the number of paging occasions and thus reducing the paging capacity. Therefore, if the gNB needs multiple paging messages to address all UEs with the same calculated PO, it may be necessary to require the UE to continue PDCCH monitoring for paging</w:t>
      </w:r>
      <w:r w:rsidR="0012090A" w:rsidRPr="002F0925">
        <w:rPr>
          <w:lang w:val="en-US"/>
        </w:rPr>
        <w:t xml:space="preserve">, </w:t>
      </w:r>
      <w:r w:rsidR="0012090A">
        <w:rPr>
          <w:lang w:val="en-US"/>
        </w:rPr>
        <w:t>but that can wait until later releases</w:t>
      </w:r>
      <w:r w:rsidR="00E20292">
        <w:t>.</w:t>
      </w:r>
    </w:p>
    <w:p w14:paraId="6C47BF18" w14:textId="77777777" w:rsidR="005D1817" w:rsidRDefault="005D1817" w:rsidP="00F7071C">
      <w:pPr>
        <w:pStyle w:val="Doc-text2"/>
        <w:tabs>
          <w:tab w:val="clear" w:pos="1622"/>
        </w:tabs>
        <w:ind w:left="0" w:hanging="2"/>
      </w:pPr>
    </w:p>
    <w:p w14:paraId="73596713" w14:textId="409F6902" w:rsidR="00E20292" w:rsidRPr="00283DE6" w:rsidRDefault="00E60993" w:rsidP="00E20292">
      <w:pPr>
        <w:pStyle w:val="Proposal"/>
        <w:rPr>
          <w:lang w:val="en-US"/>
        </w:rPr>
      </w:pPr>
      <w:bookmarkStart w:id="33" w:name="_Toc4708125"/>
      <w:bookmarkStart w:id="34" w:name="_Toc4708189"/>
      <w:bookmarkStart w:id="35" w:name="_Toc4710812"/>
      <w:r>
        <w:rPr>
          <w:lang w:val="en-US"/>
        </w:rPr>
        <w:t>If the UE detects a page within its paging window, it may stop monitoring further PMOs</w:t>
      </w:r>
      <w:r w:rsidR="000C7C54">
        <w:rPr>
          <w:lang w:val="en-US"/>
        </w:rPr>
        <w:t xml:space="preserve"> in the paging window</w:t>
      </w:r>
      <w:r>
        <w:rPr>
          <w:lang w:val="en-US"/>
        </w:rPr>
        <w:t>, i.e. d</w:t>
      </w:r>
      <w:r w:rsidR="00FF6CFB">
        <w:rPr>
          <w:lang w:val="en-US"/>
        </w:rPr>
        <w:t xml:space="preserve">ynamic </w:t>
      </w:r>
      <w:r>
        <w:rPr>
          <w:lang w:val="en-US"/>
        </w:rPr>
        <w:t xml:space="preserve">termination </w:t>
      </w:r>
      <w:r w:rsidR="00FF6CFB">
        <w:rPr>
          <w:lang w:val="en-US"/>
        </w:rPr>
        <w:t>is supported</w:t>
      </w:r>
      <w:r w:rsidR="00E20292">
        <w:rPr>
          <w:lang w:val="en-US"/>
        </w:rPr>
        <w:t>.</w:t>
      </w:r>
      <w:bookmarkEnd w:id="33"/>
      <w:bookmarkEnd w:id="34"/>
      <w:bookmarkEnd w:id="35"/>
    </w:p>
    <w:p w14:paraId="10C8EFBD" w14:textId="3A2DAF71" w:rsidR="00C01F33" w:rsidRPr="00FF5F6F" w:rsidRDefault="002F09C5" w:rsidP="00CE0424">
      <w:pPr>
        <w:pStyle w:val="Heading1"/>
        <w:rPr>
          <w:lang w:val="en-US"/>
        </w:rPr>
      </w:pPr>
      <w:r w:rsidRPr="00FF5F6F">
        <w:rPr>
          <w:lang w:val="en-US"/>
        </w:rPr>
        <w:t>3</w:t>
      </w:r>
      <w:r w:rsidR="00F12B1D" w:rsidRPr="00FF5F6F">
        <w:rPr>
          <w:lang w:val="en-US"/>
        </w:rPr>
        <w:tab/>
      </w:r>
      <w:r w:rsidR="00C01F33" w:rsidRPr="00FF5F6F">
        <w:rPr>
          <w:lang w:val="en-US"/>
        </w:rPr>
        <w:t>Conclusion</w:t>
      </w:r>
    </w:p>
    <w:p w14:paraId="07A1D8B1" w14:textId="6760EC15" w:rsidR="008E065E" w:rsidRPr="00FF5F6F" w:rsidRDefault="008E065E" w:rsidP="00883FB5">
      <w:pPr>
        <w:pStyle w:val="BodyText"/>
        <w:keepNext/>
        <w:rPr>
          <w:b/>
          <w:bCs/>
          <w:lang w:val="en-US"/>
        </w:rPr>
      </w:pPr>
      <w:r w:rsidRPr="00FF5F6F">
        <w:rPr>
          <w:lang w:val="en-US"/>
        </w:rPr>
        <w:t xml:space="preserve">In </w:t>
      </w:r>
      <w:r w:rsidR="007729A2" w:rsidRPr="00FF5F6F">
        <w:rPr>
          <w:lang w:val="en-US"/>
        </w:rPr>
        <w:t xml:space="preserve">the previous </w:t>
      </w:r>
      <w:r w:rsidRPr="00FF5F6F">
        <w:rPr>
          <w:lang w:val="en-US"/>
        </w:rPr>
        <w:t>section we made the following observations</w:t>
      </w:r>
      <w:r w:rsidR="003B443E">
        <w:rPr>
          <w:lang w:val="en-US"/>
        </w:rPr>
        <w:t xml:space="preserve"> and proposals</w:t>
      </w:r>
      <w:r w:rsidRPr="00FF5F6F">
        <w:rPr>
          <w:lang w:val="en-US"/>
        </w:rPr>
        <w:t>:</w:t>
      </w:r>
      <w:r w:rsidR="00C93814" w:rsidRPr="00FF5F6F">
        <w:rPr>
          <w:b/>
          <w:bCs/>
          <w:lang w:val="en-US"/>
        </w:rPr>
        <w:t xml:space="preserve"> </w:t>
      </w:r>
    </w:p>
    <w:bookmarkStart w:id="36" w:name="_In-sequence_SDU_delivery"/>
    <w:bookmarkEnd w:id="36"/>
    <w:p w14:paraId="6772BE02" w14:textId="77777777" w:rsidR="00054BE0" w:rsidRPr="00054BE0" w:rsidRDefault="0040619E">
      <w:pPr>
        <w:pStyle w:val="TOC1"/>
        <w:tabs>
          <w:tab w:val="left" w:pos="1701"/>
        </w:tabs>
        <w:rPr>
          <w:rFonts w:asciiTheme="minorHAnsi" w:eastAsiaTheme="minorEastAsia" w:hAnsiTheme="minorHAnsi" w:cstheme="minorBidi"/>
          <w:b/>
          <w:szCs w:val="22"/>
          <w:lang w:val="en-US" w:eastAsia="en-US"/>
        </w:rPr>
      </w:pPr>
      <w:r w:rsidRPr="00054BE0">
        <w:rPr>
          <w:rFonts w:ascii="Arial" w:hAnsi="Arial" w:cs="Arial"/>
          <w:b/>
          <w:sz w:val="20"/>
          <w:lang w:val="en-US"/>
        </w:rPr>
        <w:fldChar w:fldCharType="begin"/>
      </w:r>
      <w:r w:rsidRPr="00054BE0">
        <w:rPr>
          <w:rFonts w:ascii="Arial" w:hAnsi="Arial" w:cs="Arial"/>
          <w:b/>
          <w:sz w:val="20"/>
          <w:lang w:val="en-US"/>
        </w:rPr>
        <w:instrText xml:space="preserve"> TOC \n \t "Proposal;1;Observation;1" </w:instrText>
      </w:r>
      <w:r w:rsidRPr="00054BE0">
        <w:rPr>
          <w:rFonts w:ascii="Arial" w:hAnsi="Arial" w:cs="Arial"/>
          <w:b/>
          <w:sz w:val="20"/>
          <w:lang w:val="en-US"/>
        </w:rPr>
        <w:fldChar w:fldCharType="separate"/>
      </w:r>
      <w:r w:rsidR="00054BE0" w:rsidRPr="00054BE0">
        <w:rPr>
          <w:b/>
          <w:lang w:val="en-US"/>
        </w:rPr>
        <w:t>Observation 1</w:t>
      </w:r>
      <w:r w:rsidR="00054BE0" w:rsidRPr="00054BE0">
        <w:rPr>
          <w:rFonts w:asciiTheme="minorHAnsi" w:eastAsiaTheme="minorEastAsia" w:hAnsiTheme="minorHAnsi" w:cstheme="minorBidi"/>
          <w:b/>
          <w:szCs w:val="22"/>
          <w:lang w:val="en-US" w:eastAsia="en-US"/>
        </w:rPr>
        <w:tab/>
      </w:r>
      <w:r w:rsidR="00054BE0" w:rsidRPr="00054BE0">
        <w:rPr>
          <w:b/>
          <w:lang w:val="en-US"/>
        </w:rPr>
        <w:t>It is desirable to maintain a predictable mapping between paging monitoring occasion (PMO) and beam in a paging window, in order to enable a UE to monitor a single selected beam.</w:t>
      </w:r>
    </w:p>
    <w:p w14:paraId="37F03376" w14:textId="77777777" w:rsidR="00054BE0" w:rsidRPr="00054BE0" w:rsidRDefault="00054BE0">
      <w:pPr>
        <w:pStyle w:val="TOC1"/>
        <w:tabs>
          <w:tab w:val="left" w:pos="1701"/>
        </w:tabs>
        <w:rPr>
          <w:rFonts w:asciiTheme="minorHAnsi" w:eastAsiaTheme="minorEastAsia" w:hAnsiTheme="minorHAnsi" w:cstheme="minorBidi"/>
          <w:b/>
          <w:szCs w:val="22"/>
          <w:lang w:val="en-US" w:eastAsia="en-US"/>
        </w:rPr>
      </w:pPr>
      <w:r w:rsidRPr="00054BE0">
        <w:rPr>
          <w:b/>
          <w:lang w:val="en-US"/>
        </w:rPr>
        <w:t>Observation 2</w:t>
      </w:r>
      <w:r w:rsidRPr="00054BE0">
        <w:rPr>
          <w:rFonts w:asciiTheme="minorHAnsi" w:eastAsiaTheme="minorEastAsia" w:hAnsiTheme="minorHAnsi" w:cstheme="minorBidi"/>
          <w:b/>
          <w:szCs w:val="22"/>
          <w:lang w:val="en-US" w:eastAsia="en-US"/>
        </w:rPr>
        <w:tab/>
      </w:r>
      <w:r w:rsidRPr="00054BE0">
        <w:rPr>
          <w:b/>
          <w:lang w:val="en-US"/>
        </w:rPr>
        <w:t>It is desirable to allow full utilization of the PMOs configured in a paging window, i.e. to avoid unnecessarily skipping PMOs while there are still beams remaining to be transmitted.</w:t>
      </w:r>
    </w:p>
    <w:p w14:paraId="14F2FC74" w14:textId="77777777" w:rsidR="00054BE0" w:rsidRPr="00054BE0" w:rsidRDefault="00054BE0">
      <w:pPr>
        <w:pStyle w:val="TOC1"/>
        <w:tabs>
          <w:tab w:val="left" w:pos="1701"/>
        </w:tabs>
        <w:rPr>
          <w:rFonts w:asciiTheme="minorHAnsi" w:eastAsiaTheme="minorEastAsia" w:hAnsiTheme="minorHAnsi" w:cstheme="minorBidi"/>
          <w:b/>
          <w:szCs w:val="22"/>
          <w:lang w:val="en-US" w:eastAsia="en-US"/>
        </w:rPr>
      </w:pPr>
      <w:r w:rsidRPr="00054BE0">
        <w:rPr>
          <w:b/>
          <w:lang w:val="en-US"/>
        </w:rPr>
        <w:t>Observation 3</w:t>
      </w:r>
      <w:r w:rsidRPr="00054BE0">
        <w:rPr>
          <w:rFonts w:asciiTheme="minorHAnsi" w:eastAsiaTheme="minorEastAsia" w:hAnsiTheme="minorHAnsi" w:cstheme="minorBidi"/>
          <w:b/>
          <w:szCs w:val="22"/>
          <w:lang w:val="en-US" w:eastAsia="en-US"/>
        </w:rPr>
        <w:tab/>
      </w:r>
      <w:r w:rsidRPr="00054BE0">
        <w:rPr>
          <w:b/>
          <w:lang w:val="en-US"/>
        </w:rPr>
        <w:t>If a PO consists of X sets of PMOs with unambiguous mapping beam sweeps and the PMOs are configured dense enough to allow transmission in multiple sequential PMOs (even across sets) after a single successful CCA, PMOs can be efficiently utilized</w:t>
      </w:r>
      <w:r w:rsidRPr="00054BE0">
        <w:rPr>
          <w:rFonts w:cs="Arial"/>
          <w:b/>
          <w:lang w:val="en-US"/>
        </w:rPr>
        <w:t>.</w:t>
      </w:r>
    </w:p>
    <w:p w14:paraId="48CBA5AA" w14:textId="77777777" w:rsidR="00054BE0" w:rsidRPr="00054BE0" w:rsidRDefault="00054BE0">
      <w:pPr>
        <w:pStyle w:val="TOC1"/>
        <w:tabs>
          <w:tab w:val="left" w:pos="1418"/>
        </w:tabs>
        <w:rPr>
          <w:rFonts w:asciiTheme="minorHAnsi" w:eastAsiaTheme="minorEastAsia" w:hAnsiTheme="minorHAnsi" w:cstheme="minorBidi"/>
          <w:b/>
          <w:szCs w:val="22"/>
          <w:lang w:val="en-US" w:eastAsia="en-US"/>
        </w:rPr>
      </w:pPr>
      <w:r w:rsidRPr="00054BE0">
        <w:rPr>
          <w:b/>
          <w:lang w:val="en-US"/>
        </w:rPr>
        <w:t>Proposal 1</w:t>
      </w:r>
      <w:r w:rsidRPr="00054BE0">
        <w:rPr>
          <w:rFonts w:asciiTheme="minorHAnsi" w:eastAsiaTheme="minorEastAsia" w:hAnsiTheme="minorHAnsi" w:cstheme="minorBidi"/>
          <w:b/>
          <w:szCs w:val="22"/>
          <w:lang w:val="en-US" w:eastAsia="en-US"/>
        </w:rPr>
        <w:tab/>
      </w:r>
      <w:r w:rsidRPr="00054BE0">
        <w:rPr>
          <w:b/>
          <w:lang w:val="en-US"/>
        </w:rPr>
        <w:t>A PO consist of X sets of PDCCH monitoring occasions with unambiguous mapping to SSB beams.</w:t>
      </w:r>
    </w:p>
    <w:p w14:paraId="479F3516" w14:textId="77777777" w:rsidR="00054BE0" w:rsidRPr="00054BE0" w:rsidRDefault="00054BE0">
      <w:pPr>
        <w:pStyle w:val="TOC1"/>
        <w:tabs>
          <w:tab w:val="left" w:pos="1701"/>
        </w:tabs>
        <w:rPr>
          <w:rFonts w:asciiTheme="minorHAnsi" w:eastAsiaTheme="minorEastAsia" w:hAnsiTheme="minorHAnsi" w:cstheme="minorBidi"/>
          <w:b/>
          <w:szCs w:val="22"/>
          <w:lang w:val="en-US" w:eastAsia="en-US"/>
        </w:rPr>
      </w:pPr>
      <w:r w:rsidRPr="00054BE0">
        <w:rPr>
          <w:b/>
          <w:lang w:val="en-US"/>
        </w:rPr>
        <w:t>Observation 4</w:t>
      </w:r>
      <w:r w:rsidRPr="00054BE0">
        <w:rPr>
          <w:rFonts w:asciiTheme="minorHAnsi" w:eastAsiaTheme="minorEastAsia" w:hAnsiTheme="minorHAnsi" w:cstheme="minorBidi"/>
          <w:b/>
          <w:szCs w:val="22"/>
          <w:lang w:val="en-US" w:eastAsia="en-US"/>
        </w:rPr>
        <w:tab/>
      </w:r>
      <w:r w:rsidRPr="00054BE0">
        <w:rPr>
          <w:b/>
          <w:lang w:val="en-US"/>
        </w:rPr>
        <w:t>Starting PDCCH monitoring occasions at the beginning of the calculated PO as in legacy NR Rel-15 keeps UE behavior simple.</w:t>
      </w:r>
    </w:p>
    <w:p w14:paraId="41C46E06" w14:textId="77777777" w:rsidR="00054BE0" w:rsidRPr="00054BE0" w:rsidRDefault="00054BE0">
      <w:pPr>
        <w:pStyle w:val="TOC1"/>
        <w:tabs>
          <w:tab w:val="left" w:pos="1418"/>
        </w:tabs>
        <w:rPr>
          <w:rFonts w:asciiTheme="minorHAnsi" w:eastAsiaTheme="minorEastAsia" w:hAnsiTheme="minorHAnsi" w:cstheme="minorBidi"/>
          <w:b/>
          <w:szCs w:val="22"/>
          <w:lang w:val="en-US" w:eastAsia="en-US"/>
        </w:rPr>
      </w:pPr>
      <w:r w:rsidRPr="00054BE0">
        <w:rPr>
          <w:b/>
          <w:lang w:val="en-US"/>
        </w:rPr>
        <w:t>Proposal 2</w:t>
      </w:r>
      <w:r w:rsidRPr="00054BE0">
        <w:rPr>
          <w:rFonts w:asciiTheme="minorHAnsi" w:eastAsiaTheme="minorEastAsia" w:hAnsiTheme="minorHAnsi" w:cstheme="minorBidi"/>
          <w:b/>
          <w:szCs w:val="22"/>
          <w:lang w:val="en-US" w:eastAsia="en-US"/>
        </w:rPr>
        <w:tab/>
      </w:r>
      <w:r w:rsidRPr="00054BE0">
        <w:rPr>
          <w:b/>
          <w:lang w:val="en-US"/>
        </w:rPr>
        <w:t>The NR Rel-15 PO calculation is reused, i.e. the legacy set starts according to legacy, and the additional beam sweeping set(s) occupy the subsequent PMOs.</w:t>
      </w:r>
    </w:p>
    <w:p w14:paraId="27BDBEA3" w14:textId="77777777" w:rsidR="00054BE0" w:rsidRPr="00054BE0" w:rsidRDefault="00054BE0">
      <w:pPr>
        <w:pStyle w:val="TOC1"/>
        <w:tabs>
          <w:tab w:val="left" w:pos="1418"/>
        </w:tabs>
        <w:rPr>
          <w:rFonts w:asciiTheme="minorHAnsi" w:eastAsiaTheme="minorEastAsia" w:hAnsiTheme="minorHAnsi" w:cstheme="minorBidi"/>
          <w:b/>
          <w:szCs w:val="22"/>
          <w:lang w:val="en-US" w:eastAsia="en-US"/>
        </w:rPr>
      </w:pPr>
      <w:r w:rsidRPr="00054BE0">
        <w:rPr>
          <w:b/>
          <w:lang w:val="en-US"/>
        </w:rPr>
        <w:t>Proposal 3</w:t>
      </w:r>
      <w:r w:rsidRPr="00054BE0">
        <w:rPr>
          <w:rFonts w:asciiTheme="minorHAnsi" w:eastAsiaTheme="minorEastAsia" w:hAnsiTheme="minorHAnsi" w:cstheme="minorBidi"/>
          <w:b/>
          <w:szCs w:val="22"/>
          <w:lang w:val="en-US" w:eastAsia="en-US"/>
        </w:rPr>
        <w:tab/>
      </w:r>
      <w:r w:rsidRPr="00054BE0">
        <w:rPr>
          <w:b/>
          <w:lang w:val="en-US"/>
        </w:rPr>
        <w:t>Dynamic extension of the PO based on channel occupancy is not supported.</w:t>
      </w:r>
    </w:p>
    <w:p w14:paraId="3547409E" w14:textId="77777777" w:rsidR="00054BE0" w:rsidRPr="00054BE0" w:rsidRDefault="00054BE0">
      <w:pPr>
        <w:pStyle w:val="TOC1"/>
        <w:tabs>
          <w:tab w:val="left" w:pos="1418"/>
        </w:tabs>
        <w:rPr>
          <w:rFonts w:asciiTheme="minorHAnsi" w:eastAsiaTheme="minorEastAsia" w:hAnsiTheme="minorHAnsi" w:cstheme="minorBidi"/>
          <w:b/>
          <w:szCs w:val="22"/>
          <w:lang w:val="en-US" w:eastAsia="en-US"/>
        </w:rPr>
      </w:pPr>
      <w:r w:rsidRPr="00054BE0">
        <w:rPr>
          <w:b/>
          <w:lang w:val="en-US"/>
        </w:rPr>
        <w:t>Proposal 4</w:t>
      </w:r>
      <w:r w:rsidRPr="00054BE0">
        <w:rPr>
          <w:rFonts w:asciiTheme="minorHAnsi" w:eastAsiaTheme="minorEastAsia" w:hAnsiTheme="minorHAnsi" w:cstheme="minorBidi"/>
          <w:b/>
          <w:szCs w:val="22"/>
          <w:lang w:val="en-US" w:eastAsia="en-US"/>
        </w:rPr>
        <w:tab/>
      </w:r>
      <w:r w:rsidRPr="00054BE0">
        <w:rPr>
          <w:b/>
          <w:lang w:val="en-US"/>
        </w:rPr>
        <w:t>If the UE detects a page within its paging window, it may stop monitoring further PMOs in the paging window, i.e. dynamic termination is supported.</w:t>
      </w:r>
    </w:p>
    <w:p w14:paraId="76B68580" w14:textId="12D28F79" w:rsidR="0092201E" w:rsidRPr="00FF5F6F" w:rsidRDefault="0040619E" w:rsidP="00FF6CFB">
      <w:pPr>
        <w:pStyle w:val="BodyText"/>
        <w:tabs>
          <w:tab w:val="left" w:pos="1710"/>
        </w:tabs>
        <w:ind w:left="1710" w:hanging="1710"/>
        <w:rPr>
          <w:b/>
          <w:bCs/>
          <w:lang w:val="en-US"/>
        </w:rPr>
      </w:pPr>
      <w:r w:rsidRPr="00054BE0">
        <w:rPr>
          <w:rFonts w:cs="Arial"/>
          <w:b/>
          <w:lang w:val="en-US"/>
        </w:rPr>
        <w:fldChar w:fldCharType="end"/>
      </w:r>
    </w:p>
    <w:p w14:paraId="159A5D87" w14:textId="77777777" w:rsidR="00070B07" w:rsidRPr="00CE0424" w:rsidRDefault="00070B07" w:rsidP="00070B07">
      <w:pPr>
        <w:pStyle w:val="Heading1"/>
        <w:tabs>
          <w:tab w:val="num" w:pos="432"/>
        </w:tabs>
        <w:ind w:left="432" w:hanging="432"/>
      </w:pPr>
      <w:r w:rsidRPr="00CE0424">
        <w:t>References</w:t>
      </w:r>
    </w:p>
    <w:p w14:paraId="298F17C2" w14:textId="4C8BBACA" w:rsidR="00070B07" w:rsidRDefault="006A298A" w:rsidP="00070B07">
      <w:pPr>
        <w:pStyle w:val="Reference"/>
      </w:pPr>
      <w:bookmarkStart w:id="37" w:name="_Ref376881"/>
      <w:bookmarkStart w:id="38" w:name="_Ref174151459"/>
      <w:bookmarkStart w:id="39" w:name="_Ref189809556"/>
      <w:r>
        <w:t xml:space="preserve">3GPP </w:t>
      </w:r>
      <w:r w:rsidR="00070B07">
        <w:t>TR 38.889 v16.0.0 “</w:t>
      </w:r>
      <w:r w:rsidR="00070B07" w:rsidRPr="00DB6398">
        <w:t>Study on NR-based access to unlicensed spectrum</w:t>
      </w:r>
      <w:r w:rsidR="00070B07">
        <w:t>”, 2018-12</w:t>
      </w:r>
      <w:bookmarkEnd w:id="37"/>
    </w:p>
    <w:p w14:paraId="4937AD94" w14:textId="66497057" w:rsidR="00070B07" w:rsidRPr="00CE0424" w:rsidRDefault="00070B07" w:rsidP="00070B07">
      <w:pPr>
        <w:pStyle w:val="Reference"/>
      </w:pPr>
      <w:bookmarkStart w:id="40" w:name="_Ref4022913"/>
      <w:bookmarkStart w:id="41" w:name="_Ref400664"/>
      <w:r w:rsidRPr="00DE7744">
        <w:t>R2-1902232</w:t>
      </w:r>
      <w:r>
        <w:t>, “</w:t>
      </w:r>
      <w:r w:rsidRPr="00EC5A6A">
        <w:t>Report from session on NR UP, IAB WI, NR-U WI, NR IIoT SI</w:t>
      </w:r>
      <w:r>
        <w:t>”, Mediatek, RAN2#105</w:t>
      </w:r>
      <w:bookmarkEnd w:id="40"/>
    </w:p>
    <w:p w14:paraId="05BEBF87" w14:textId="77777777" w:rsidR="00CF7B8E" w:rsidRPr="00AE0D32" w:rsidRDefault="00A555F7" w:rsidP="00331CD6">
      <w:pPr>
        <w:pStyle w:val="Reference"/>
      </w:pPr>
      <w:bookmarkStart w:id="42" w:name="_Ref4404029"/>
      <w:bookmarkEnd w:id="38"/>
      <w:bookmarkEnd w:id="39"/>
      <w:bookmarkEnd w:id="41"/>
      <w:r w:rsidRPr="00CF7B8E">
        <w:rPr>
          <w:rFonts w:cs="Arial"/>
        </w:rPr>
        <w:t xml:space="preserve">3GPP TS 38.304 V15.2.0, “User Equipment (UE) procedures in Idle mode and RRC Inactive state (Release 15)”, </w:t>
      </w:r>
      <w:r w:rsidRPr="00AE0D32">
        <w:rPr>
          <w:rFonts w:cs="Arial"/>
        </w:rPr>
        <w:t>2018-12</w:t>
      </w:r>
      <w:bookmarkEnd w:id="42"/>
    </w:p>
    <w:p w14:paraId="60AED76E" w14:textId="77777777" w:rsidR="002104D3" w:rsidRDefault="002104D3" w:rsidP="002104D3">
      <w:pPr>
        <w:pStyle w:val="Reference"/>
      </w:pPr>
      <w:bookmarkStart w:id="43" w:name="_Ref4675374"/>
      <w:r>
        <w:t>R2-1901455, “Paging procedure in NR-U”, InterDigital,</w:t>
      </w:r>
      <w:r w:rsidRPr="00AE0D32">
        <w:t xml:space="preserve"> </w:t>
      </w:r>
      <w:r>
        <w:t>RAN2#105</w:t>
      </w:r>
      <w:bookmarkEnd w:id="43"/>
    </w:p>
    <w:p w14:paraId="2CACABAD" w14:textId="7CAC65A9" w:rsidR="003A7EF3" w:rsidRPr="008B6E9F" w:rsidRDefault="00CF7B8E" w:rsidP="003D3ABA">
      <w:pPr>
        <w:pStyle w:val="Reference"/>
      </w:pPr>
      <w:bookmarkStart w:id="44" w:name="_Ref4675390"/>
      <w:r>
        <w:t>R2-1900238, “Paging Enhancements for NR-U”, vivo, RAN</w:t>
      </w:r>
      <w:r w:rsidR="00AE0D32">
        <w:t>2#105</w:t>
      </w:r>
      <w:bookmarkEnd w:id="44"/>
    </w:p>
    <w:sectPr w:rsidR="003A7EF3" w:rsidRPr="008B6E9F"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10ADC" w14:textId="77777777" w:rsidR="00283DE6" w:rsidRDefault="00283DE6">
      <w:r>
        <w:separator/>
      </w:r>
    </w:p>
  </w:endnote>
  <w:endnote w:type="continuationSeparator" w:id="0">
    <w:p w14:paraId="6D7E226F" w14:textId="77777777" w:rsidR="00283DE6" w:rsidRDefault="00283DE6">
      <w:r>
        <w:continuationSeparator/>
      </w:r>
    </w:p>
  </w:endnote>
  <w:endnote w:type="continuationNotice" w:id="1">
    <w:p w14:paraId="4F6CE04A" w14:textId="77777777" w:rsidR="00283DE6" w:rsidRDefault="00283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9CD2" w14:textId="77777777" w:rsidR="00283DE6" w:rsidRDefault="00283D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4C4E5" w14:textId="77777777" w:rsidR="00283DE6" w:rsidRDefault="00283DE6">
      <w:r>
        <w:separator/>
      </w:r>
    </w:p>
  </w:footnote>
  <w:footnote w:type="continuationSeparator" w:id="0">
    <w:p w14:paraId="6A0A0B67" w14:textId="77777777" w:rsidR="00283DE6" w:rsidRDefault="00283DE6">
      <w:r>
        <w:continuationSeparator/>
      </w:r>
    </w:p>
  </w:footnote>
  <w:footnote w:type="continuationNotice" w:id="1">
    <w:p w14:paraId="0CF7A6D1" w14:textId="77777777" w:rsidR="00283DE6" w:rsidRDefault="00283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FC24" w14:textId="77777777" w:rsidR="00283DE6" w:rsidRDefault="00283D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50F3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A285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69C1BD8"/>
    <w:multiLevelType w:val="hybridMultilevel"/>
    <w:tmpl w:val="E0EC551E"/>
    <w:lvl w:ilvl="0" w:tplc="C5BC6BE8">
      <w:start w:val="1"/>
      <w:numFmt w:val="bullet"/>
      <w:lvlText w:val="•"/>
      <w:lvlJc w:val="left"/>
      <w:pPr>
        <w:tabs>
          <w:tab w:val="num" w:pos="720"/>
        </w:tabs>
        <w:ind w:left="720" w:hanging="360"/>
      </w:pPr>
      <w:rPr>
        <w:rFonts w:ascii="Arial" w:hAnsi="Arial" w:hint="default"/>
      </w:rPr>
    </w:lvl>
    <w:lvl w:ilvl="1" w:tplc="2B829656" w:tentative="1">
      <w:start w:val="1"/>
      <w:numFmt w:val="bullet"/>
      <w:lvlText w:val="•"/>
      <w:lvlJc w:val="left"/>
      <w:pPr>
        <w:tabs>
          <w:tab w:val="num" w:pos="1440"/>
        </w:tabs>
        <w:ind w:left="1440" w:hanging="360"/>
      </w:pPr>
      <w:rPr>
        <w:rFonts w:ascii="Arial" w:hAnsi="Arial" w:hint="default"/>
      </w:rPr>
    </w:lvl>
    <w:lvl w:ilvl="2" w:tplc="EDA8E7B0" w:tentative="1">
      <w:start w:val="1"/>
      <w:numFmt w:val="bullet"/>
      <w:lvlText w:val="•"/>
      <w:lvlJc w:val="left"/>
      <w:pPr>
        <w:tabs>
          <w:tab w:val="num" w:pos="2160"/>
        </w:tabs>
        <w:ind w:left="2160" w:hanging="360"/>
      </w:pPr>
      <w:rPr>
        <w:rFonts w:ascii="Arial" w:hAnsi="Arial" w:hint="default"/>
      </w:rPr>
    </w:lvl>
    <w:lvl w:ilvl="3" w:tplc="1292D5D8" w:tentative="1">
      <w:start w:val="1"/>
      <w:numFmt w:val="bullet"/>
      <w:lvlText w:val="•"/>
      <w:lvlJc w:val="left"/>
      <w:pPr>
        <w:tabs>
          <w:tab w:val="num" w:pos="2880"/>
        </w:tabs>
        <w:ind w:left="2880" w:hanging="360"/>
      </w:pPr>
      <w:rPr>
        <w:rFonts w:ascii="Arial" w:hAnsi="Arial" w:hint="default"/>
      </w:rPr>
    </w:lvl>
    <w:lvl w:ilvl="4" w:tplc="6F4C2ADC" w:tentative="1">
      <w:start w:val="1"/>
      <w:numFmt w:val="bullet"/>
      <w:lvlText w:val="•"/>
      <w:lvlJc w:val="left"/>
      <w:pPr>
        <w:tabs>
          <w:tab w:val="num" w:pos="3600"/>
        </w:tabs>
        <w:ind w:left="3600" w:hanging="360"/>
      </w:pPr>
      <w:rPr>
        <w:rFonts w:ascii="Arial" w:hAnsi="Arial" w:hint="default"/>
      </w:rPr>
    </w:lvl>
    <w:lvl w:ilvl="5" w:tplc="9E9C5E5C" w:tentative="1">
      <w:start w:val="1"/>
      <w:numFmt w:val="bullet"/>
      <w:lvlText w:val="•"/>
      <w:lvlJc w:val="left"/>
      <w:pPr>
        <w:tabs>
          <w:tab w:val="num" w:pos="4320"/>
        </w:tabs>
        <w:ind w:left="4320" w:hanging="360"/>
      </w:pPr>
      <w:rPr>
        <w:rFonts w:ascii="Arial" w:hAnsi="Arial" w:hint="default"/>
      </w:rPr>
    </w:lvl>
    <w:lvl w:ilvl="6" w:tplc="6D0E4F76" w:tentative="1">
      <w:start w:val="1"/>
      <w:numFmt w:val="bullet"/>
      <w:lvlText w:val="•"/>
      <w:lvlJc w:val="left"/>
      <w:pPr>
        <w:tabs>
          <w:tab w:val="num" w:pos="5040"/>
        </w:tabs>
        <w:ind w:left="5040" w:hanging="360"/>
      </w:pPr>
      <w:rPr>
        <w:rFonts w:ascii="Arial" w:hAnsi="Arial" w:hint="default"/>
      </w:rPr>
    </w:lvl>
    <w:lvl w:ilvl="7" w:tplc="BA9A4792" w:tentative="1">
      <w:start w:val="1"/>
      <w:numFmt w:val="bullet"/>
      <w:lvlText w:val="•"/>
      <w:lvlJc w:val="left"/>
      <w:pPr>
        <w:tabs>
          <w:tab w:val="num" w:pos="5760"/>
        </w:tabs>
        <w:ind w:left="5760" w:hanging="360"/>
      </w:pPr>
      <w:rPr>
        <w:rFonts w:ascii="Arial" w:hAnsi="Arial" w:hint="default"/>
      </w:rPr>
    </w:lvl>
    <w:lvl w:ilvl="8" w:tplc="2D7654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A735F3D"/>
    <w:multiLevelType w:val="hybridMultilevel"/>
    <w:tmpl w:val="930E02E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2"/>
  </w:num>
  <w:num w:numId="22">
    <w:abstractNumId w:val="23"/>
  </w:num>
  <w:num w:numId="23">
    <w:abstractNumId w:val="8"/>
  </w:num>
  <w:num w:numId="24">
    <w:abstractNumId w:val="20"/>
  </w:num>
  <w:num w:numId="25">
    <w:abstractNumId w:val="4"/>
  </w:num>
  <w:num w:numId="26">
    <w:abstractNumId w:val="2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0"/>
    <w:rsid w:val="00000108"/>
    <w:rsid w:val="000006E1"/>
    <w:rsid w:val="00002A37"/>
    <w:rsid w:val="00002B70"/>
    <w:rsid w:val="0000564C"/>
    <w:rsid w:val="00006446"/>
    <w:rsid w:val="00006896"/>
    <w:rsid w:val="00007CDC"/>
    <w:rsid w:val="00011B28"/>
    <w:rsid w:val="00015D15"/>
    <w:rsid w:val="0002564D"/>
    <w:rsid w:val="00025ECA"/>
    <w:rsid w:val="00027CA3"/>
    <w:rsid w:val="000322ED"/>
    <w:rsid w:val="000325B8"/>
    <w:rsid w:val="00034C15"/>
    <w:rsid w:val="00035544"/>
    <w:rsid w:val="00036BA1"/>
    <w:rsid w:val="000422E2"/>
    <w:rsid w:val="00042F22"/>
    <w:rsid w:val="000440F9"/>
    <w:rsid w:val="000444EF"/>
    <w:rsid w:val="00046111"/>
    <w:rsid w:val="00052A07"/>
    <w:rsid w:val="000534E3"/>
    <w:rsid w:val="00054BE0"/>
    <w:rsid w:val="0005565B"/>
    <w:rsid w:val="0005606A"/>
    <w:rsid w:val="00057117"/>
    <w:rsid w:val="000616E7"/>
    <w:rsid w:val="000639E2"/>
    <w:rsid w:val="0006487E"/>
    <w:rsid w:val="00065E1A"/>
    <w:rsid w:val="00070B07"/>
    <w:rsid w:val="00071F4E"/>
    <w:rsid w:val="00076316"/>
    <w:rsid w:val="00077E5F"/>
    <w:rsid w:val="0008036A"/>
    <w:rsid w:val="00081AE6"/>
    <w:rsid w:val="000855EB"/>
    <w:rsid w:val="00085B52"/>
    <w:rsid w:val="000866F2"/>
    <w:rsid w:val="00086C80"/>
    <w:rsid w:val="0009009F"/>
    <w:rsid w:val="00091557"/>
    <w:rsid w:val="000924C1"/>
    <w:rsid w:val="000924F0"/>
    <w:rsid w:val="00093474"/>
    <w:rsid w:val="0009510F"/>
    <w:rsid w:val="000A1B7B"/>
    <w:rsid w:val="000A56F2"/>
    <w:rsid w:val="000B154E"/>
    <w:rsid w:val="000B2719"/>
    <w:rsid w:val="000B3A8F"/>
    <w:rsid w:val="000B4AB9"/>
    <w:rsid w:val="000B58C3"/>
    <w:rsid w:val="000B61E9"/>
    <w:rsid w:val="000C165A"/>
    <w:rsid w:val="000C2E19"/>
    <w:rsid w:val="000C635E"/>
    <w:rsid w:val="000C7C54"/>
    <w:rsid w:val="000D0D07"/>
    <w:rsid w:val="000D4797"/>
    <w:rsid w:val="000E0527"/>
    <w:rsid w:val="000E1E92"/>
    <w:rsid w:val="000E30D2"/>
    <w:rsid w:val="000E5ECE"/>
    <w:rsid w:val="000F06D6"/>
    <w:rsid w:val="000F0EB1"/>
    <w:rsid w:val="000F1106"/>
    <w:rsid w:val="000F3BE9"/>
    <w:rsid w:val="000F3F6C"/>
    <w:rsid w:val="000F5E27"/>
    <w:rsid w:val="000F6DF3"/>
    <w:rsid w:val="000F757E"/>
    <w:rsid w:val="001005FF"/>
    <w:rsid w:val="0010248F"/>
    <w:rsid w:val="0010496F"/>
    <w:rsid w:val="001062FB"/>
    <w:rsid w:val="001063E6"/>
    <w:rsid w:val="00113CF4"/>
    <w:rsid w:val="001153EA"/>
    <w:rsid w:val="00115643"/>
    <w:rsid w:val="0011567F"/>
    <w:rsid w:val="001159F3"/>
    <w:rsid w:val="00116765"/>
    <w:rsid w:val="0012090A"/>
    <w:rsid w:val="001218C9"/>
    <w:rsid w:val="001219F5"/>
    <w:rsid w:val="00121A20"/>
    <w:rsid w:val="0012239C"/>
    <w:rsid w:val="0012377F"/>
    <w:rsid w:val="00123C32"/>
    <w:rsid w:val="00123D0A"/>
    <w:rsid w:val="00124314"/>
    <w:rsid w:val="00126B4A"/>
    <w:rsid w:val="00132FD0"/>
    <w:rsid w:val="001343A8"/>
    <w:rsid w:val="001344C0"/>
    <w:rsid w:val="001346FA"/>
    <w:rsid w:val="00135252"/>
    <w:rsid w:val="00136E82"/>
    <w:rsid w:val="00137AB5"/>
    <w:rsid w:val="00137F0B"/>
    <w:rsid w:val="0015124F"/>
    <w:rsid w:val="00151E23"/>
    <w:rsid w:val="001526E0"/>
    <w:rsid w:val="001547D8"/>
    <w:rsid w:val="001551B5"/>
    <w:rsid w:val="00156DE5"/>
    <w:rsid w:val="001659C1"/>
    <w:rsid w:val="001712AA"/>
    <w:rsid w:val="00173A8E"/>
    <w:rsid w:val="0017502C"/>
    <w:rsid w:val="001767A4"/>
    <w:rsid w:val="0018143F"/>
    <w:rsid w:val="00181FF8"/>
    <w:rsid w:val="00190AC1"/>
    <w:rsid w:val="0019341A"/>
    <w:rsid w:val="00194900"/>
    <w:rsid w:val="00196EC2"/>
    <w:rsid w:val="00197DF9"/>
    <w:rsid w:val="001A1987"/>
    <w:rsid w:val="001A2564"/>
    <w:rsid w:val="001A3125"/>
    <w:rsid w:val="001A6173"/>
    <w:rsid w:val="001A6CBA"/>
    <w:rsid w:val="001A71A1"/>
    <w:rsid w:val="001B0D97"/>
    <w:rsid w:val="001B5A5D"/>
    <w:rsid w:val="001B7FF5"/>
    <w:rsid w:val="001C1CE5"/>
    <w:rsid w:val="001C3D2A"/>
    <w:rsid w:val="001D3760"/>
    <w:rsid w:val="001D49FB"/>
    <w:rsid w:val="001D51BA"/>
    <w:rsid w:val="001D53E7"/>
    <w:rsid w:val="001D6342"/>
    <w:rsid w:val="001D6ACE"/>
    <w:rsid w:val="001D6D53"/>
    <w:rsid w:val="001D7B60"/>
    <w:rsid w:val="001E58E2"/>
    <w:rsid w:val="001E6A46"/>
    <w:rsid w:val="001E7AED"/>
    <w:rsid w:val="001F3916"/>
    <w:rsid w:val="001F4302"/>
    <w:rsid w:val="001F54C5"/>
    <w:rsid w:val="001F662C"/>
    <w:rsid w:val="001F7074"/>
    <w:rsid w:val="00200490"/>
    <w:rsid w:val="00201F3A"/>
    <w:rsid w:val="002028DB"/>
    <w:rsid w:val="00203F96"/>
    <w:rsid w:val="002069B2"/>
    <w:rsid w:val="00207FA3"/>
    <w:rsid w:val="002104D3"/>
    <w:rsid w:val="002115F8"/>
    <w:rsid w:val="00213622"/>
    <w:rsid w:val="00214DA8"/>
    <w:rsid w:val="00215423"/>
    <w:rsid w:val="002158FA"/>
    <w:rsid w:val="00220600"/>
    <w:rsid w:val="002224DB"/>
    <w:rsid w:val="00223388"/>
    <w:rsid w:val="00223FCB"/>
    <w:rsid w:val="0022511D"/>
    <w:rsid w:val="002252C3"/>
    <w:rsid w:val="00225C54"/>
    <w:rsid w:val="0022636B"/>
    <w:rsid w:val="00230765"/>
    <w:rsid w:val="00230D18"/>
    <w:rsid w:val="002319E4"/>
    <w:rsid w:val="00235632"/>
    <w:rsid w:val="00235872"/>
    <w:rsid w:val="00235D27"/>
    <w:rsid w:val="00241559"/>
    <w:rsid w:val="002435B3"/>
    <w:rsid w:val="002458EB"/>
    <w:rsid w:val="002500C8"/>
    <w:rsid w:val="00257543"/>
    <w:rsid w:val="002617E7"/>
    <w:rsid w:val="00264228"/>
    <w:rsid w:val="00264334"/>
    <w:rsid w:val="0026473E"/>
    <w:rsid w:val="00264E24"/>
    <w:rsid w:val="00266214"/>
    <w:rsid w:val="00266976"/>
    <w:rsid w:val="00267C83"/>
    <w:rsid w:val="0027144F"/>
    <w:rsid w:val="00271813"/>
    <w:rsid w:val="00271F3A"/>
    <w:rsid w:val="00273278"/>
    <w:rsid w:val="002737F4"/>
    <w:rsid w:val="002805F5"/>
    <w:rsid w:val="00280751"/>
    <w:rsid w:val="0028280A"/>
    <w:rsid w:val="00283DE6"/>
    <w:rsid w:val="00286ACD"/>
    <w:rsid w:val="00287838"/>
    <w:rsid w:val="002907B5"/>
    <w:rsid w:val="002914B2"/>
    <w:rsid w:val="00292EB7"/>
    <w:rsid w:val="00296227"/>
    <w:rsid w:val="00296F44"/>
    <w:rsid w:val="0029777D"/>
    <w:rsid w:val="002A055E"/>
    <w:rsid w:val="002A1D4E"/>
    <w:rsid w:val="002A2869"/>
    <w:rsid w:val="002B0FD9"/>
    <w:rsid w:val="002B24D6"/>
    <w:rsid w:val="002B5398"/>
    <w:rsid w:val="002B5F66"/>
    <w:rsid w:val="002C41E6"/>
    <w:rsid w:val="002D071A"/>
    <w:rsid w:val="002D15C7"/>
    <w:rsid w:val="002D32D7"/>
    <w:rsid w:val="002D34B2"/>
    <w:rsid w:val="002D4465"/>
    <w:rsid w:val="002D48B0"/>
    <w:rsid w:val="002D5B37"/>
    <w:rsid w:val="002D7637"/>
    <w:rsid w:val="002E17F2"/>
    <w:rsid w:val="002E5CA2"/>
    <w:rsid w:val="002E7BC6"/>
    <w:rsid w:val="002E7CAE"/>
    <w:rsid w:val="002F0925"/>
    <w:rsid w:val="002F09C5"/>
    <w:rsid w:val="002F2771"/>
    <w:rsid w:val="002F37A9"/>
    <w:rsid w:val="00301B13"/>
    <w:rsid w:val="00301CE6"/>
    <w:rsid w:val="0030256B"/>
    <w:rsid w:val="003034DF"/>
    <w:rsid w:val="0030501F"/>
    <w:rsid w:val="00306433"/>
    <w:rsid w:val="00307BA1"/>
    <w:rsid w:val="00310439"/>
    <w:rsid w:val="00311702"/>
    <w:rsid w:val="00311830"/>
    <w:rsid w:val="00311E82"/>
    <w:rsid w:val="00313FD6"/>
    <w:rsid w:val="003143BD"/>
    <w:rsid w:val="00315363"/>
    <w:rsid w:val="003174E2"/>
    <w:rsid w:val="003203ED"/>
    <w:rsid w:val="00322C9F"/>
    <w:rsid w:val="00324D23"/>
    <w:rsid w:val="0032564E"/>
    <w:rsid w:val="00331321"/>
    <w:rsid w:val="00331751"/>
    <w:rsid w:val="003318E6"/>
    <w:rsid w:val="00331CD6"/>
    <w:rsid w:val="00334579"/>
    <w:rsid w:val="00335858"/>
    <w:rsid w:val="00336BDA"/>
    <w:rsid w:val="00342BD7"/>
    <w:rsid w:val="003450A8"/>
    <w:rsid w:val="003452C9"/>
    <w:rsid w:val="00346DB5"/>
    <w:rsid w:val="00346F88"/>
    <w:rsid w:val="00347460"/>
    <w:rsid w:val="003477B1"/>
    <w:rsid w:val="00355E1A"/>
    <w:rsid w:val="00357380"/>
    <w:rsid w:val="003602D9"/>
    <w:rsid w:val="003604CE"/>
    <w:rsid w:val="003629E6"/>
    <w:rsid w:val="0036399E"/>
    <w:rsid w:val="00367BA5"/>
    <w:rsid w:val="00370E47"/>
    <w:rsid w:val="003723FB"/>
    <w:rsid w:val="003742AC"/>
    <w:rsid w:val="00377CE1"/>
    <w:rsid w:val="00380005"/>
    <w:rsid w:val="00385BF0"/>
    <w:rsid w:val="003939FF"/>
    <w:rsid w:val="003A2223"/>
    <w:rsid w:val="003A2A0F"/>
    <w:rsid w:val="003A45A1"/>
    <w:rsid w:val="003A5B0A"/>
    <w:rsid w:val="003A6BAC"/>
    <w:rsid w:val="003A70A4"/>
    <w:rsid w:val="003A7EF3"/>
    <w:rsid w:val="003B159C"/>
    <w:rsid w:val="003B369F"/>
    <w:rsid w:val="003B36A3"/>
    <w:rsid w:val="003B443E"/>
    <w:rsid w:val="003B64BB"/>
    <w:rsid w:val="003B6ABD"/>
    <w:rsid w:val="003B7FE5"/>
    <w:rsid w:val="003C11C8"/>
    <w:rsid w:val="003C2702"/>
    <w:rsid w:val="003C7806"/>
    <w:rsid w:val="003D0585"/>
    <w:rsid w:val="003D109F"/>
    <w:rsid w:val="003D2478"/>
    <w:rsid w:val="003D3ABA"/>
    <w:rsid w:val="003D3C45"/>
    <w:rsid w:val="003D4E73"/>
    <w:rsid w:val="003D5B1F"/>
    <w:rsid w:val="003D7A1C"/>
    <w:rsid w:val="003E15FA"/>
    <w:rsid w:val="003E55E4"/>
    <w:rsid w:val="003E74E3"/>
    <w:rsid w:val="003E7CBE"/>
    <w:rsid w:val="003F05C7"/>
    <w:rsid w:val="003F0ACC"/>
    <w:rsid w:val="003F1467"/>
    <w:rsid w:val="003F2CD4"/>
    <w:rsid w:val="003F6BBE"/>
    <w:rsid w:val="004000E8"/>
    <w:rsid w:val="00402E2B"/>
    <w:rsid w:val="0040512B"/>
    <w:rsid w:val="00405CA5"/>
    <w:rsid w:val="0040619E"/>
    <w:rsid w:val="00407CD3"/>
    <w:rsid w:val="00410134"/>
    <w:rsid w:val="00410B72"/>
    <w:rsid w:val="00410F18"/>
    <w:rsid w:val="0041263E"/>
    <w:rsid w:val="00413AAC"/>
    <w:rsid w:val="00413BD1"/>
    <w:rsid w:val="00413E92"/>
    <w:rsid w:val="00421105"/>
    <w:rsid w:val="00422AA4"/>
    <w:rsid w:val="0042333A"/>
    <w:rsid w:val="004242F4"/>
    <w:rsid w:val="0042477D"/>
    <w:rsid w:val="00427248"/>
    <w:rsid w:val="00427BCD"/>
    <w:rsid w:val="0043242D"/>
    <w:rsid w:val="00437447"/>
    <w:rsid w:val="00441A92"/>
    <w:rsid w:val="00441C0A"/>
    <w:rsid w:val="00442A5E"/>
    <w:rsid w:val="004431DC"/>
    <w:rsid w:val="00444F56"/>
    <w:rsid w:val="00446488"/>
    <w:rsid w:val="004517AA"/>
    <w:rsid w:val="00452CAC"/>
    <w:rsid w:val="00453288"/>
    <w:rsid w:val="00453C32"/>
    <w:rsid w:val="00454115"/>
    <w:rsid w:val="00454A70"/>
    <w:rsid w:val="00457565"/>
    <w:rsid w:val="00457B71"/>
    <w:rsid w:val="004654A5"/>
    <w:rsid w:val="004669E2"/>
    <w:rsid w:val="00470C31"/>
    <w:rsid w:val="00471DE0"/>
    <w:rsid w:val="0047321E"/>
    <w:rsid w:val="004734D0"/>
    <w:rsid w:val="0047556B"/>
    <w:rsid w:val="0047717D"/>
    <w:rsid w:val="00477768"/>
    <w:rsid w:val="00485754"/>
    <w:rsid w:val="00492BC5"/>
    <w:rsid w:val="004964F1"/>
    <w:rsid w:val="004A16BC"/>
    <w:rsid w:val="004A2B94"/>
    <w:rsid w:val="004B6F6A"/>
    <w:rsid w:val="004B7C0C"/>
    <w:rsid w:val="004C3898"/>
    <w:rsid w:val="004C6C91"/>
    <w:rsid w:val="004D36B1"/>
    <w:rsid w:val="004D55E5"/>
    <w:rsid w:val="004D7EBD"/>
    <w:rsid w:val="004E19BA"/>
    <w:rsid w:val="004E2680"/>
    <w:rsid w:val="004E275F"/>
    <w:rsid w:val="004E28F9"/>
    <w:rsid w:val="004E462E"/>
    <w:rsid w:val="004E56DC"/>
    <w:rsid w:val="004E76F4"/>
    <w:rsid w:val="004E7835"/>
    <w:rsid w:val="004F0B4E"/>
    <w:rsid w:val="004F0B6C"/>
    <w:rsid w:val="004F2078"/>
    <w:rsid w:val="004F4DA3"/>
    <w:rsid w:val="004F66E0"/>
    <w:rsid w:val="00506557"/>
    <w:rsid w:val="0050677A"/>
    <w:rsid w:val="005108D8"/>
    <w:rsid w:val="005116F9"/>
    <w:rsid w:val="0051475E"/>
    <w:rsid w:val="005153A7"/>
    <w:rsid w:val="005219CF"/>
    <w:rsid w:val="0053317E"/>
    <w:rsid w:val="00534B59"/>
    <w:rsid w:val="00536759"/>
    <w:rsid w:val="00537258"/>
    <w:rsid w:val="00537C62"/>
    <w:rsid w:val="00542E92"/>
    <w:rsid w:val="00543F7C"/>
    <w:rsid w:val="00546970"/>
    <w:rsid w:val="00554E19"/>
    <w:rsid w:val="0056121F"/>
    <w:rsid w:val="00571107"/>
    <w:rsid w:val="005711F4"/>
    <w:rsid w:val="005720BB"/>
    <w:rsid w:val="00572505"/>
    <w:rsid w:val="005766EF"/>
    <w:rsid w:val="00582809"/>
    <w:rsid w:val="0058798C"/>
    <w:rsid w:val="005900FA"/>
    <w:rsid w:val="0059110E"/>
    <w:rsid w:val="005935A4"/>
    <w:rsid w:val="00593A23"/>
    <w:rsid w:val="005948C2"/>
    <w:rsid w:val="00595DCA"/>
    <w:rsid w:val="0059779B"/>
    <w:rsid w:val="005A209A"/>
    <w:rsid w:val="005A2618"/>
    <w:rsid w:val="005A662D"/>
    <w:rsid w:val="005B1409"/>
    <w:rsid w:val="005B35D7"/>
    <w:rsid w:val="005B392A"/>
    <w:rsid w:val="005B3AA3"/>
    <w:rsid w:val="005B44BB"/>
    <w:rsid w:val="005B6F83"/>
    <w:rsid w:val="005C1788"/>
    <w:rsid w:val="005C1D5A"/>
    <w:rsid w:val="005C74FB"/>
    <w:rsid w:val="005D1602"/>
    <w:rsid w:val="005D1817"/>
    <w:rsid w:val="005E385F"/>
    <w:rsid w:val="005E5B81"/>
    <w:rsid w:val="005F2CB1"/>
    <w:rsid w:val="005F3025"/>
    <w:rsid w:val="005F34F7"/>
    <w:rsid w:val="005F618C"/>
    <w:rsid w:val="005F70BD"/>
    <w:rsid w:val="0060283C"/>
    <w:rsid w:val="00602BCE"/>
    <w:rsid w:val="00604F14"/>
    <w:rsid w:val="00605698"/>
    <w:rsid w:val="00611B83"/>
    <w:rsid w:val="00612C35"/>
    <w:rsid w:val="00613257"/>
    <w:rsid w:val="00614A6C"/>
    <w:rsid w:val="00620A71"/>
    <w:rsid w:val="00620D80"/>
    <w:rsid w:val="00623294"/>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466F5"/>
    <w:rsid w:val="00647B4B"/>
    <w:rsid w:val="0065098C"/>
    <w:rsid w:val="00650AB9"/>
    <w:rsid w:val="0065106C"/>
    <w:rsid w:val="00655733"/>
    <w:rsid w:val="00655ACD"/>
    <w:rsid w:val="00656A92"/>
    <w:rsid w:val="00656DDE"/>
    <w:rsid w:val="00656E06"/>
    <w:rsid w:val="0066011D"/>
    <w:rsid w:val="006607C0"/>
    <w:rsid w:val="006613A6"/>
    <w:rsid w:val="006627A2"/>
    <w:rsid w:val="006634E6"/>
    <w:rsid w:val="006655EE"/>
    <w:rsid w:val="00666134"/>
    <w:rsid w:val="00666317"/>
    <w:rsid w:val="00667870"/>
    <w:rsid w:val="00667EE7"/>
    <w:rsid w:val="00670922"/>
    <w:rsid w:val="00670BE1"/>
    <w:rsid w:val="0067218F"/>
    <w:rsid w:val="0067364B"/>
    <w:rsid w:val="006741F2"/>
    <w:rsid w:val="00674CC3"/>
    <w:rsid w:val="00675C72"/>
    <w:rsid w:val="006767E8"/>
    <w:rsid w:val="006771F9"/>
    <w:rsid w:val="006776D7"/>
    <w:rsid w:val="00681003"/>
    <w:rsid w:val="0068177F"/>
    <w:rsid w:val="006817C9"/>
    <w:rsid w:val="00683465"/>
    <w:rsid w:val="00683ECE"/>
    <w:rsid w:val="0069125E"/>
    <w:rsid w:val="00695FC2"/>
    <w:rsid w:val="00696949"/>
    <w:rsid w:val="00697052"/>
    <w:rsid w:val="006A298A"/>
    <w:rsid w:val="006A46FB"/>
    <w:rsid w:val="006A5E28"/>
    <w:rsid w:val="006A697B"/>
    <w:rsid w:val="006A7AFF"/>
    <w:rsid w:val="006B114D"/>
    <w:rsid w:val="006B1816"/>
    <w:rsid w:val="006B2099"/>
    <w:rsid w:val="006B43E0"/>
    <w:rsid w:val="006B50CF"/>
    <w:rsid w:val="006C03B8"/>
    <w:rsid w:val="006C2B72"/>
    <w:rsid w:val="006C5EC9"/>
    <w:rsid w:val="006C6059"/>
    <w:rsid w:val="006C7522"/>
    <w:rsid w:val="006D203B"/>
    <w:rsid w:val="006D2B74"/>
    <w:rsid w:val="006D4427"/>
    <w:rsid w:val="006D5189"/>
    <w:rsid w:val="006D6F08"/>
    <w:rsid w:val="006E062C"/>
    <w:rsid w:val="006E1AC0"/>
    <w:rsid w:val="006E1C82"/>
    <w:rsid w:val="006E28B7"/>
    <w:rsid w:val="006E2A9B"/>
    <w:rsid w:val="006E3310"/>
    <w:rsid w:val="006E3C88"/>
    <w:rsid w:val="006E4E39"/>
    <w:rsid w:val="006E565E"/>
    <w:rsid w:val="006E673D"/>
    <w:rsid w:val="006E7D3B"/>
    <w:rsid w:val="006F0C26"/>
    <w:rsid w:val="006F1B70"/>
    <w:rsid w:val="006F341D"/>
    <w:rsid w:val="006F3CDE"/>
    <w:rsid w:val="006F58D4"/>
    <w:rsid w:val="006F6582"/>
    <w:rsid w:val="0070346E"/>
    <w:rsid w:val="00704EDB"/>
    <w:rsid w:val="00706101"/>
    <w:rsid w:val="00706B18"/>
    <w:rsid w:val="00707072"/>
    <w:rsid w:val="00707D61"/>
    <w:rsid w:val="00711B85"/>
    <w:rsid w:val="00712287"/>
    <w:rsid w:val="00712772"/>
    <w:rsid w:val="007148D3"/>
    <w:rsid w:val="00715B9A"/>
    <w:rsid w:val="007211DC"/>
    <w:rsid w:val="00722D03"/>
    <w:rsid w:val="007257D0"/>
    <w:rsid w:val="00726EA6"/>
    <w:rsid w:val="00727208"/>
    <w:rsid w:val="00727680"/>
    <w:rsid w:val="007348B1"/>
    <w:rsid w:val="007360C0"/>
    <w:rsid w:val="007361C5"/>
    <w:rsid w:val="007362A6"/>
    <w:rsid w:val="00736413"/>
    <w:rsid w:val="00736D7D"/>
    <w:rsid w:val="00740E58"/>
    <w:rsid w:val="007414DB"/>
    <w:rsid w:val="007445A0"/>
    <w:rsid w:val="0074524B"/>
    <w:rsid w:val="00747D8B"/>
    <w:rsid w:val="00751228"/>
    <w:rsid w:val="00756F07"/>
    <w:rsid w:val="007571E1"/>
    <w:rsid w:val="007604B2"/>
    <w:rsid w:val="0076155D"/>
    <w:rsid w:val="00765281"/>
    <w:rsid w:val="00766BAD"/>
    <w:rsid w:val="007729A2"/>
    <w:rsid w:val="00773C6E"/>
    <w:rsid w:val="007755F2"/>
    <w:rsid w:val="00776971"/>
    <w:rsid w:val="00780A80"/>
    <w:rsid w:val="0078177E"/>
    <w:rsid w:val="0078304C"/>
    <w:rsid w:val="00783673"/>
    <w:rsid w:val="00784550"/>
    <w:rsid w:val="00785490"/>
    <w:rsid w:val="007925EA"/>
    <w:rsid w:val="00793CD8"/>
    <w:rsid w:val="0079489C"/>
    <w:rsid w:val="00795C92"/>
    <w:rsid w:val="00796231"/>
    <w:rsid w:val="007A1CB3"/>
    <w:rsid w:val="007A306F"/>
    <w:rsid w:val="007A43A6"/>
    <w:rsid w:val="007A567A"/>
    <w:rsid w:val="007A58A6"/>
    <w:rsid w:val="007A712E"/>
    <w:rsid w:val="007B265C"/>
    <w:rsid w:val="007B3BEC"/>
    <w:rsid w:val="007B3D2D"/>
    <w:rsid w:val="007B50AE"/>
    <w:rsid w:val="007B51DF"/>
    <w:rsid w:val="007C05DD"/>
    <w:rsid w:val="007C0EF0"/>
    <w:rsid w:val="007C3D18"/>
    <w:rsid w:val="007C60BF"/>
    <w:rsid w:val="007C6A07"/>
    <w:rsid w:val="007C75A1"/>
    <w:rsid w:val="007C77A5"/>
    <w:rsid w:val="007D04E5"/>
    <w:rsid w:val="007D5901"/>
    <w:rsid w:val="007D7526"/>
    <w:rsid w:val="007E3C58"/>
    <w:rsid w:val="007E4610"/>
    <w:rsid w:val="007E4715"/>
    <w:rsid w:val="007E4B93"/>
    <w:rsid w:val="007E505B"/>
    <w:rsid w:val="007E7091"/>
    <w:rsid w:val="00803E2B"/>
    <w:rsid w:val="00803FAE"/>
    <w:rsid w:val="0080605F"/>
    <w:rsid w:val="00807786"/>
    <w:rsid w:val="00810311"/>
    <w:rsid w:val="00811FCB"/>
    <w:rsid w:val="008158D6"/>
    <w:rsid w:val="0081704B"/>
    <w:rsid w:val="00817196"/>
    <w:rsid w:val="008215E7"/>
    <w:rsid w:val="00822AB7"/>
    <w:rsid w:val="008235DB"/>
    <w:rsid w:val="00824AB4"/>
    <w:rsid w:val="00825C42"/>
    <w:rsid w:val="00825D25"/>
    <w:rsid w:val="00827D6F"/>
    <w:rsid w:val="00831F07"/>
    <w:rsid w:val="00836295"/>
    <w:rsid w:val="008362DF"/>
    <w:rsid w:val="008376AC"/>
    <w:rsid w:val="008444E8"/>
    <w:rsid w:val="00844E80"/>
    <w:rsid w:val="00846FE7"/>
    <w:rsid w:val="00856911"/>
    <w:rsid w:val="00860082"/>
    <w:rsid w:val="008609C4"/>
    <w:rsid w:val="00864599"/>
    <w:rsid w:val="00865D50"/>
    <w:rsid w:val="008677FD"/>
    <w:rsid w:val="008706D4"/>
    <w:rsid w:val="00870F8A"/>
    <w:rsid w:val="008719A4"/>
    <w:rsid w:val="00871D23"/>
    <w:rsid w:val="00874312"/>
    <w:rsid w:val="0087437C"/>
    <w:rsid w:val="00875CD7"/>
    <w:rsid w:val="00876B4D"/>
    <w:rsid w:val="00877F18"/>
    <w:rsid w:val="00883FB5"/>
    <w:rsid w:val="00885268"/>
    <w:rsid w:val="00885C59"/>
    <w:rsid w:val="00885F91"/>
    <w:rsid w:val="008871BC"/>
    <w:rsid w:val="00892CA0"/>
    <w:rsid w:val="008941E3"/>
    <w:rsid w:val="00894A88"/>
    <w:rsid w:val="00895386"/>
    <w:rsid w:val="008A1A53"/>
    <w:rsid w:val="008A21FF"/>
    <w:rsid w:val="008A2CE2"/>
    <w:rsid w:val="008A30AC"/>
    <w:rsid w:val="008A3EA8"/>
    <w:rsid w:val="008A4049"/>
    <w:rsid w:val="008A44B8"/>
    <w:rsid w:val="008A51A8"/>
    <w:rsid w:val="008A54C7"/>
    <w:rsid w:val="008A77D8"/>
    <w:rsid w:val="008B0483"/>
    <w:rsid w:val="008B05DC"/>
    <w:rsid w:val="008B120C"/>
    <w:rsid w:val="008B51A0"/>
    <w:rsid w:val="008B592A"/>
    <w:rsid w:val="008B603A"/>
    <w:rsid w:val="008B6E9F"/>
    <w:rsid w:val="008B7B5C"/>
    <w:rsid w:val="008C0C99"/>
    <w:rsid w:val="008C2017"/>
    <w:rsid w:val="008C4958"/>
    <w:rsid w:val="008C4BAA"/>
    <w:rsid w:val="008C6171"/>
    <w:rsid w:val="008C6AE8"/>
    <w:rsid w:val="008C7573"/>
    <w:rsid w:val="008D0030"/>
    <w:rsid w:val="008D00A5"/>
    <w:rsid w:val="008D34F1"/>
    <w:rsid w:val="008D39D8"/>
    <w:rsid w:val="008D46F9"/>
    <w:rsid w:val="008D6D1A"/>
    <w:rsid w:val="008E065E"/>
    <w:rsid w:val="008E0927"/>
    <w:rsid w:val="008E1909"/>
    <w:rsid w:val="008F0C0C"/>
    <w:rsid w:val="008F1EAB"/>
    <w:rsid w:val="008F33DC"/>
    <w:rsid w:val="008F477F"/>
    <w:rsid w:val="008F69A1"/>
    <w:rsid w:val="00902350"/>
    <w:rsid w:val="0090336B"/>
    <w:rsid w:val="009053AA"/>
    <w:rsid w:val="00906939"/>
    <w:rsid w:val="00910B7D"/>
    <w:rsid w:val="00911DFB"/>
    <w:rsid w:val="009139D9"/>
    <w:rsid w:val="009142F1"/>
    <w:rsid w:val="00914AD8"/>
    <w:rsid w:val="00916079"/>
    <w:rsid w:val="00917CE9"/>
    <w:rsid w:val="00920BF2"/>
    <w:rsid w:val="00921D4B"/>
    <w:rsid w:val="00922010"/>
    <w:rsid w:val="0092201E"/>
    <w:rsid w:val="00923B7C"/>
    <w:rsid w:val="00925B13"/>
    <w:rsid w:val="009260CD"/>
    <w:rsid w:val="00931BD9"/>
    <w:rsid w:val="009368D4"/>
    <w:rsid w:val="009368F3"/>
    <w:rsid w:val="00941636"/>
    <w:rsid w:val="00941F30"/>
    <w:rsid w:val="00943742"/>
    <w:rsid w:val="009453BE"/>
    <w:rsid w:val="00945C05"/>
    <w:rsid w:val="00946945"/>
    <w:rsid w:val="00947713"/>
    <w:rsid w:val="00950DE7"/>
    <w:rsid w:val="00953920"/>
    <w:rsid w:val="00953D47"/>
    <w:rsid w:val="009558C6"/>
    <w:rsid w:val="009566AC"/>
    <w:rsid w:val="0095681E"/>
    <w:rsid w:val="009568BC"/>
    <w:rsid w:val="009572D4"/>
    <w:rsid w:val="00961921"/>
    <w:rsid w:val="0096430A"/>
    <w:rsid w:val="0096554B"/>
    <w:rsid w:val="0096584A"/>
    <w:rsid w:val="00971F08"/>
    <w:rsid w:val="00975B69"/>
    <w:rsid w:val="0097603D"/>
    <w:rsid w:val="009760FC"/>
    <w:rsid w:val="00976949"/>
    <w:rsid w:val="0097753C"/>
    <w:rsid w:val="00980477"/>
    <w:rsid w:val="00985253"/>
    <w:rsid w:val="009853B3"/>
    <w:rsid w:val="00990630"/>
    <w:rsid w:val="00991761"/>
    <w:rsid w:val="009929C3"/>
    <w:rsid w:val="00994DCA"/>
    <w:rsid w:val="009960EC"/>
    <w:rsid w:val="009970DD"/>
    <w:rsid w:val="009A0FBA"/>
    <w:rsid w:val="009A1601"/>
    <w:rsid w:val="009A27D0"/>
    <w:rsid w:val="009A3BB6"/>
    <w:rsid w:val="009A409E"/>
    <w:rsid w:val="009A462D"/>
    <w:rsid w:val="009A5CBA"/>
    <w:rsid w:val="009B1F30"/>
    <w:rsid w:val="009B3AC2"/>
    <w:rsid w:val="009B4DF4"/>
    <w:rsid w:val="009B4E14"/>
    <w:rsid w:val="009B564E"/>
    <w:rsid w:val="009B7073"/>
    <w:rsid w:val="009B7E87"/>
    <w:rsid w:val="009C0169"/>
    <w:rsid w:val="009C20BC"/>
    <w:rsid w:val="009C403E"/>
    <w:rsid w:val="009C4489"/>
    <w:rsid w:val="009C7434"/>
    <w:rsid w:val="009D3771"/>
    <w:rsid w:val="009D4FF0"/>
    <w:rsid w:val="009D703C"/>
    <w:rsid w:val="009D718F"/>
    <w:rsid w:val="009D7380"/>
    <w:rsid w:val="009E068F"/>
    <w:rsid w:val="009E145B"/>
    <w:rsid w:val="009E14E0"/>
    <w:rsid w:val="009E35DB"/>
    <w:rsid w:val="009E47A3"/>
    <w:rsid w:val="009F08F3"/>
    <w:rsid w:val="009F2286"/>
    <w:rsid w:val="009F344F"/>
    <w:rsid w:val="009F7460"/>
    <w:rsid w:val="00A031D8"/>
    <w:rsid w:val="00A048A8"/>
    <w:rsid w:val="00A04F49"/>
    <w:rsid w:val="00A13E54"/>
    <w:rsid w:val="00A17F63"/>
    <w:rsid w:val="00A2193B"/>
    <w:rsid w:val="00A2351A"/>
    <w:rsid w:val="00A25D75"/>
    <w:rsid w:val="00A264A9"/>
    <w:rsid w:val="00A26DCF"/>
    <w:rsid w:val="00A27785"/>
    <w:rsid w:val="00A30187"/>
    <w:rsid w:val="00A31B16"/>
    <w:rsid w:val="00A32EAC"/>
    <w:rsid w:val="00A3448A"/>
    <w:rsid w:val="00A36297"/>
    <w:rsid w:val="00A41E2B"/>
    <w:rsid w:val="00A42BF6"/>
    <w:rsid w:val="00A4517F"/>
    <w:rsid w:val="00A45B74"/>
    <w:rsid w:val="00A4609D"/>
    <w:rsid w:val="00A52E1D"/>
    <w:rsid w:val="00A555F7"/>
    <w:rsid w:val="00A61499"/>
    <w:rsid w:val="00A61914"/>
    <w:rsid w:val="00A62A77"/>
    <w:rsid w:val="00A63483"/>
    <w:rsid w:val="00A63F37"/>
    <w:rsid w:val="00A657D7"/>
    <w:rsid w:val="00A660AC"/>
    <w:rsid w:val="00A67E6C"/>
    <w:rsid w:val="00A714F4"/>
    <w:rsid w:val="00A71B76"/>
    <w:rsid w:val="00A71B99"/>
    <w:rsid w:val="00A739D0"/>
    <w:rsid w:val="00A761D4"/>
    <w:rsid w:val="00A77EC4"/>
    <w:rsid w:val="00A80B36"/>
    <w:rsid w:val="00A8168E"/>
    <w:rsid w:val="00A86B89"/>
    <w:rsid w:val="00A87D4A"/>
    <w:rsid w:val="00A90E75"/>
    <w:rsid w:val="00A92879"/>
    <w:rsid w:val="00A9442A"/>
    <w:rsid w:val="00A96A74"/>
    <w:rsid w:val="00AA016F"/>
    <w:rsid w:val="00AA1D18"/>
    <w:rsid w:val="00AA1ED6"/>
    <w:rsid w:val="00AA51D6"/>
    <w:rsid w:val="00AB0BC8"/>
    <w:rsid w:val="00AB11CA"/>
    <w:rsid w:val="00AB14D9"/>
    <w:rsid w:val="00AB4AB8"/>
    <w:rsid w:val="00AB655E"/>
    <w:rsid w:val="00AB70F6"/>
    <w:rsid w:val="00AC007F"/>
    <w:rsid w:val="00AC2ECD"/>
    <w:rsid w:val="00AC3119"/>
    <w:rsid w:val="00AC49FB"/>
    <w:rsid w:val="00AC530C"/>
    <w:rsid w:val="00AC5A10"/>
    <w:rsid w:val="00AD0AA3"/>
    <w:rsid w:val="00AD3F94"/>
    <w:rsid w:val="00AD4A5A"/>
    <w:rsid w:val="00AE0D32"/>
    <w:rsid w:val="00AE27AC"/>
    <w:rsid w:val="00AE27C8"/>
    <w:rsid w:val="00AE40E0"/>
    <w:rsid w:val="00AE4DBA"/>
    <w:rsid w:val="00AE4F07"/>
    <w:rsid w:val="00AF1C5D"/>
    <w:rsid w:val="00AF42D7"/>
    <w:rsid w:val="00AF674A"/>
    <w:rsid w:val="00B006FE"/>
    <w:rsid w:val="00B007CB"/>
    <w:rsid w:val="00B00920"/>
    <w:rsid w:val="00B02AA9"/>
    <w:rsid w:val="00B02FA3"/>
    <w:rsid w:val="00B03745"/>
    <w:rsid w:val="00B03A8D"/>
    <w:rsid w:val="00B04BA6"/>
    <w:rsid w:val="00B05084"/>
    <w:rsid w:val="00B116E7"/>
    <w:rsid w:val="00B121EC"/>
    <w:rsid w:val="00B157F9"/>
    <w:rsid w:val="00B20256"/>
    <w:rsid w:val="00B20B9A"/>
    <w:rsid w:val="00B20D09"/>
    <w:rsid w:val="00B24AFE"/>
    <w:rsid w:val="00B26F11"/>
    <w:rsid w:val="00B2763F"/>
    <w:rsid w:val="00B27AAC"/>
    <w:rsid w:val="00B30929"/>
    <w:rsid w:val="00B30B70"/>
    <w:rsid w:val="00B31A54"/>
    <w:rsid w:val="00B34B47"/>
    <w:rsid w:val="00B372AA"/>
    <w:rsid w:val="00B400C6"/>
    <w:rsid w:val="00B40445"/>
    <w:rsid w:val="00B409E0"/>
    <w:rsid w:val="00B4133C"/>
    <w:rsid w:val="00B41888"/>
    <w:rsid w:val="00B43B30"/>
    <w:rsid w:val="00B45A52"/>
    <w:rsid w:val="00B46175"/>
    <w:rsid w:val="00B548B7"/>
    <w:rsid w:val="00B6156A"/>
    <w:rsid w:val="00B6394D"/>
    <w:rsid w:val="00B664C7"/>
    <w:rsid w:val="00B71E88"/>
    <w:rsid w:val="00B739F6"/>
    <w:rsid w:val="00B81272"/>
    <w:rsid w:val="00B81A6C"/>
    <w:rsid w:val="00B85DE5"/>
    <w:rsid w:val="00B8748F"/>
    <w:rsid w:val="00B90F73"/>
    <w:rsid w:val="00B93B59"/>
    <w:rsid w:val="00B9406A"/>
    <w:rsid w:val="00BA2280"/>
    <w:rsid w:val="00BA2A08"/>
    <w:rsid w:val="00BA56D2"/>
    <w:rsid w:val="00BA76E0"/>
    <w:rsid w:val="00BB1118"/>
    <w:rsid w:val="00BB2A25"/>
    <w:rsid w:val="00BB51E9"/>
    <w:rsid w:val="00BB5242"/>
    <w:rsid w:val="00BC0FDC"/>
    <w:rsid w:val="00BC1A31"/>
    <w:rsid w:val="00BC3053"/>
    <w:rsid w:val="00BC4D2E"/>
    <w:rsid w:val="00BD0B5A"/>
    <w:rsid w:val="00BD1132"/>
    <w:rsid w:val="00BD48AC"/>
    <w:rsid w:val="00BD5F1A"/>
    <w:rsid w:val="00BD6CAE"/>
    <w:rsid w:val="00BE0951"/>
    <w:rsid w:val="00BE1234"/>
    <w:rsid w:val="00BE2FA6"/>
    <w:rsid w:val="00BE333F"/>
    <w:rsid w:val="00BE418A"/>
    <w:rsid w:val="00BE41C5"/>
    <w:rsid w:val="00BE7406"/>
    <w:rsid w:val="00BE7603"/>
    <w:rsid w:val="00BF05C9"/>
    <w:rsid w:val="00BF3279"/>
    <w:rsid w:val="00BF32C6"/>
    <w:rsid w:val="00BF74C7"/>
    <w:rsid w:val="00C015F1"/>
    <w:rsid w:val="00C01F33"/>
    <w:rsid w:val="00C02CC6"/>
    <w:rsid w:val="00C040F7"/>
    <w:rsid w:val="00C044AB"/>
    <w:rsid w:val="00C05706"/>
    <w:rsid w:val="00C06BCE"/>
    <w:rsid w:val="00C07377"/>
    <w:rsid w:val="00C10478"/>
    <w:rsid w:val="00C11B72"/>
    <w:rsid w:val="00C11D86"/>
    <w:rsid w:val="00C12107"/>
    <w:rsid w:val="00C14D4B"/>
    <w:rsid w:val="00C153E3"/>
    <w:rsid w:val="00C154BB"/>
    <w:rsid w:val="00C173F4"/>
    <w:rsid w:val="00C22EE9"/>
    <w:rsid w:val="00C244A8"/>
    <w:rsid w:val="00C279B5"/>
    <w:rsid w:val="00C27C45"/>
    <w:rsid w:val="00C34773"/>
    <w:rsid w:val="00C3719D"/>
    <w:rsid w:val="00C37CB2"/>
    <w:rsid w:val="00C37DD3"/>
    <w:rsid w:val="00C46E6D"/>
    <w:rsid w:val="00C473A5"/>
    <w:rsid w:val="00C47DB7"/>
    <w:rsid w:val="00C5133C"/>
    <w:rsid w:val="00C5140E"/>
    <w:rsid w:val="00C54425"/>
    <w:rsid w:val="00C54995"/>
    <w:rsid w:val="00C54D41"/>
    <w:rsid w:val="00C56A5B"/>
    <w:rsid w:val="00C60783"/>
    <w:rsid w:val="00C6129E"/>
    <w:rsid w:val="00C64672"/>
    <w:rsid w:val="00C70697"/>
    <w:rsid w:val="00C72093"/>
    <w:rsid w:val="00C72EF4"/>
    <w:rsid w:val="00C743F0"/>
    <w:rsid w:val="00C74470"/>
    <w:rsid w:val="00C744FE"/>
    <w:rsid w:val="00C75D2F"/>
    <w:rsid w:val="00C767BE"/>
    <w:rsid w:val="00C76E3C"/>
    <w:rsid w:val="00C81568"/>
    <w:rsid w:val="00C85E65"/>
    <w:rsid w:val="00C86EE5"/>
    <w:rsid w:val="00C9027A"/>
    <w:rsid w:val="00C9068E"/>
    <w:rsid w:val="00C93814"/>
    <w:rsid w:val="00C93C4B"/>
    <w:rsid w:val="00C944AB"/>
    <w:rsid w:val="00C95B40"/>
    <w:rsid w:val="00CA1791"/>
    <w:rsid w:val="00CA1ED8"/>
    <w:rsid w:val="00CB1F63"/>
    <w:rsid w:val="00CB7170"/>
    <w:rsid w:val="00CC0072"/>
    <w:rsid w:val="00CC040E"/>
    <w:rsid w:val="00CC111F"/>
    <w:rsid w:val="00CC2011"/>
    <w:rsid w:val="00CC3EA0"/>
    <w:rsid w:val="00CC7B45"/>
    <w:rsid w:val="00CD1188"/>
    <w:rsid w:val="00CD2ED1"/>
    <w:rsid w:val="00CD337B"/>
    <w:rsid w:val="00CD5865"/>
    <w:rsid w:val="00CD7CF5"/>
    <w:rsid w:val="00CE0424"/>
    <w:rsid w:val="00CE276B"/>
    <w:rsid w:val="00CE7561"/>
    <w:rsid w:val="00CF1354"/>
    <w:rsid w:val="00CF3B1F"/>
    <w:rsid w:val="00CF3BF6"/>
    <w:rsid w:val="00CF625B"/>
    <w:rsid w:val="00CF687E"/>
    <w:rsid w:val="00CF7B8E"/>
    <w:rsid w:val="00D0349B"/>
    <w:rsid w:val="00D10249"/>
    <w:rsid w:val="00D115C3"/>
    <w:rsid w:val="00D11897"/>
    <w:rsid w:val="00D13135"/>
    <w:rsid w:val="00D13E4E"/>
    <w:rsid w:val="00D22663"/>
    <w:rsid w:val="00D239A7"/>
    <w:rsid w:val="00D23F47"/>
    <w:rsid w:val="00D36E71"/>
    <w:rsid w:val="00D37D87"/>
    <w:rsid w:val="00D40B33"/>
    <w:rsid w:val="00D41AB7"/>
    <w:rsid w:val="00D42FF3"/>
    <w:rsid w:val="00D4318F"/>
    <w:rsid w:val="00D438BF"/>
    <w:rsid w:val="00D440F8"/>
    <w:rsid w:val="00D546FF"/>
    <w:rsid w:val="00D558C1"/>
    <w:rsid w:val="00D55AD5"/>
    <w:rsid w:val="00D576CA"/>
    <w:rsid w:val="00D61AF5"/>
    <w:rsid w:val="00D62717"/>
    <w:rsid w:val="00D643AA"/>
    <w:rsid w:val="00D652B5"/>
    <w:rsid w:val="00D66155"/>
    <w:rsid w:val="00D708B0"/>
    <w:rsid w:val="00D73055"/>
    <w:rsid w:val="00D77B1D"/>
    <w:rsid w:val="00D8021F"/>
    <w:rsid w:val="00D80383"/>
    <w:rsid w:val="00D823C6"/>
    <w:rsid w:val="00D8327F"/>
    <w:rsid w:val="00D86CA3"/>
    <w:rsid w:val="00D871CE"/>
    <w:rsid w:val="00D9196D"/>
    <w:rsid w:val="00D92982"/>
    <w:rsid w:val="00D973FD"/>
    <w:rsid w:val="00DA305E"/>
    <w:rsid w:val="00DA5417"/>
    <w:rsid w:val="00DA56E8"/>
    <w:rsid w:val="00DB0A9F"/>
    <w:rsid w:val="00DB377D"/>
    <w:rsid w:val="00DB7B82"/>
    <w:rsid w:val="00DC0A4C"/>
    <w:rsid w:val="00DC2D36"/>
    <w:rsid w:val="00DC53EF"/>
    <w:rsid w:val="00DD01FE"/>
    <w:rsid w:val="00DD44F3"/>
    <w:rsid w:val="00DD4F1F"/>
    <w:rsid w:val="00DE5608"/>
    <w:rsid w:val="00DE58D0"/>
    <w:rsid w:val="00DE601E"/>
    <w:rsid w:val="00DE654F"/>
    <w:rsid w:val="00DF0B6E"/>
    <w:rsid w:val="00DF15E0"/>
    <w:rsid w:val="00DF37A0"/>
    <w:rsid w:val="00E020AA"/>
    <w:rsid w:val="00E061B8"/>
    <w:rsid w:val="00E10C36"/>
    <w:rsid w:val="00E110E7"/>
    <w:rsid w:val="00E11B20"/>
    <w:rsid w:val="00E17974"/>
    <w:rsid w:val="00E17FA2"/>
    <w:rsid w:val="00E20292"/>
    <w:rsid w:val="00E20AA1"/>
    <w:rsid w:val="00E20E94"/>
    <w:rsid w:val="00E22330"/>
    <w:rsid w:val="00E30B5A"/>
    <w:rsid w:val="00E3123D"/>
    <w:rsid w:val="00E31461"/>
    <w:rsid w:val="00E31D43"/>
    <w:rsid w:val="00E32608"/>
    <w:rsid w:val="00E34188"/>
    <w:rsid w:val="00E346B9"/>
    <w:rsid w:val="00E34B6E"/>
    <w:rsid w:val="00E35559"/>
    <w:rsid w:val="00E36AAC"/>
    <w:rsid w:val="00E3723A"/>
    <w:rsid w:val="00E37860"/>
    <w:rsid w:val="00E37CCE"/>
    <w:rsid w:val="00E446F1"/>
    <w:rsid w:val="00E46886"/>
    <w:rsid w:val="00E47AEF"/>
    <w:rsid w:val="00E53B75"/>
    <w:rsid w:val="00E54E3B"/>
    <w:rsid w:val="00E57565"/>
    <w:rsid w:val="00E60993"/>
    <w:rsid w:val="00E63838"/>
    <w:rsid w:val="00E64434"/>
    <w:rsid w:val="00E647F2"/>
    <w:rsid w:val="00E66E5A"/>
    <w:rsid w:val="00E67C51"/>
    <w:rsid w:val="00E67D3E"/>
    <w:rsid w:val="00E72942"/>
    <w:rsid w:val="00E72EFC"/>
    <w:rsid w:val="00E758EC"/>
    <w:rsid w:val="00E76E79"/>
    <w:rsid w:val="00E81BC7"/>
    <w:rsid w:val="00E8234C"/>
    <w:rsid w:val="00E83AA9"/>
    <w:rsid w:val="00E85928"/>
    <w:rsid w:val="00E87822"/>
    <w:rsid w:val="00E90395"/>
    <w:rsid w:val="00E90E49"/>
    <w:rsid w:val="00E917F9"/>
    <w:rsid w:val="00E92325"/>
    <w:rsid w:val="00E9291C"/>
    <w:rsid w:val="00E93FFE"/>
    <w:rsid w:val="00E94F8A"/>
    <w:rsid w:val="00E95668"/>
    <w:rsid w:val="00EA19F0"/>
    <w:rsid w:val="00EA7A41"/>
    <w:rsid w:val="00EB077B"/>
    <w:rsid w:val="00EB30A7"/>
    <w:rsid w:val="00EB4EA2"/>
    <w:rsid w:val="00EC24D5"/>
    <w:rsid w:val="00EC27C6"/>
    <w:rsid w:val="00EC375F"/>
    <w:rsid w:val="00EC4207"/>
    <w:rsid w:val="00EC55B1"/>
    <w:rsid w:val="00EC5653"/>
    <w:rsid w:val="00EC71CE"/>
    <w:rsid w:val="00ED0A6B"/>
    <w:rsid w:val="00ED1006"/>
    <w:rsid w:val="00ED123D"/>
    <w:rsid w:val="00ED427F"/>
    <w:rsid w:val="00EE3A54"/>
    <w:rsid w:val="00EE483C"/>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4C2"/>
    <w:rsid w:val="00F30828"/>
    <w:rsid w:val="00F313D6"/>
    <w:rsid w:val="00F336B3"/>
    <w:rsid w:val="00F3793A"/>
    <w:rsid w:val="00F40F0C"/>
    <w:rsid w:val="00F4766C"/>
    <w:rsid w:val="00F5060E"/>
    <w:rsid w:val="00F507D1"/>
    <w:rsid w:val="00F5120E"/>
    <w:rsid w:val="00F5193E"/>
    <w:rsid w:val="00F519CE"/>
    <w:rsid w:val="00F51ADA"/>
    <w:rsid w:val="00F53DDA"/>
    <w:rsid w:val="00F555EF"/>
    <w:rsid w:val="00F60203"/>
    <w:rsid w:val="00F607C5"/>
    <w:rsid w:val="00F60DEA"/>
    <w:rsid w:val="00F6105D"/>
    <w:rsid w:val="00F6302A"/>
    <w:rsid w:val="00F63950"/>
    <w:rsid w:val="00F64C2B"/>
    <w:rsid w:val="00F651BE"/>
    <w:rsid w:val="00F67F53"/>
    <w:rsid w:val="00F703BE"/>
    <w:rsid w:val="00F7071C"/>
    <w:rsid w:val="00F71F69"/>
    <w:rsid w:val="00F72B72"/>
    <w:rsid w:val="00F74BB9"/>
    <w:rsid w:val="00F75582"/>
    <w:rsid w:val="00F76EFA"/>
    <w:rsid w:val="00F804BE"/>
    <w:rsid w:val="00F80934"/>
    <w:rsid w:val="00F817CE"/>
    <w:rsid w:val="00F8456C"/>
    <w:rsid w:val="00F84B73"/>
    <w:rsid w:val="00F859D8"/>
    <w:rsid w:val="00F868F5"/>
    <w:rsid w:val="00F86F23"/>
    <w:rsid w:val="00F9056A"/>
    <w:rsid w:val="00F90F8D"/>
    <w:rsid w:val="00F92782"/>
    <w:rsid w:val="00F93AA9"/>
    <w:rsid w:val="00F96985"/>
    <w:rsid w:val="00F97838"/>
    <w:rsid w:val="00FA2BB3"/>
    <w:rsid w:val="00FA3B5F"/>
    <w:rsid w:val="00FB015D"/>
    <w:rsid w:val="00FB46F5"/>
    <w:rsid w:val="00FB4C80"/>
    <w:rsid w:val="00FB6A6A"/>
    <w:rsid w:val="00FC7429"/>
    <w:rsid w:val="00FC755E"/>
    <w:rsid w:val="00FD07F6"/>
    <w:rsid w:val="00FD1EC8"/>
    <w:rsid w:val="00FD47ED"/>
    <w:rsid w:val="00FD74DB"/>
    <w:rsid w:val="00FD7660"/>
    <w:rsid w:val="00FE0655"/>
    <w:rsid w:val="00FE2365"/>
    <w:rsid w:val="00FE37D7"/>
    <w:rsid w:val="00FE4C7B"/>
    <w:rsid w:val="00FE71FF"/>
    <w:rsid w:val="00FE7336"/>
    <w:rsid w:val="00FE787C"/>
    <w:rsid w:val="00FF45A5"/>
    <w:rsid w:val="00FF5C91"/>
    <w:rsid w:val="00FF5F6F"/>
    <w:rsid w:val="00FF6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A2445"/>
  <w15:chartTrackingRefBased/>
  <w15:docId w15:val="{0EBAD43D-FB14-401B-A23E-A5175169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53E3"/>
    <w:pPr>
      <w:overflowPunct w:val="0"/>
      <w:autoSpaceDE w:val="0"/>
      <w:autoSpaceDN w:val="0"/>
      <w:adjustRightInd w:val="0"/>
      <w:spacing w:after="180"/>
      <w:textAlignment w:val="baseline"/>
    </w:pPr>
    <w:rPr>
      <w:rFonts w:ascii="Arial" w:hAnsi="Arial"/>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6D5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D518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D5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D5189"/>
    <w:pPr>
      <w:ind w:left="1418" w:hanging="1418"/>
      <w:outlineLvl w:val="3"/>
    </w:pPr>
    <w:rPr>
      <w:sz w:val="24"/>
    </w:rPr>
  </w:style>
  <w:style w:type="paragraph" w:styleId="Heading5">
    <w:name w:val="heading 5"/>
    <w:basedOn w:val="Heading4"/>
    <w:next w:val="Normal"/>
    <w:link w:val="Heading5Char"/>
    <w:qFormat/>
    <w:rsid w:val="006D5189"/>
    <w:pPr>
      <w:ind w:left="1701" w:hanging="1701"/>
      <w:outlineLvl w:val="4"/>
    </w:pPr>
    <w:rPr>
      <w:sz w:val="22"/>
    </w:rPr>
  </w:style>
  <w:style w:type="paragraph" w:styleId="Heading6">
    <w:name w:val="heading 6"/>
    <w:basedOn w:val="H6"/>
    <w:next w:val="Normal"/>
    <w:link w:val="Heading6Char"/>
    <w:qFormat/>
    <w:rsid w:val="006D5189"/>
    <w:pPr>
      <w:outlineLvl w:val="5"/>
    </w:pPr>
  </w:style>
  <w:style w:type="paragraph" w:styleId="Heading7">
    <w:name w:val="heading 7"/>
    <w:basedOn w:val="H6"/>
    <w:next w:val="Normal"/>
    <w:link w:val="Heading7Char"/>
    <w:qFormat/>
    <w:rsid w:val="006D5189"/>
    <w:pPr>
      <w:outlineLvl w:val="6"/>
    </w:pPr>
  </w:style>
  <w:style w:type="paragraph" w:styleId="Heading8">
    <w:name w:val="heading 8"/>
    <w:basedOn w:val="Heading1"/>
    <w:next w:val="Normal"/>
    <w:link w:val="Heading8Char"/>
    <w:qFormat/>
    <w:rsid w:val="006D5189"/>
    <w:pPr>
      <w:ind w:left="0" w:firstLine="0"/>
      <w:outlineLvl w:val="7"/>
    </w:pPr>
  </w:style>
  <w:style w:type="paragraph" w:styleId="Heading9">
    <w:name w:val="heading 9"/>
    <w:basedOn w:val="Heading8"/>
    <w:next w:val="Normal"/>
    <w:link w:val="Heading9Char"/>
    <w:qFormat/>
    <w:rsid w:val="006D5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5189"/>
    <w:pPr>
      <w:spacing w:before="180"/>
      <w:ind w:left="2693" w:hanging="2693"/>
    </w:pPr>
    <w:rPr>
      <w:b/>
    </w:rPr>
  </w:style>
  <w:style w:type="paragraph" w:styleId="TOC1">
    <w:name w:val="toc 1"/>
    <w:uiPriority w:val="39"/>
    <w:rsid w:val="006D5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5189"/>
    <w:pPr>
      <w:keepNext/>
      <w:keepLines/>
      <w:spacing w:before="180"/>
      <w:jc w:val="center"/>
    </w:pPr>
  </w:style>
  <w:style w:type="paragraph" w:styleId="Caption">
    <w:name w:val="caption"/>
    <w:basedOn w:val="Normal"/>
    <w:next w:val="Normal"/>
    <w:qFormat/>
    <w:rsid w:val="006D5189"/>
    <w:pPr>
      <w:spacing w:before="120" w:after="120"/>
    </w:pPr>
    <w:rPr>
      <w:b/>
      <w:lang w:eastAsia="en-GB"/>
    </w:rPr>
  </w:style>
  <w:style w:type="paragraph" w:styleId="TOC5">
    <w:name w:val="toc 5"/>
    <w:basedOn w:val="TOC4"/>
    <w:uiPriority w:val="39"/>
    <w:rsid w:val="006D5189"/>
    <w:pPr>
      <w:ind w:left="1701" w:hanging="1701"/>
    </w:pPr>
  </w:style>
  <w:style w:type="paragraph" w:styleId="TOC4">
    <w:name w:val="toc 4"/>
    <w:basedOn w:val="TOC3"/>
    <w:uiPriority w:val="39"/>
    <w:rsid w:val="006D5189"/>
    <w:pPr>
      <w:ind w:left="1418" w:hanging="1418"/>
    </w:pPr>
  </w:style>
  <w:style w:type="paragraph" w:styleId="TOC3">
    <w:name w:val="toc 3"/>
    <w:basedOn w:val="TOC2"/>
    <w:uiPriority w:val="39"/>
    <w:rsid w:val="006D5189"/>
    <w:pPr>
      <w:ind w:left="1134" w:hanging="1134"/>
    </w:pPr>
  </w:style>
  <w:style w:type="paragraph" w:styleId="TOC2">
    <w:name w:val="toc 2"/>
    <w:basedOn w:val="TOC1"/>
    <w:uiPriority w:val="39"/>
    <w:rsid w:val="006D5189"/>
    <w:pPr>
      <w:keepNext w:val="0"/>
      <w:spacing w:before="0"/>
      <w:ind w:left="851" w:hanging="851"/>
    </w:pPr>
    <w:rPr>
      <w:sz w:val="20"/>
    </w:rPr>
  </w:style>
  <w:style w:type="paragraph" w:styleId="Index2">
    <w:name w:val="index 2"/>
    <w:basedOn w:val="Index1"/>
    <w:rsid w:val="006D5189"/>
    <w:pPr>
      <w:ind w:left="284"/>
    </w:pPr>
  </w:style>
  <w:style w:type="paragraph" w:styleId="Index1">
    <w:name w:val="index 1"/>
    <w:basedOn w:val="Normal"/>
    <w:rsid w:val="006D5189"/>
    <w:pPr>
      <w:keepLines/>
      <w:spacing w:after="0"/>
    </w:pPr>
  </w:style>
  <w:style w:type="paragraph" w:styleId="DocumentMap">
    <w:name w:val="Document Map"/>
    <w:basedOn w:val="Normal"/>
    <w:link w:val="DocumentMapChar"/>
    <w:rsid w:val="006D5189"/>
    <w:pPr>
      <w:shd w:val="clear" w:color="auto" w:fill="000080"/>
    </w:pPr>
    <w:rPr>
      <w:rFonts w:ascii="Tahoma" w:hAnsi="Tahoma" w:cs="Tahoma"/>
    </w:rPr>
  </w:style>
  <w:style w:type="paragraph" w:styleId="ListNumber2">
    <w:name w:val="List Number 2"/>
    <w:basedOn w:val="ListNumber"/>
    <w:rsid w:val="006D5189"/>
    <w:pPr>
      <w:numPr>
        <w:numId w:val="22"/>
      </w:numPr>
    </w:pPr>
  </w:style>
  <w:style w:type="paragraph" w:styleId="ListNumber">
    <w:name w:val="List Number"/>
    <w:basedOn w:val="List"/>
    <w:rsid w:val="006D5189"/>
    <w:pPr>
      <w:numPr>
        <w:numId w:val="21"/>
      </w:numPr>
    </w:pPr>
    <w:rPr>
      <w:lang w:eastAsia="ja-JP"/>
    </w:rPr>
  </w:style>
  <w:style w:type="paragraph" w:styleId="List">
    <w:name w:val="List"/>
    <w:basedOn w:val="BodyText"/>
    <w:rsid w:val="006D5189"/>
    <w:pPr>
      <w:ind w:left="568" w:hanging="284"/>
    </w:pPr>
  </w:style>
  <w:style w:type="paragraph" w:styleId="Header">
    <w:name w:val="header"/>
    <w:link w:val="HeaderChar"/>
    <w:rsid w:val="006D51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189"/>
    <w:rPr>
      <w:b/>
      <w:position w:val="6"/>
      <w:sz w:val="16"/>
    </w:rPr>
  </w:style>
  <w:style w:type="paragraph" w:styleId="FootnoteText">
    <w:name w:val="footnote text"/>
    <w:basedOn w:val="Normal"/>
    <w:link w:val="FootnoteTextChar"/>
    <w:rsid w:val="006D5189"/>
    <w:pPr>
      <w:keepLines/>
      <w:spacing w:after="0"/>
      <w:ind w:left="454" w:hanging="454"/>
    </w:pPr>
    <w:rPr>
      <w:sz w:val="16"/>
    </w:rPr>
  </w:style>
  <w:style w:type="paragraph" w:customStyle="1" w:styleId="3GPPHeader">
    <w:name w:val="3GPP_Header"/>
    <w:basedOn w:val="BodyText"/>
    <w:rsid w:val="006D5189"/>
    <w:pPr>
      <w:tabs>
        <w:tab w:val="left" w:pos="1701"/>
        <w:tab w:val="right" w:pos="9639"/>
      </w:tabs>
      <w:spacing w:after="240"/>
    </w:pPr>
    <w:rPr>
      <w:b/>
      <w:sz w:val="24"/>
    </w:rPr>
  </w:style>
  <w:style w:type="paragraph" w:styleId="TOC9">
    <w:name w:val="toc 9"/>
    <w:basedOn w:val="TOC8"/>
    <w:uiPriority w:val="39"/>
    <w:rsid w:val="006D5189"/>
    <w:pPr>
      <w:ind w:left="1418" w:hanging="1418"/>
    </w:pPr>
  </w:style>
  <w:style w:type="paragraph" w:styleId="TOC6">
    <w:name w:val="toc 6"/>
    <w:basedOn w:val="TOC5"/>
    <w:next w:val="Normal"/>
    <w:uiPriority w:val="39"/>
    <w:rsid w:val="006D5189"/>
    <w:pPr>
      <w:ind w:left="1985" w:hanging="1985"/>
    </w:pPr>
  </w:style>
  <w:style w:type="paragraph" w:styleId="TOC7">
    <w:name w:val="toc 7"/>
    <w:basedOn w:val="TOC6"/>
    <w:next w:val="Normal"/>
    <w:uiPriority w:val="39"/>
    <w:rsid w:val="006D5189"/>
    <w:pPr>
      <w:ind w:left="2268" w:hanging="2268"/>
    </w:pPr>
  </w:style>
  <w:style w:type="paragraph" w:styleId="ListBullet2">
    <w:name w:val="List Bullet 2"/>
    <w:basedOn w:val="ListBullet"/>
    <w:rsid w:val="006D5189"/>
    <w:pPr>
      <w:numPr>
        <w:numId w:val="17"/>
      </w:numPr>
    </w:pPr>
  </w:style>
  <w:style w:type="paragraph" w:styleId="ListBullet">
    <w:name w:val="List Bullet"/>
    <w:basedOn w:val="List"/>
    <w:rsid w:val="006D5189"/>
    <w:pPr>
      <w:numPr>
        <w:numId w:val="16"/>
      </w:numPr>
    </w:pPr>
    <w:rPr>
      <w:lang w:eastAsia="ja-JP"/>
    </w:rPr>
  </w:style>
  <w:style w:type="paragraph" w:styleId="ListBullet3">
    <w:name w:val="List Bullet 3"/>
    <w:basedOn w:val="ListBullet2"/>
    <w:rsid w:val="006D5189"/>
    <w:pPr>
      <w:numPr>
        <w:numId w:val="18"/>
      </w:numPr>
    </w:pPr>
  </w:style>
  <w:style w:type="paragraph" w:customStyle="1" w:styleId="EQ">
    <w:name w:val="EQ"/>
    <w:basedOn w:val="Normal"/>
    <w:next w:val="Normal"/>
    <w:rsid w:val="006D5189"/>
    <w:pPr>
      <w:keepLines/>
      <w:tabs>
        <w:tab w:val="center" w:pos="4536"/>
        <w:tab w:val="right" w:pos="9072"/>
      </w:tabs>
    </w:pPr>
    <w:rPr>
      <w:noProof/>
    </w:rPr>
  </w:style>
  <w:style w:type="paragraph" w:styleId="List2">
    <w:name w:val="List 2"/>
    <w:basedOn w:val="List"/>
    <w:rsid w:val="006D5189"/>
    <w:pPr>
      <w:ind w:left="851"/>
    </w:pPr>
    <w:rPr>
      <w:lang w:eastAsia="ja-JP"/>
    </w:rPr>
  </w:style>
  <w:style w:type="paragraph" w:styleId="List3">
    <w:name w:val="List 3"/>
    <w:basedOn w:val="List2"/>
    <w:rsid w:val="006D5189"/>
    <w:pPr>
      <w:ind w:left="1135"/>
    </w:pPr>
  </w:style>
  <w:style w:type="paragraph" w:styleId="List4">
    <w:name w:val="List 4"/>
    <w:basedOn w:val="List3"/>
    <w:rsid w:val="006D5189"/>
    <w:pPr>
      <w:ind w:left="1418"/>
    </w:pPr>
  </w:style>
  <w:style w:type="paragraph" w:styleId="List5">
    <w:name w:val="List 5"/>
    <w:basedOn w:val="List4"/>
    <w:rsid w:val="006D5189"/>
    <w:pPr>
      <w:ind w:left="1702"/>
    </w:pPr>
  </w:style>
  <w:style w:type="paragraph" w:customStyle="1" w:styleId="EditorsNote">
    <w:name w:val="Editor's Note"/>
    <w:basedOn w:val="NO"/>
    <w:link w:val="EditorsNoteChar"/>
    <w:rsid w:val="006D5189"/>
    <w:rPr>
      <w:color w:val="FF0000"/>
      <w:lang w:val="x-none" w:eastAsia="x-none"/>
    </w:rPr>
  </w:style>
  <w:style w:type="paragraph" w:styleId="ListBullet4">
    <w:name w:val="List Bullet 4"/>
    <w:basedOn w:val="ListBullet3"/>
    <w:rsid w:val="006D5189"/>
    <w:pPr>
      <w:numPr>
        <w:numId w:val="19"/>
      </w:numPr>
    </w:pPr>
  </w:style>
  <w:style w:type="paragraph" w:styleId="ListBullet5">
    <w:name w:val="List Bullet 5"/>
    <w:basedOn w:val="ListBullet4"/>
    <w:rsid w:val="006D5189"/>
    <w:pPr>
      <w:numPr>
        <w:numId w:val="20"/>
      </w:numPr>
    </w:pPr>
  </w:style>
  <w:style w:type="paragraph" w:styleId="Footer">
    <w:name w:val="footer"/>
    <w:basedOn w:val="Header"/>
    <w:link w:val="FooterChar"/>
    <w:rsid w:val="006D5189"/>
    <w:pPr>
      <w:jc w:val="center"/>
    </w:pPr>
    <w:rPr>
      <w:i/>
    </w:rPr>
  </w:style>
  <w:style w:type="paragraph" w:customStyle="1" w:styleId="Reference">
    <w:name w:val="Reference"/>
    <w:basedOn w:val="BodyText"/>
    <w:link w:val="ReferenceChar"/>
    <w:rsid w:val="006D5189"/>
    <w:pPr>
      <w:numPr>
        <w:numId w:val="2"/>
      </w:numPr>
    </w:pPr>
  </w:style>
  <w:style w:type="paragraph" w:styleId="BalloonText">
    <w:name w:val="Balloon Text"/>
    <w:basedOn w:val="Normal"/>
    <w:link w:val="BalloonTextChar"/>
    <w:rsid w:val="006D5189"/>
    <w:pPr>
      <w:spacing w:after="0"/>
    </w:pPr>
    <w:rPr>
      <w:rFonts w:ascii="Segoe UI" w:hAnsi="Segoe UI" w:cs="Segoe UI"/>
      <w:sz w:val="18"/>
      <w:szCs w:val="18"/>
    </w:rPr>
  </w:style>
  <w:style w:type="character" w:styleId="PageNumber">
    <w:name w:val="page number"/>
    <w:basedOn w:val="DefaultParagraphFont"/>
    <w:rsid w:val="006D518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5189"/>
    <w:pPr>
      <w:spacing w:after="120"/>
      <w:jc w:val="both"/>
    </w:pPr>
    <w:rPr>
      <w:lang w:eastAsia="zh-CN"/>
    </w:rPr>
  </w:style>
  <w:style w:type="character" w:styleId="Hyperlink">
    <w:name w:val="Hyperlink"/>
    <w:uiPriority w:val="99"/>
    <w:rsid w:val="006D5189"/>
    <w:rPr>
      <w:color w:val="0000FF"/>
      <w:u w:val="single"/>
    </w:rPr>
  </w:style>
  <w:style w:type="character" w:styleId="FollowedHyperlink">
    <w:name w:val="FollowedHyperlink"/>
    <w:unhideWhenUsed/>
    <w:rsid w:val="006D5189"/>
    <w:rPr>
      <w:color w:val="800080"/>
      <w:u w:val="single"/>
    </w:rPr>
  </w:style>
  <w:style w:type="character" w:styleId="CommentReference">
    <w:name w:val="annotation reference"/>
    <w:uiPriority w:val="99"/>
    <w:qFormat/>
    <w:rsid w:val="006D5189"/>
    <w:rPr>
      <w:sz w:val="16"/>
      <w:szCs w:val="16"/>
    </w:rPr>
  </w:style>
  <w:style w:type="paragraph" w:styleId="CommentText">
    <w:name w:val="annotation text"/>
    <w:basedOn w:val="Normal"/>
    <w:link w:val="CommentTextChar"/>
    <w:uiPriority w:val="99"/>
    <w:qFormat/>
    <w:rsid w:val="006D5189"/>
  </w:style>
  <w:style w:type="paragraph" w:styleId="CommentSubject">
    <w:name w:val="annotation subject"/>
    <w:basedOn w:val="CommentText"/>
    <w:next w:val="CommentText"/>
    <w:link w:val="CommentSubjectChar"/>
    <w:rsid w:val="006D518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D5189"/>
    <w:rPr>
      <w:rFonts w:ascii="Arial" w:hAnsi="Arial"/>
      <w:sz w:val="36"/>
      <w:lang w:eastAsia="ja-JP"/>
    </w:rPr>
  </w:style>
  <w:style w:type="paragraph" w:customStyle="1" w:styleId="B1">
    <w:name w:val="B1"/>
    <w:basedOn w:val="List"/>
    <w:link w:val="B1Char1"/>
    <w:rsid w:val="006D5189"/>
    <w:rPr>
      <w:rFonts w:ascii="Times New Roman" w:hAnsi="Times New Roman"/>
    </w:rPr>
  </w:style>
  <w:style w:type="paragraph" w:customStyle="1" w:styleId="B2">
    <w:name w:val="B2"/>
    <w:basedOn w:val="List2"/>
    <w:link w:val="B2Char"/>
    <w:rsid w:val="006D5189"/>
    <w:rPr>
      <w:rFonts w:ascii="Times New Roman" w:hAnsi="Times New Roman"/>
    </w:rPr>
  </w:style>
  <w:style w:type="paragraph" w:customStyle="1" w:styleId="B3">
    <w:name w:val="B3"/>
    <w:basedOn w:val="List3"/>
    <w:link w:val="B3Char2"/>
    <w:rsid w:val="006D5189"/>
    <w:rPr>
      <w:rFonts w:ascii="Times New Roman" w:hAnsi="Times New Roman"/>
    </w:rPr>
  </w:style>
  <w:style w:type="paragraph" w:customStyle="1" w:styleId="B4">
    <w:name w:val="B4"/>
    <w:basedOn w:val="List4"/>
    <w:link w:val="B4Char"/>
    <w:rsid w:val="006D5189"/>
    <w:rPr>
      <w:rFonts w:ascii="Times New Roman" w:hAnsi="Times New Roman"/>
    </w:rPr>
  </w:style>
  <w:style w:type="paragraph" w:customStyle="1" w:styleId="Proposal">
    <w:name w:val="Proposal"/>
    <w:basedOn w:val="BodyText"/>
    <w:rsid w:val="006D51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D5189"/>
    <w:rPr>
      <w:rFonts w:ascii="Arial" w:hAnsi="Arial"/>
      <w:lang w:eastAsia="zh-CN"/>
    </w:rPr>
  </w:style>
  <w:style w:type="paragraph" w:customStyle="1" w:styleId="B5">
    <w:name w:val="B5"/>
    <w:basedOn w:val="List5"/>
    <w:link w:val="B5Char"/>
    <w:rsid w:val="006D5189"/>
    <w:rPr>
      <w:rFonts w:ascii="Times New Roman" w:hAnsi="Times New Roman"/>
    </w:rPr>
  </w:style>
  <w:style w:type="paragraph" w:customStyle="1" w:styleId="EX">
    <w:name w:val="EX"/>
    <w:basedOn w:val="Normal"/>
    <w:rsid w:val="006D5189"/>
    <w:pPr>
      <w:keepLines/>
      <w:ind w:left="1702" w:hanging="1418"/>
    </w:pPr>
  </w:style>
  <w:style w:type="paragraph" w:customStyle="1" w:styleId="EW">
    <w:name w:val="EW"/>
    <w:basedOn w:val="EX"/>
    <w:rsid w:val="006D5189"/>
    <w:pPr>
      <w:spacing w:after="0"/>
    </w:pPr>
  </w:style>
  <w:style w:type="paragraph" w:customStyle="1" w:styleId="TAL">
    <w:name w:val="TAL"/>
    <w:basedOn w:val="Normal"/>
    <w:link w:val="TALCar"/>
    <w:rsid w:val="006D5189"/>
    <w:pPr>
      <w:keepNext/>
      <w:keepLines/>
      <w:spacing w:after="0"/>
    </w:pPr>
    <w:rPr>
      <w:sz w:val="18"/>
      <w:lang w:val="x-none" w:eastAsia="x-none"/>
    </w:rPr>
  </w:style>
  <w:style w:type="paragraph" w:customStyle="1" w:styleId="TAC">
    <w:name w:val="TAC"/>
    <w:basedOn w:val="TAL"/>
    <w:rsid w:val="006D5189"/>
    <w:pPr>
      <w:jc w:val="center"/>
    </w:pPr>
  </w:style>
  <w:style w:type="paragraph" w:customStyle="1" w:styleId="TAH">
    <w:name w:val="TAH"/>
    <w:basedOn w:val="TAC"/>
    <w:link w:val="TAHCar"/>
    <w:rsid w:val="006D5189"/>
    <w:rPr>
      <w:b/>
    </w:rPr>
  </w:style>
  <w:style w:type="paragraph" w:customStyle="1" w:styleId="TAN">
    <w:name w:val="TAN"/>
    <w:basedOn w:val="TAL"/>
    <w:rsid w:val="006D5189"/>
    <w:pPr>
      <w:ind w:left="851" w:hanging="851"/>
    </w:pPr>
  </w:style>
  <w:style w:type="paragraph" w:customStyle="1" w:styleId="TAR">
    <w:name w:val="TAR"/>
    <w:basedOn w:val="TAL"/>
    <w:rsid w:val="006D5189"/>
    <w:pPr>
      <w:jc w:val="right"/>
    </w:pPr>
  </w:style>
  <w:style w:type="paragraph" w:customStyle="1" w:styleId="TH">
    <w:name w:val="TH"/>
    <w:basedOn w:val="Normal"/>
    <w:link w:val="THChar"/>
    <w:rsid w:val="006D5189"/>
    <w:pPr>
      <w:keepNext/>
      <w:keepLines/>
      <w:spacing w:before="60"/>
      <w:jc w:val="center"/>
    </w:pPr>
    <w:rPr>
      <w:b/>
      <w:lang w:val="x-none" w:eastAsia="x-none"/>
    </w:rPr>
  </w:style>
  <w:style w:type="paragraph" w:customStyle="1" w:styleId="TF">
    <w:name w:val="TF"/>
    <w:basedOn w:val="TH"/>
    <w:link w:val="TFChar"/>
    <w:rsid w:val="006D5189"/>
    <w:pPr>
      <w:keepNext w:val="0"/>
      <w:spacing w:before="0" w:after="240"/>
    </w:pPr>
  </w:style>
  <w:style w:type="paragraph" w:customStyle="1" w:styleId="TT">
    <w:name w:val="TT"/>
    <w:basedOn w:val="Heading1"/>
    <w:next w:val="Normal"/>
    <w:rsid w:val="006D5189"/>
    <w:pPr>
      <w:outlineLvl w:val="9"/>
    </w:pPr>
  </w:style>
  <w:style w:type="paragraph" w:customStyle="1" w:styleId="ZA">
    <w:name w:val="ZA"/>
    <w:rsid w:val="006D5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1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1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189"/>
  </w:style>
  <w:style w:type="paragraph" w:customStyle="1" w:styleId="ZH">
    <w:name w:val="ZH"/>
    <w:rsid w:val="006D51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1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189"/>
    <w:pPr>
      <w:framePr w:hRule="auto" w:wrap="notBeside" w:y="852"/>
    </w:pPr>
    <w:rPr>
      <w:i w:val="0"/>
      <w:sz w:val="40"/>
    </w:rPr>
  </w:style>
  <w:style w:type="paragraph" w:customStyle="1" w:styleId="ZU">
    <w:name w:val="ZU"/>
    <w:rsid w:val="006D5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189"/>
    <w:pPr>
      <w:framePr w:wrap="notBeside" w:y="16161"/>
    </w:pPr>
  </w:style>
  <w:style w:type="paragraph" w:customStyle="1" w:styleId="FP">
    <w:name w:val="FP"/>
    <w:basedOn w:val="Normal"/>
    <w:rsid w:val="006D5189"/>
    <w:pPr>
      <w:spacing w:after="0"/>
    </w:pPr>
  </w:style>
  <w:style w:type="paragraph" w:customStyle="1" w:styleId="Observation">
    <w:name w:val="Observation"/>
    <w:basedOn w:val="Proposal"/>
    <w:qFormat/>
    <w:rsid w:val="006D5189"/>
    <w:pPr>
      <w:numPr>
        <w:numId w:val="13"/>
      </w:numPr>
      <w:ind w:left="1701" w:hanging="1701"/>
    </w:pPr>
    <w:rPr>
      <w:lang w:eastAsia="ja-JP"/>
    </w:rPr>
  </w:style>
  <w:style w:type="paragraph" w:styleId="TableofFigures">
    <w:name w:val="table of figures"/>
    <w:basedOn w:val="BodyText"/>
    <w:next w:val="Normal"/>
    <w:uiPriority w:val="99"/>
    <w:rsid w:val="006D5189"/>
    <w:pPr>
      <w:ind w:left="1701" w:hanging="1701"/>
      <w:jc w:val="left"/>
    </w:pPr>
    <w:rPr>
      <w:b/>
    </w:rPr>
  </w:style>
  <w:style w:type="character" w:customStyle="1" w:styleId="B1Char1">
    <w:name w:val="B1 Char1"/>
    <w:link w:val="B1"/>
    <w:qFormat/>
    <w:rsid w:val="006D5189"/>
    <w:rPr>
      <w:rFonts w:ascii="Times New Roman" w:hAnsi="Times New Roman"/>
      <w:lang w:eastAsia="zh-CN"/>
    </w:rPr>
  </w:style>
  <w:style w:type="character" w:customStyle="1" w:styleId="B2Char">
    <w:name w:val="B2 Char"/>
    <w:link w:val="B2"/>
    <w:qFormat/>
    <w:rsid w:val="006D5189"/>
    <w:rPr>
      <w:rFonts w:ascii="Times New Roman" w:hAnsi="Times New Roman"/>
      <w:lang w:eastAsia="ja-JP"/>
    </w:rPr>
  </w:style>
  <w:style w:type="character" w:customStyle="1" w:styleId="B3Char2">
    <w:name w:val="B3 Char2"/>
    <w:link w:val="B3"/>
    <w:qFormat/>
    <w:rsid w:val="006D5189"/>
    <w:rPr>
      <w:rFonts w:ascii="Times New Roman" w:hAnsi="Times New Roman"/>
      <w:lang w:eastAsia="ja-JP"/>
    </w:rPr>
  </w:style>
  <w:style w:type="character" w:customStyle="1" w:styleId="B4Char">
    <w:name w:val="B4 Char"/>
    <w:link w:val="B4"/>
    <w:rsid w:val="006D5189"/>
    <w:rPr>
      <w:rFonts w:ascii="Times New Roman" w:hAnsi="Times New Roman"/>
      <w:lang w:eastAsia="ja-JP"/>
    </w:rPr>
  </w:style>
  <w:style w:type="character" w:customStyle="1" w:styleId="B5Char">
    <w:name w:val="B5 Char"/>
    <w:link w:val="B5"/>
    <w:rsid w:val="006D5189"/>
    <w:rPr>
      <w:rFonts w:ascii="Times New Roman" w:hAnsi="Times New Roman"/>
      <w:lang w:eastAsia="ja-JP"/>
    </w:rPr>
  </w:style>
  <w:style w:type="paragraph" w:customStyle="1" w:styleId="B6">
    <w:name w:val="B6"/>
    <w:basedOn w:val="B5"/>
    <w:link w:val="B6Char"/>
    <w:rsid w:val="006D5189"/>
    <w:pPr>
      <w:ind w:left="1985"/>
    </w:pPr>
  </w:style>
  <w:style w:type="character" w:customStyle="1" w:styleId="B6Char">
    <w:name w:val="B6 Char"/>
    <w:link w:val="B6"/>
    <w:rsid w:val="006D5189"/>
    <w:rPr>
      <w:rFonts w:ascii="Times New Roman" w:hAnsi="Times New Roman"/>
      <w:lang w:eastAsia="ja-JP"/>
    </w:rPr>
  </w:style>
  <w:style w:type="paragraph" w:customStyle="1" w:styleId="B7">
    <w:name w:val="B7"/>
    <w:basedOn w:val="B6"/>
    <w:link w:val="B7Char"/>
    <w:rsid w:val="006D5189"/>
    <w:pPr>
      <w:ind w:left="2269"/>
    </w:pPr>
  </w:style>
  <w:style w:type="character" w:customStyle="1" w:styleId="B7Char">
    <w:name w:val="B7 Char"/>
    <w:basedOn w:val="B6Char"/>
    <w:link w:val="B7"/>
    <w:rsid w:val="006D5189"/>
    <w:rPr>
      <w:rFonts w:ascii="Times New Roman" w:hAnsi="Times New Roman"/>
      <w:lang w:eastAsia="ja-JP"/>
    </w:rPr>
  </w:style>
  <w:style w:type="paragraph" w:customStyle="1" w:styleId="B8">
    <w:name w:val="B8"/>
    <w:basedOn w:val="B7"/>
    <w:qFormat/>
    <w:rsid w:val="006D5189"/>
    <w:pPr>
      <w:ind w:left="2552"/>
    </w:pPr>
  </w:style>
  <w:style w:type="character" w:customStyle="1" w:styleId="BalloonTextChar">
    <w:name w:val="Balloon Text Char"/>
    <w:link w:val="BalloonText"/>
    <w:rsid w:val="006D5189"/>
    <w:rPr>
      <w:rFonts w:ascii="Segoe UI" w:hAnsi="Segoe UI" w:cs="Segoe UI"/>
      <w:sz w:val="18"/>
      <w:szCs w:val="18"/>
      <w:lang w:eastAsia="ja-JP"/>
    </w:rPr>
  </w:style>
  <w:style w:type="character" w:customStyle="1" w:styleId="CommentTextChar">
    <w:name w:val="Comment Text Char"/>
    <w:link w:val="CommentText"/>
    <w:uiPriority w:val="99"/>
    <w:qFormat/>
    <w:rsid w:val="006D5189"/>
    <w:rPr>
      <w:rFonts w:ascii="Times New Roman" w:hAnsi="Times New Roman"/>
      <w:lang w:eastAsia="ja-JP"/>
    </w:rPr>
  </w:style>
  <w:style w:type="character" w:customStyle="1" w:styleId="CommentSubjectChar">
    <w:name w:val="Comment Subject Char"/>
    <w:link w:val="CommentSubject"/>
    <w:rsid w:val="006D5189"/>
    <w:rPr>
      <w:rFonts w:ascii="Times New Roman" w:hAnsi="Times New Roman"/>
      <w:b/>
      <w:bCs/>
      <w:lang w:eastAsia="ja-JP"/>
    </w:rPr>
  </w:style>
  <w:style w:type="paragraph" w:customStyle="1" w:styleId="CRCoverPage">
    <w:name w:val="CR Cover Page"/>
    <w:link w:val="CRCoverPageZchn"/>
    <w:rsid w:val="006D5189"/>
    <w:pPr>
      <w:spacing w:after="120"/>
    </w:pPr>
    <w:rPr>
      <w:rFonts w:ascii="Arial" w:hAnsi="Arial"/>
      <w:lang w:eastAsia="ko-KR"/>
    </w:rPr>
  </w:style>
  <w:style w:type="character" w:customStyle="1" w:styleId="CRCoverPageZchn">
    <w:name w:val="CR Cover Page Zchn"/>
    <w:link w:val="CRCoverPage"/>
    <w:rsid w:val="006D5189"/>
    <w:rPr>
      <w:rFonts w:ascii="Arial" w:hAnsi="Arial"/>
      <w:lang w:eastAsia="ko-KR"/>
    </w:rPr>
  </w:style>
  <w:style w:type="paragraph" w:customStyle="1" w:styleId="Doc-text2">
    <w:name w:val="Doc-text2"/>
    <w:basedOn w:val="Normal"/>
    <w:link w:val="Doc-text2Char"/>
    <w:qFormat/>
    <w:rsid w:val="006D5189"/>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6D5189"/>
    <w:rPr>
      <w:rFonts w:ascii="Arial" w:eastAsia="MS Mincho" w:hAnsi="Arial"/>
      <w:szCs w:val="24"/>
      <w:lang w:val="x-none" w:eastAsia="x-none"/>
    </w:rPr>
  </w:style>
  <w:style w:type="character" w:customStyle="1" w:styleId="DocumentMapChar">
    <w:name w:val="Document Map Char"/>
    <w:link w:val="DocumentMap"/>
    <w:rsid w:val="006D5189"/>
    <w:rPr>
      <w:rFonts w:ascii="Tahoma" w:hAnsi="Tahoma" w:cs="Tahoma"/>
      <w:shd w:val="clear" w:color="auto" w:fill="000080"/>
      <w:lang w:eastAsia="ja-JP"/>
    </w:rPr>
  </w:style>
  <w:style w:type="paragraph" w:customStyle="1" w:styleId="NO">
    <w:name w:val="NO"/>
    <w:basedOn w:val="Normal"/>
    <w:link w:val="NOChar"/>
    <w:rsid w:val="006D5189"/>
    <w:pPr>
      <w:keepLines/>
      <w:ind w:left="1135" w:hanging="851"/>
    </w:pPr>
  </w:style>
  <w:style w:type="character" w:customStyle="1" w:styleId="NOChar">
    <w:name w:val="NO Char"/>
    <w:link w:val="NO"/>
    <w:qFormat/>
    <w:rsid w:val="006D5189"/>
    <w:rPr>
      <w:rFonts w:ascii="Times New Roman" w:hAnsi="Times New Roman"/>
      <w:lang w:eastAsia="ja-JP"/>
    </w:rPr>
  </w:style>
  <w:style w:type="character" w:customStyle="1" w:styleId="EditorsNoteChar">
    <w:name w:val="Editor's Note Char"/>
    <w:link w:val="EditorsNote"/>
    <w:rsid w:val="006D5189"/>
    <w:rPr>
      <w:rFonts w:ascii="Times New Roman" w:hAnsi="Times New Roman"/>
      <w:color w:val="FF0000"/>
      <w:lang w:val="x-none" w:eastAsia="x-none"/>
    </w:rPr>
  </w:style>
  <w:style w:type="paragraph" w:customStyle="1" w:styleId="EmailDiscussion">
    <w:name w:val="EmailDiscussion"/>
    <w:basedOn w:val="Normal"/>
    <w:next w:val="Normal"/>
    <w:rsid w:val="006D5189"/>
    <w:pPr>
      <w:numPr>
        <w:numId w:val="14"/>
      </w:numPr>
      <w:spacing w:before="40" w:after="0"/>
    </w:pPr>
    <w:rPr>
      <w:rFonts w:eastAsia="MS Mincho"/>
      <w:b/>
      <w:szCs w:val="24"/>
      <w:lang w:eastAsia="en-GB"/>
    </w:rPr>
  </w:style>
  <w:style w:type="character" w:styleId="Emphasis">
    <w:name w:val="Emphasis"/>
    <w:qFormat/>
    <w:rsid w:val="006D5189"/>
    <w:rPr>
      <w:i/>
      <w:iCs/>
    </w:rPr>
  </w:style>
  <w:style w:type="paragraph" w:customStyle="1" w:styleId="FigureTitle">
    <w:name w:val="Figure_Title"/>
    <w:basedOn w:val="Normal"/>
    <w:next w:val="Normal"/>
    <w:rsid w:val="006D51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189"/>
    <w:rPr>
      <w:rFonts w:ascii="Arial" w:hAnsi="Arial"/>
      <w:b/>
      <w:noProof/>
      <w:sz w:val="18"/>
      <w:lang w:eastAsia="ja-JP"/>
    </w:rPr>
  </w:style>
  <w:style w:type="character" w:customStyle="1" w:styleId="FooterChar">
    <w:name w:val="Footer Char"/>
    <w:link w:val="Footer"/>
    <w:rsid w:val="006D5189"/>
    <w:rPr>
      <w:rFonts w:ascii="Arial" w:hAnsi="Arial"/>
      <w:b/>
      <w:i/>
      <w:noProof/>
      <w:sz w:val="18"/>
      <w:lang w:eastAsia="ja-JP"/>
    </w:rPr>
  </w:style>
  <w:style w:type="character" w:customStyle="1" w:styleId="FootnoteTextChar">
    <w:name w:val="Footnote Text Char"/>
    <w:link w:val="FootnoteText"/>
    <w:rsid w:val="006D5189"/>
    <w:rPr>
      <w:rFonts w:ascii="Times New Roman" w:hAnsi="Times New Roman"/>
      <w:sz w:val="16"/>
      <w:lang w:eastAsia="ja-JP"/>
    </w:rPr>
  </w:style>
  <w:style w:type="paragraph" w:customStyle="1" w:styleId="Guidance">
    <w:name w:val="Guidance"/>
    <w:basedOn w:val="Normal"/>
    <w:rsid w:val="006D5189"/>
    <w:rPr>
      <w:i/>
      <w:color w:val="0000FF"/>
    </w:rPr>
  </w:style>
  <w:style w:type="character" w:customStyle="1" w:styleId="Heading2Char">
    <w:name w:val="Heading 2 Char"/>
    <w:link w:val="Heading2"/>
    <w:rsid w:val="006D5189"/>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D518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89"/>
    <w:rPr>
      <w:rFonts w:ascii="Arial" w:hAnsi="Arial"/>
      <w:sz w:val="24"/>
      <w:lang w:eastAsia="ja-JP"/>
    </w:rPr>
  </w:style>
  <w:style w:type="character" w:customStyle="1" w:styleId="Heading5Char">
    <w:name w:val="Heading 5 Char"/>
    <w:link w:val="Heading5"/>
    <w:rsid w:val="006D5189"/>
    <w:rPr>
      <w:rFonts w:ascii="Arial" w:hAnsi="Arial"/>
      <w:sz w:val="22"/>
      <w:lang w:eastAsia="ja-JP"/>
    </w:rPr>
  </w:style>
  <w:style w:type="paragraph" w:customStyle="1" w:styleId="H6">
    <w:name w:val="H6"/>
    <w:basedOn w:val="Heading5"/>
    <w:next w:val="Normal"/>
    <w:rsid w:val="006D5189"/>
    <w:pPr>
      <w:ind w:left="1985" w:hanging="1985"/>
      <w:outlineLvl w:val="9"/>
    </w:pPr>
    <w:rPr>
      <w:sz w:val="20"/>
    </w:rPr>
  </w:style>
  <w:style w:type="character" w:customStyle="1" w:styleId="Heading6Char">
    <w:name w:val="Heading 6 Char"/>
    <w:link w:val="Heading6"/>
    <w:rsid w:val="006D5189"/>
    <w:rPr>
      <w:rFonts w:ascii="Arial" w:hAnsi="Arial"/>
      <w:lang w:eastAsia="ja-JP"/>
    </w:rPr>
  </w:style>
  <w:style w:type="character" w:customStyle="1" w:styleId="Heading7Char">
    <w:name w:val="Heading 7 Char"/>
    <w:link w:val="Heading7"/>
    <w:rsid w:val="006D5189"/>
    <w:rPr>
      <w:rFonts w:ascii="Arial" w:hAnsi="Arial"/>
      <w:lang w:eastAsia="ja-JP"/>
    </w:rPr>
  </w:style>
  <w:style w:type="character" w:customStyle="1" w:styleId="Heading8Char">
    <w:name w:val="Heading 8 Char"/>
    <w:link w:val="Heading8"/>
    <w:rsid w:val="006D5189"/>
    <w:rPr>
      <w:rFonts w:ascii="Arial" w:hAnsi="Arial"/>
      <w:sz w:val="36"/>
      <w:lang w:eastAsia="ja-JP"/>
    </w:rPr>
  </w:style>
  <w:style w:type="character" w:customStyle="1" w:styleId="Heading9Char">
    <w:name w:val="Heading 9 Char"/>
    <w:link w:val="Heading9"/>
    <w:rsid w:val="006D5189"/>
    <w:rPr>
      <w:rFonts w:ascii="Arial" w:hAnsi="Arial"/>
      <w:sz w:val="36"/>
      <w:lang w:eastAsia="ja-JP"/>
    </w:rPr>
  </w:style>
  <w:style w:type="character" w:styleId="HTMLCode">
    <w:name w:val="HTML Code"/>
    <w:uiPriority w:val="99"/>
    <w:unhideWhenUsed/>
    <w:rsid w:val="006D5189"/>
    <w:rPr>
      <w:rFonts w:ascii="Courier New" w:eastAsia="Times New Roman" w:hAnsi="Courier New" w:cs="Courier New"/>
      <w:sz w:val="20"/>
      <w:szCs w:val="20"/>
    </w:rPr>
  </w:style>
  <w:style w:type="paragraph" w:styleId="IndexHeading">
    <w:name w:val="index heading"/>
    <w:basedOn w:val="Normal"/>
    <w:next w:val="Normal"/>
    <w:rsid w:val="006D5189"/>
    <w:pPr>
      <w:pBdr>
        <w:top w:val="single" w:sz="12" w:space="0" w:color="auto"/>
      </w:pBdr>
      <w:spacing w:before="360" w:after="240"/>
    </w:pPr>
    <w:rPr>
      <w:b/>
      <w:i/>
      <w:sz w:val="26"/>
      <w:lang w:eastAsia="en-GB"/>
    </w:rPr>
  </w:style>
  <w:style w:type="paragraph" w:customStyle="1" w:styleId="LD">
    <w:name w:val="LD"/>
    <w:rsid w:val="006D51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51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5189"/>
    <w:rPr>
      <w:rFonts w:ascii="Calibri" w:eastAsia="Calibri" w:hAnsi="Calibri"/>
      <w:sz w:val="22"/>
      <w:szCs w:val="22"/>
      <w:lang w:val="x-none" w:eastAsia="en-US"/>
    </w:rPr>
  </w:style>
  <w:style w:type="paragraph" w:customStyle="1" w:styleId="NF">
    <w:name w:val="NF"/>
    <w:basedOn w:val="NO"/>
    <w:rsid w:val="006D5189"/>
    <w:pPr>
      <w:keepNext/>
      <w:spacing w:after="0"/>
    </w:pPr>
    <w:rPr>
      <w:sz w:val="18"/>
    </w:rPr>
  </w:style>
  <w:style w:type="paragraph" w:customStyle="1" w:styleId="NW">
    <w:name w:val="NW"/>
    <w:basedOn w:val="NO"/>
    <w:rsid w:val="006D5189"/>
    <w:pPr>
      <w:spacing w:after="0"/>
    </w:pPr>
  </w:style>
  <w:style w:type="paragraph" w:customStyle="1" w:styleId="PL">
    <w:name w:val="PL"/>
    <w:link w:val="PLChar"/>
    <w:qFormat/>
    <w:rsid w:val="006D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189"/>
    <w:rPr>
      <w:rFonts w:ascii="Courier New" w:eastAsia="Batang" w:hAnsi="Courier New"/>
      <w:noProof/>
      <w:sz w:val="16"/>
      <w:shd w:val="clear" w:color="auto" w:fill="E6E6E6"/>
      <w:lang w:eastAsia="sv-SE"/>
    </w:rPr>
  </w:style>
  <w:style w:type="paragraph" w:styleId="PlainText">
    <w:name w:val="Plain Text"/>
    <w:basedOn w:val="Normal"/>
    <w:link w:val="PlainTextChar"/>
    <w:rsid w:val="006D5189"/>
    <w:rPr>
      <w:rFonts w:ascii="Courier New" w:hAnsi="Courier New"/>
      <w:lang w:val="nb-NO"/>
    </w:rPr>
  </w:style>
  <w:style w:type="character" w:customStyle="1" w:styleId="PlainTextChar">
    <w:name w:val="Plain Text Char"/>
    <w:link w:val="PlainText"/>
    <w:rsid w:val="006D5189"/>
    <w:rPr>
      <w:rFonts w:ascii="Courier New" w:hAnsi="Courier New"/>
      <w:lang w:val="nb-NO" w:eastAsia="ja-JP"/>
    </w:rPr>
  </w:style>
  <w:style w:type="character" w:styleId="Strong">
    <w:name w:val="Strong"/>
    <w:uiPriority w:val="22"/>
    <w:qFormat/>
    <w:rsid w:val="006D5189"/>
    <w:rPr>
      <w:b/>
      <w:bCs/>
    </w:rPr>
  </w:style>
  <w:style w:type="table" w:styleId="TableGrid">
    <w:name w:val="Table Grid"/>
    <w:basedOn w:val="TableNormal"/>
    <w:uiPriority w:val="39"/>
    <w:rsid w:val="006D51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189"/>
    <w:rPr>
      <w:rFonts w:ascii="Arial" w:hAnsi="Arial"/>
      <w:sz w:val="18"/>
      <w:lang w:val="x-none" w:eastAsia="x-none"/>
    </w:rPr>
  </w:style>
  <w:style w:type="character" w:customStyle="1" w:styleId="TAHCar">
    <w:name w:val="TAH Car"/>
    <w:link w:val="TAH"/>
    <w:locked/>
    <w:rsid w:val="006D5189"/>
    <w:rPr>
      <w:rFonts w:ascii="Arial" w:hAnsi="Arial"/>
      <w:b/>
      <w:sz w:val="18"/>
      <w:lang w:val="x-none" w:eastAsia="x-none"/>
    </w:rPr>
  </w:style>
  <w:style w:type="character" w:customStyle="1" w:styleId="THChar">
    <w:name w:val="TH Char"/>
    <w:link w:val="TH"/>
    <w:rsid w:val="006D5189"/>
    <w:rPr>
      <w:rFonts w:ascii="Arial" w:hAnsi="Arial"/>
      <w:b/>
      <w:lang w:val="x-none" w:eastAsia="x-none"/>
    </w:rPr>
  </w:style>
  <w:style w:type="paragraph" w:customStyle="1" w:styleId="TAJ">
    <w:name w:val="TAJ"/>
    <w:basedOn w:val="TH"/>
    <w:rsid w:val="006D5189"/>
  </w:style>
  <w:style w:type="paragraph" w:customStyle="1" w:styleId="TALCharChar">
    <w:name w:val="TAL Char Char"/>
    <w:basedOn w:val="Normal"/>
    <w:link w:val="TALCharCharChar"/>
    <w:rsid w:val="006D5189"/>
    <w:pPr>
      <w:keepNext/>
      <w:keepLines/>
      <w:spacing w:after="0"/>
    </w:pPr>
    <w:rPr>
      <w:rFonts w:eastAsia="Malgun Gothic"/>
      <w:sz w:val="18"/>
      <w:lang w:val="x-none" w:eastAsia="x-none"/>
    </w:rPr>
  </w:style>
  <w:style w:type="character" w:customStyle="1" w:styleId="TALCharCharChar">
    <w:name w:val="TAL Char Char Char"/>
    <w:link w:val="TALCharChar"/>
    <w:rsid w:val="006D5189"/>
    <w:rPr>
      <w:rFonts w:ascii="Arial" w:eastAsia="Malgun Gothic" w:hAnsi="Arial"/>
      <w:sz w:val="18"/>
      <w:lang w:val="x-none" w:eastAsia="x-none"/>
    </w:rPr>
  </w:style>
  <w:style w:type="character" w:customStyle="1" w:styleId="TFChar">
    <w:name w:val="TF Char"/>
    <w:link w:val="TF"/>
    <w:rsid w:val="006D5189"/>
    <w:rPr>
      <w:rFonts w:ascii="Arial" w:hAnsi="Arial"/>
      <w:b/>
      <w:lang w:val="x-none" w:eastAsia="x-none"/>
    </w:rPr>
  </w:style>
  <w:style w:type="paragraph" w:styleId="ListContinue">
    <w:name w:val="List Continue"/>
    <w:basedOn w:val="Normal"/>
    <w:rsid w:val="006D5189"/>
    <w:pPr>
      <w:spacing w:after="120"/>
      <w:ind w:left="283"/>
      <w:contextualSpacing/>
    </w:pPr>
  </w:style>
  <w:style w:type="paragraph" w:styleId="ListContinue2">
    <w:name w:val="List Continue 2"/>
    <w:basedOn w:val="Normal"/>
    <w:rsid w:val="006D5189"/>
    <w:pPr>
      <w:spacing w:after="120"/>
      <w:ind w:left="566"/>
      <w:contextualSpacing/>
    </w:pPr>
  </w:style>
  <w:style w:type="paragraph" w:styleId="ListNumber3">
    <w:name w:val="List Number 3"/>
    <w:basedOn w:val="ListNumber2"/>
    <w:rsid w:val="006D5189"/>
    <w:pPr>
      <w:numPr>
        <w:numId w:val="10"/>
      </w:numPr>
      <w:contextualSpacing/>
    </w:pPr>
  </w:style>
  <w:style w:type="paragraph" w:customStyle="1" w:styleId="IvDbodytext">
    <w:name w:val="IvD bodytext"/>
    <w:basedOn w:val="BodyText"/>
    <w:link w:val="IvDbodytextChar"/>
    <w:qFormat/>
    <w:rsid w:val="002F09C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F09C5"/>
    <w:rPr>
      <w:rFonts w:ascii="Arial" w:hAnsi="Arial"/>
      <w:spacing w:val="2"/>
      <w:lang w:val="en-US" w:eastAsia="en-US"/>
    </w:rPr>
  </w:style>
  <w:style w:type="paragraph" w:customStyle="1" w:styleId="Agreement">
    <w:name w:val="Agreement"/>
    <w:basedOn w:val="Normal"/>
    <w:next w:val="Doc-text2"/>
    <w:rsid w:val="00BE0951"/>
    <w:pPr>
      <w:numPr>
        <w:numId w:val="26"/>
      </w:numPr>
      <w:overflowPunct/>
      <w:autoSpaceDE/>
      <w:autoSpaceDN/>
      <w:adjustRightInd/>
      <w:spacing w:before="60" w:after="0"/>
      <w:textAlignment w:val="auto"/>
    </w:pPr>
    <w:rPr>
      <w:rFonts w:eastAsia="MS Mincho"/>
      <w:b/>
      <w:szCs w:val="24"/>
      <w:lang w:eastAsia="en-GB"/>
    </w:rPr>
  </w:style>
  <w:style w:type="character" w:styleId="PlaceholderText">
    <w:name w:val="Placeholder Text"/>
    <w:basedOn w:val="DefaultParagraphFont"/>
    <w:uiPriority w:val="99"/>
    <w:semiHidden/>
    <w:rsid w:val="000B154E"/>
    <w:rPr>
      <w:color w:val="808080"/>
    </w:rPr>
  </w:style>
  <w:style w:type="character" w:customStyle="1" w:styleId="ReferenceChar">
    <w:name w:val="Reference Char"/>
    <w:link w:val="Reference"/>
    <w:locked/>
    <w:rsid w:val="00A555F7"/>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029072">
      <w:bodyDiv w:val="1"/>
      <w:marLeft w:val="0"/>
      <w:marRight w:val="0"/>
      <w:marTop w:val="0"/>
      <w:marBottom w:val="0"/>
      <w:divBdr>
        <w:top w:val="none" w:sz="0" w:space="0" w:color="auto"/>
        <w:left w:val="none" w:sz="0" w:space="0" w:color="auto"/>
        <w:bottom w:val="none" w:sz="0" w:space="0" w:color="auto"/>
        <w:right w:val="none" w:sz="0" w:space="0" w:color="auto"/>
      </w:divBdr>
    </w:div>
    <w:div w:id="1439330543">
      <w:bodyDiv w:val="1"/>
      <w:marLeft w:val="0"/>
      <w:marRight w:val="0"/>
      <w:marTop w:val="0"/>
      <w:marBottom w:val="0"/>
      <w:divBdr>
        <w:top w:val="none" w:sz="0" w:space="0" w:color="auto"/>
        <w:left w:val="none" w:sz="0" w:space="0" w:color="auto"/>
        <w:bottom w:val="none" w:sz="0" w:space="0" w:color="auto"/>
        <w:right w:val="none" w:sz="0" w:space="0" w:color="auto"/>
      </w:divBdr>
      <w:divsChild>
        <w:div w:id="636494899">
          <w:marLeft w:val="360"/>
          <w:marRight w:val="0"/>
          <w:marTop w:val="200"/>
          <w:marBottom w:val="0"/>
          <w:divBdr>
            <w:top w:val="none" w:sz="0" w:space="0" w:color="auto"/>
            <w:left w:val="none" w:sz="0" w:space="0" w:color="auto"/>
            <w:bottom w:val="none" w:sz="0" w:space="0" w:color="auto"/>
            <w:right w:val="none" w:sz="0" w:space="0" w:color="auto"/>
          </w:divBdr>
        </w:div>
        <w:div w:id="426778178">
          <w:marLeft w:val="360"/>
          <w:marRight w:val="0"/>
          <w:marTop w:val="200"/>
          <w:marBottom w:val="0"/>
          <w:divBdr>
            <w:top w:val="none" w:sz="0" w:space="0" w:color="auto"/>
            <w:left w:val="none" w:sz="0" w:space="0" w:color="auto"/>
            <w:bottom w:val="none" w:sz="0" w:space="0" w:color="auto"/>
            <w:right w:val="none" w:sz="0" w:space="0" w:color="auto"/>
          </w:divBdr>
        </w:div>
      </w:divsChild>
    </w:div>
    <w:div w:id="196191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5NUHHDQN7SK2-1476151046-44202</_dlc_DocId>
    <_dlc_DocIdUrl xmlns="f166a696-7b5b-4ccd-9f0c-ffde0cceec81">
      <Url>https://ericsson.sharepoint.com/sites/star/_layouts/15/DocIdRedir.aspx?ID=5NUHHDQN7SK2-1476151046-44202</Url>
      <Description>5NUHHDQN7SK2-1476151046-44202</Description>
    </_dlc_DocIdUrl>
    <TaxCatchAll xmlns="d8762117-8292-4133-b1c7-eab5c6487cfd">
      <Value>214</Value>
      <Value>212</Value>
    </TaxCatchAll>
    <_dlc_DocIdPersistId xmlns="f166a696-7b5b-4ccd-9f0c-ffde0cceec81" xsi:nil="true"/>
    <Prepared. xmlns="611109f9-ed58-4498-a270-1fb2086a5321">Johan Rune</Prepared.>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2018-11-01</EriCOLLDat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65EA1-F8A4-4B50-8F9D-101F3C3FC21E}">
  <ds:schemaRefs>
    <ds:schemaRef ds:uri="http://schemas.microsoft.com/sharepoint/events"/>
  </ds:schemaRefs>
</ds:datastoreItem>
</file>

<file path=customXml/itemProps2.xml><?xml version="1.0" encoding="utf-8"?>
<ds:datastoreItem xmlns:ds="http://schemas.openxmlformats.org/officeDocument/2006/customXml" ds:itemID="{767400B8-ADDE-417F-A377-47D0D0972ED1}">
  <ds:schemaRefs>
    <ds:schemaRef ds:uri="Microsoft.SharePoint.Taxonomy.ContentTypeSync"/>
  </ds:schemaRefs>
</ds:datastoreItem>
</file>

<file path=customXml/itemProps3.xml><?xml version="1.0" encoding="utf-8"?>
<ds:datastoreItem xmlns:ds="http://schemas.openxmlformats.org/officeDocument/2006/customXml" ds:itemID="{D6B9F40E-0E77-41B0-97D0-7E232BCB0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85EBD-410E-4925-BC11-4A0354D8C21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015F85D7-588A-4413-96B2-F56B4FD823C1}">
  <ds:schemaRefs>
    <ds:schemaRef ds:uri="http://schemas.microsoft.com/sharepoint/v3/contenttype/forms"/>
  </ds:schemaRefs>
</ds:datastoreItem>
</file>

<file path=customXml/itemProps6.xml><?xml version="1.0" encoding="utf-8"?>
<ds:datastoreItem xmlns:ds="http://schemas.openxmlformats.org/officeDocument/2006/customXml" ds:itemID="{0BBBE401-7576-44FF-91C2-05050A452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4769</TotalTime>
  <Pages>3</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Additional paging transmission opportunities in NR-U</vt:lpstr>
    </vt:vector>
  </TitlesOfParts>
  <Company>Ericsson</Company>
  <LinksUpToDate>false</LinksUpToDate>
  <CharactersWithSpaces>13014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paging transmission opportunities in NR-U</dc:title>
  <dc:subject/>
  <dc:creator>Ericsson</dc:creator>
  <cp:keywords>TDoc; 3GPP</cp:keywords>
  <dc:description/>
  <cp:lastModifiedBy>Robert Karlsson S</cp:lastModifiedBy>
  <cp:revision>295</cp:revision>
  <cp:lastPrinted>2008-01-31T07:09:00Z</cp:lastPrinted>
  <dcterms:created xsi:type="dcterms:W3CDTF">2018-10-29T22:42:00Z</dcterms:created>
  <dcterms:modified xsi:type="dcterms:W3CDTF">2019-03-29T00:59:00Z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ec28b126-76a0-4c58-a9ad-e930bb3377e0</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201</vt:lpwstr>
  </property>
  <property fmtid="{D5CDD505-2E9C-101B-9397-08002B2CF9AE}" pid="15" name="AuthorIds_UIVersion_2048">
    <vt:lpwstr>270</vt:lpwstr>
  </property>
  <property fmtid="{D5CDD505-2E9C-101B-9397-08002B2CF9AE}" pid="16" name="AuthorIds_UIVersion_2560">
    <vt:lpwstr>270</vt:lpwstr>
  </property>
  <property fmtid="{D5CDD505-2E9C-101B-9397-08002B2CF9AE}" pid="17" name="AuthorIds_UIVersion_6656">
    <vt:lpwstr>223</vt:lpwstr>
  </property>
  <property fmtid="{D5CDD505-2E9C-101B-9397-08002B2CF9AE}" pid="18" name="AuthorIds_UIVersion_17920">
    <vt:lpwstr>223</vt:lpwstr>
  </property>
  <property fmtid="{D5CDD505-2E9C-101B-9397-08002B2CF9AE}" pid="19" name="AuthorIds_UIVersion_18432">
    <vt:lpwstr>223</vt:lpwstr>
  </property>
  <property fmtid="{D5CDD505-2E9C-101B-9397-08002B2CF9AE}" pid="20" name="AuthorIds_UIVersion_19968">
    <vt:lpwstr>357</vt:lpwstr>
  </property>
  <property fmtid="{D5CDD505-2E9C-101B-9397-08002B2CF9AE}" pid="21" name="AuthorIds_UIVersion_21504">
    <vt:lpwstr>270</vt:lpwstr>
  </property>
  <property fmtid="{D5CDD505-2E9C-101B-9397-08002B2CF9AE}" pid="22" name="AuthorIds_UIVersion_23040">
    <vt:lpwstr>270</vt:lpwstr>
  </property>
  <property fmtid="{D5CDD505-2E9C-101B-9397-08002B2CF9AE}" pid="23" name="AuthorIds_UIVersion_23552">
    <vt:lpwstr>223</vt:lpwstr>
  </property>
</Properties>
</file>