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09495" w14:textId="77777777" w:rsidR="009909BD" w:rsidRDefault="009909BD" w:rsidP="009909BD">
      <w:pPr>
        <w:pStyle w:val="CRCoverPage"/>
        <w:tabs>
          <w:tab w:val="right" w:pos="8640"/>
        </w:tabs>
        <w:spacing w:after="0"/>
        <w:ind w:right="1260"/>
        <w:rPr>
          <w:b/>
          <w:noProof/>
          <w:sz w:val="24"/>
        </w:rPr>
      </w:pPr>
      <w:bookmarkStart w:id="0" w:name="_GoBack"/>
      <w:bookmarkEnd w:id="0"/>
    </w:p>
    <w:p w14:paraId="01A0F8F1" w14:textId="60B01FF8" w:rsidR="009909BD" w:rsidRDefault="009909BD" w:rsidP="009909BD">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sidR="00C64F5E">
        <w:rPr>
          <w:rFonts w:ascii="Arial" w:eastAsia="Times New Roman" w:hAnsi="Arial"/>
          <w:b/>
          <w:sz w:val="24"/>
          <w:szCs w:val="24"/>
        </w:rPr>
        <w:t>bis</w:t>
      </w:r>
      <w:r>
        <w:rPr>
          <w:rFonts w:ascii="Arial" w:eastAsia="Times New Roman" w:hAnsi="Arial"/>
          <w:b/>
          <w:bCs/>
          <w:sz w:val="24"/>
          <w:szCs w:val="24"/>
        </w:rPr>
        <w:tab/>
      </w:r>
      <w:r w:rsidR="00F63A00" w:rsidRPr="00F63A00">
        <w:rPr>
          <w:rFonts w:ascii="Arial" w:hAnsi="Arial" w:cs="Arial"/>
          <w:b/>
          <w:bCs/>
          <w:color w:val="000000"/>
          <w:sz w:val="26"/>
          <w:szCs w:val="26"/>
        </w:rPr>
        <w:t>R2-1903651</w:t>
      </w:r>
    </w:p>
    <w:p w14:paraId="177ADCBE" w14:textId="39F80788" w:rsidR="009909BD" w:rsidRDefault="00C64F5E" w:rsidP="009909BD">
      <w:pPr>
        <w:widowControl w:val="0"/>
        <w:tabs>
          <w:tab w:val="right" w:pos="9639"/>
        </w:tabs>
        <w:spacing w:after="0"/>
        <w:rPr>
          <w:rFonts w:ascii="Arial" w:hAnsi="Arial"/>
          <w:b/>
          <w:sz w:val="24"/>
          <w:szCs w:val="24"/>
          <w:lang w:eastAsia="zh-CN"/>
        </w:rPr>
      </w:pPr>
      <w:r w:rsidRPr="00C64F5E">
        <w:rPr>
          <w:rFonts w:ascii="Arial" w:hAnsi="Arial"/>
          <w:b/>
          <w:sz w:val="24"/>
          <w:szCs w:val="24"/>
          <w:lang w:eastAsia="zh-CN"/>
        </w:rPr>
        <w:t xml:space="preserve">Xi’an, China, April 8th – April 12th, 2019                               </w:t>
      </w:r>
      <w:r>
        <w:rPr>
          <w:rFonts w:ascii="Arial" w:hAnsi="Arial"/>
          <w:b/>
          <w:sz w:val="24"/>
          <w:szCs w:val="24"/>
          <w:lang w:eastAsia="zh-CN"/>
        </w:rPr>
        <w:t xml:space="preserve">Revision of </w:t>
      </w:r>
      <w:r w:rsidRPr="00250E5C">
        <w:rPr>
          <w:rFonts w:ascii="Arial" w:hAnsi="Arial" w:cs="Arial"/>
          <w:b/>
          <w:bCs/>
          <w:color w:val="000000"/>
          <w:sz w:val="26"/>
          <w:szCs w:val="26"/>
        </w:rPr>
        <w:t>R2-1900365</w:t>
      </w:r>
      <w:r w:rsidR="009909BD">
        <w:rPr>
          <w:rFonts w:ascii="Arial" w:hAnsi="Arial"/>
          <w:b/>
          <w:sz w:val="24"/>
          <w:szCs w:val="24"/>
          <w:lang w:eastAsia="zh-CN"/>
        </w:rPr>
        <w:tab/>
      </w:r>
    </w:p>
    <w:p w14:paraId="5F73186C" w14:textId="77777777" w:rsidR="009909BD" w:rsidRPr="006D3016" w:rsidRDefault="009909BD" w:rsidP="009909BD">
      <w:pPr>
        <w:widowControl w:val="0"/>
        <w:spacing w:after="0"/>
        <w:rPr>
          <w:rFonts w:ascii="Arial" w:eastAsia="Times New Roman" w:hAnsi="Arial"/>
          <w:b/>
          <w:bCs/>
          <w:sz w:val="24"/>
        </w:rPr>
      </w:pPr>
    </w:p>
    <w:p w14:paraId="5D7CE3CD" w14:textId="5FC7680D" w:rsidR="009909BD" w:rsidRPr="006D3016" w:rsidRDefault="009909BD" w:rsidP="009909B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63A00">
        <w:rPr>
          <w:rFonts w:ascii="Arial" w:eastAsia="MS Mincho" w:hAnsi="Arial" w:cs="Arial"/>
          <w:b/>
          <w:bCs/>
          <w:sz w:val="24"/>
        </w:rPr>
        <w:t>11.9.3</w:t>
      </w:r>
      <w:r>
        <w:rPr>
          <w:rFonts w:ascii="Arial" w:eastAsia="MS Mincho" w:hAnsi="Arial" w:cs="Arial"/>
          <w:b/>
          <w:bCs/>
          <w:sz w:val="24"/>
        </w:rPr>
        <w:t xml:space="preserve"> </w:t>
      </w:r>
    </w:p>
    <w:p w14:paraId="1B3C1BAC" w14:textId="77777777" w:rsidR="009909BD" w:rsidRDefault="009909BD" w:rsidP="009909B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BFE540C" w14:textId="4F1073DB"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Conditional H</w:t>
      </w:r>
      <w:r w:rsidR="008B34E1">
        <w:rPr>
          <w:rFonts w:ascii="Arial" w:eastAsia="Times New Roman" w:hAnsi="Arial" w:cs="Arial"/>
          <w:b/>
          <w:bCs/>
          <w:sz w:val="24"/>
        </w:rPr>
        <w:t>O design considerations</w:t>
      </w:r>
    </w:p>
    <w:p w14:paraId="16EB43E7" w14:textId="77777777" w:rsidR="009909BD"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A98ABFD" w14:textId="0C2630C2"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E0AF628" w14:textId="4CC6577F" w:rsidR="009909BD" w:rsidRDefault="00F15C25" w:rsidP="009909BD">
      <w:pPr>
        <w:pStyle w:val="Heading1"/>
        <w:numPr>
          <w:ilvl w:val="0"/>
          <w:numId w:val="1"/>
        </w:numPr>
        <w:pBdr>
          <w:top w:val="single" w:sz="12" w:space="2" w:color="auto"/>
        </w:pBdr>
      </w:pPr>
      <w:r>
        <w:t>Introduction</w:t>
      </w:r>
      <w:r w:rsidR="009909BD">
        <w:t xml:space="preserve"> </w:t>
      </w:r>
    </w:p>
    <w:p w14:paraId="1C497CC6" w14:textId="109A28E8" w:rsidR="009909BD" w:rsidRDefault="009909BD" w:rsidP="009909BD">
      <w:r w:rsidRPr="005809C8">
        <w:t xml:space="preserve">New WI “NR mobility enhancements” </w:t>
      </w:r>
      <w:r w:rsidR="00F15C25">
        <w:t>[1] specifies to study Conditional HO</w:t>
      </w:r>
      <w:r w:rsidR="00142C9D">
        <w:t xml:space="preserve"> (CHO)</w:t>
      </w:r>
      <w:r w:rsidR="00F15C25">
        <w:t xml:space="preserve"> as a solution to improve mobility robustness. In this paper, we discuss the details on</w:t>
      </w:r>
      <w:r w:rsidR="00142C9D">
        <w:t xml:space="preserve"> </w:t>
      </w:r>
      <w:r w:rsidR="00E93815">
        <w:t>CHO preparation,</w:t>
      </w:r>
      <w:r w:rsidR="00142C9D">
        <w:t xml:space="preserve"> execution </w:t>
      </w:r>
      <w:r w:rsidR="00E93815">
        <w:t>and completion procedures</w:t>
      </w:r>
      <w:r w:rsidR="00142C9D">
        <w:t xml:space="preserve">.  </w:t>
      </w:r>
    </w:p>
    <w:p w14:paraId="4A446809" w14:textId="567B324F" w:rsidR="009909BD" w:rsidRDefault="009909BD" w:rsidP="009909BD">
      <w:pPr>
        <w:pStyle w:val="Heading1"/>
        <w:numPr>
          <w:ilvl w:val="0"/>
          <w:numId w:val="1"/>
        </w:numPr>
        <w:pBdr>
          <w:top w:val="single" w:sz="12" w:space="2" w:color="auto"/>
        </w:pBdr>
      </w:pPr>
      <w:r>
        <w:t>Discussion</w:t>
      </w:r>
    </w:p>
    <w:p w14:paraId="4F45ED45" w14:textId="63C85C52" w:rsidR="00351543" w:rsidRPr="00351543" w:rsidRDefault="00351543" w:rsidP="0048001D">
      <w:pPr>
        <w:pStyle w:val="Heading2"/>
        <w:numPr>
          <w:ilvl w:val="1"/>
          <w:numId w:val="18"/>
        </w:numPr>
        <w:rPr>
          <w:rFonts w:ascii="Arial" w:hAnsi="Arial" w:cs="Arial"/>
          <w:color w:val="auto"/>
          <w:sz w:val="28"/>
          <w:szCs w:val="28"/>
        </w:rPr>
      </w:pPr>
      <w:r>
        <w:rPr>
          <w:rFonts w:ascii="Arial" w:hAnsi="Arial" w:cs="Arial"/>
          <w:color w:val="auto"/>
          <w:sz w:val="28"/>
          <w:szCs w:val="28"/>
        </w:rPr>
        <w:t xml:space="preserve">Multiple </w:t>
      </w:r>
      <w:r w:rsidR="0048001D">
        <w:rPr>
          <w:rFonts w:ascii="Arial" w:hAnsi="Arial" w:cs="Arial"/>
          <w:color w:val="auto"/>
          <w:sz w:val="28"/>
          <w:szCs w:val="28"/>
        </w:rPr>
        <w:t>target c</w:t>
      </w:r>
      <w:r>
        <w:rPr>
          <w:rFonts w:ascii="Arial" w:hAnsi="Arial" w:cs="Arial"/>
          <w:color w:val="auto"/>
          <w:sz w:val="28"/>
          <w:szCs w:val="28"/>
        </w:rPr>
        <w:t xml:space="preserve">ell CHO preparation </w:t>
      </w:r>
    </w:p>
    <w:p w14:paraId="5D9ABCCD" w14:textId="58BB3B82" w:rsidR="00142C9D" w:rsidRPr="00142C9D" w:rsidRDefault="00142C9D" w:rsidP="00F14538">
      <w:r>
        <w:t>The main idea of conditional HO is to send the HO command early</w:t>
      </w:r>
      <w:r w:rsidR="0047493D">
        <w:t>, when the source link channel conditions are good,</w:t>
      </w:r>
      <w:r>
        <w:t xml:space="preserve"> to reduce the HO Command delivery failure. </w:t>
      </w:r>
      <w:r w:rsidR="00F14538">
        <w:t xml:space="preserve">To support this, the source cell may configure </w:t>
      </w:r>
      <w:r w:rsidR="0047493D">
        <w:t>lower thresholds for Measurement reporting than the traditional HO thresholds. Thus, the UE will send a Measurement Report when the channel conditions of the source link are still good enough and receive a HO command early than a traditional HO command.</w:t>
      </w:r>
      <w:r w:rsidR="00F14538">
        <w:t xml:space="preserve"> </w:t>
      </w:r>
    </w:p>
    <w:p w14:paraId="740C45AF" w14:textId="4CDE0529" w:rsidR="009909BD" w:rsidRDefault="00740E84" w:rsidP="00740E84">
      <w:pPr>
        <w:pStyle w:val="Caption"/>
        <w:rPr>
          <w:b/>
          <w:i w:val="0"/>
          <w:color w:val="auto"/>
          <w:sz w:val="20"/>
          <w:szCs w:val="20"/>
        </w:rPr>
      </w:pPr>
      <w:bookmarkStart w:id="2" w:name="_Ref902990"/>
      <w:r w:rsidRPr="00F8243F">
        <w:rPr>
          <w:b/>
          <w:i w:val="0"/>
          <w:color w:val="auto"/>
          <w:sz w:val="20"/>
          <w:szCs w:val="20"/>
        </w:rPr>
        <w:t xml:space="preserve">Observation </w:t>
      </w:r>
      <w:r w:rsidRPr="00F8243F">
        <w:rPr>
          <w:b/>
          <w:i w:val="0"/>
          <w:color w:val="auto"/>
          <w:sz w:val="20"/>
          <w:szCs w:val="20"/>
        </w:rPr>
        <w:fldChar w:fldCharType="begin"/>
      </w:r>
      <w:r w:rsidRPr="00F8243F">
        <w:rPr>
          <w:b/>
          <w:i w:val="0"/>
          <w:color w:val="auto"/>
          <w:sz w:val="20"/>
          <w:szCs w:val="20"/>
        </w:rPr>
        <w:instrText xml:space="preserve"> SEQ Observation \* ARABIC </w:instrText>
      </w:r>
      <w:r w:rsidRPr="00F8243F">
        <w:rPr>
          <w:b/>
          <w:i w:val="0"/>
          <w:color w:val="auto"/>
          <w:sz w:val="20"/>
          <w:szCs w:val="20"/>
        </w:rPr>
        <w:fldChar w:fldCharType="separate"/>
      </w:r>
      <w:r w:rsidR="00BB3975">
        <w:rPr>
          <w:b/>
          <w:i w:val="0"/>
          <w:noProof/>
          <w:color w:val="auto"/>
          <w:sz w:val="20"/>
          <w:szCs w:val="20"/>
        </w:rPr>
        <w:t>1</w:t>
      </w:r>
      <w:r w:rsidRPr="00F8243F">
        <w:rPr>
          <w:b/>
          <w:i w:val="0"/>
          <w:color w:val="auto"/>
          <w:sz w:val="20"/>
          <w:szCs w:val="20"/>
        </w:rPr>
        <w:fldChar w:fldCharType="end"/>
      </w:r>
      <w:r w:rsidRPr="00F8243F">
        <w:rPr>
          <w:b/>
          <w:i w:val="0"/>
          <w:color w:val="auto"/>
          <w:sz w:val="20"/>
          <w:szCs w:val="20"/>
        </w:rPr>
        <w:t xml:space="preserve">. </w:t>
      </w:r>
      <w:r w:rsidR="00F8243F" w:rsidRPr="00F8243F">
        <w:rPr>
          <w:b/>
          <w:i w:val="0"/>
          <w:color w:val="auto"/>
          <w:sz w:val="20"/>
          <w:szCs w:val="20"/>
        </w:rPr>
        <w:t>Conditional HO</w:t>
      </w:r>
      <w:r w:rsidR="006A57F1">
        <w:rPr>
          <w:b/>
          <w:i w:val="0"/>
          <w:color w:val="auto"/>
          <w:sz w:val="20"/>
          <w:szCs w:val="20"/>
        </w:rPr>
        <w:t xml:space="preserve"> </w:t>
      </w:r>
      <w:r w:rsidR="00A552F6" w:rsidRPr="00A552F6">
        <w:rPr>
          <w:b/>
          <w:i w:val="0"/>
          <w:color w:val="auto"/>
          <w:sz w:val="20"/>
          <w:szCs w:val="20"/>
        </w:rPr>
        <w:t>(CHO)</w:t>
      </w:r>
      <w:r w:rsidR="00F8243F" w:rsidRPr="00F8243F">
        <w:rPr>
          <w:b/>
          <w:i w:val="0"/>
          <w:color w:val="auto"/>
          <w:sz w:val="20"/>
          <w:szCs w:val="20"/>
        </w:rPr>
        <w:t xml:space="preserve"> command is sent earlier than a traditional HO command, i.e. even before the HO trigger conditions are met</w:t>
      </w:r>
      <w:r w:rsidR="00F8243F" w:rsidRPr="00A552F6">
        <w:rPr>
          <w:b/>
          <w:i w:val="0"/>
          <w:color w:val="auto"/>
          <w:sz w:val="20"/>
          <w:szCs w:val="20"/>
        </w:rPr>
        <w:t>.</w:t>
      </w:r>
      <w:bookmarkEnd w:id="2"/>
    </w:p>
    <w:p w14:paraId="7C78E48F" w14:textId="302937D4" w:rsidR="0047493D" w:rsidRPr="0047493D" w:rsidRDefault="0047493D" w:rsidP="0047493D">
      <w:r>
        <w:t xml:space="preserve">As the measurement report thresholds are lower, </w:t>
      </w:r>
      <w:r w:rsidR="008714B3">
        <w:t>UE may report multiple candidate target cells that meet the</w:t>
      </w:r>
      <w:r>
        <w:t xml:space="preserve"> criteria</w:t>
      </w:r>
      <w:r w:rsidR="008714B3">
        <w:t xml:space="preserve">. The source cell can </w:t>
      </w:r>
      <w:r w:rsidR="004F38F6">
        <w:t xml:space="preserve">select </w:t>
      </w:r>
      <w:r w:rsidR="008714B3">
        <w:t>one of these candidate cells as the target cell. However, the channel conditions may vary before the UE performs handover to the target cell and thus the chosen cell may not be the best cell for HO. Thus, the source cell sh</w:t>
      </w:r>
      <w:r>
        <w:t xml:space="preserve">ould support configuring multiple candidate target cells </w:t>
      </w:r>
      <w:r w:rsidR="008714B3">
        <w:t>as conditional HO Cells and configure the thresholds/events on when to perform HO to the target cell. This allows the UE to switch to the target cell when it is time to HO without waiting for another HO Command from the source cell.</w:t>
      </w:r>
    </w:p>
    <w:p w14:paraId="237B3AD2" w14:textId="093A63FA" w:rsidR="00F8243F" w:rsidRDefault="00F8243F" w:rsidP="00F8243F">
      <w:pPr>
        <w:pStyle w:val="Caption"/>
        <w:rPr>
          <w:b/>
          <w:i w:val="0"/>
          <w:color w:val="auto"/>
          <w:sz w:val="20"/>
          <w:szCs w:val="20"/>
        </w:rPr>
      </w:pPr>
      <w:bookmarkStart w:id="3" w:name="_Ref902996"/>
      <w:r w:rsidRPr="00F8243F">
        <w:rPr>
          <w:b/>
          <w:i w:val="0"/>
          <w:color w:val="auto"/>
          <w:sz w:val="20"/>
          <w:szCs w:val="20"/>
        </w:rPr>
        <w:t xml:space="preserve">Observation </w:t>
      </w:r>
      <w:r w:rsidRPr="00F8243F">
        <w:rPr>
          <w:b/>
          <w:i w:val="0"/>
          <w:color w:val="auto"/>
          <w:sz w:val="20"/>
          <w:szCs w:val="20"/>
        </w:rPr>
        <w:fldChar w:fldCharType="begin"/>
      </w:r>
      <w:r w:rsidRPr="00F8243F">
        <w:rPr>
          <w:b/>
          <w:i w:val="0"/>
          <w:color w:val="auto"/>
          <w:sz w:val="20"/>
          <w:szCs w:val="20"/>
        </w:rPr>
        <w:instrText xml:space="preserve"> SEQ Observation \* ARABIC </w:instrText>
      </w:r>
      <w:r w:rsidRPr="00F8243F">
        <w:rPr>
          <w:b/>
          <w:i w:val="0"/>
          <w:color w:val="auto"/>
          <w:sz w:val="20"/>
          <w:szCs w:val="20"/>
        </w:rPr>
        <w:fldChar w:fldCharType="separate"/>
      </w:r>
      <w:r w:rsidR="00BB3975">
        <w:rPr>
          <w:b/>
          <w:i w:val="0"/>
          <w:noProof/>
          <w:color w:val="auto"/>
          <w:sz w:val="20"/>
          <w:szCs w:val="20"/>
        </w:rPr>
        <w:t>2</w:t>
      </w:r>
      <w:r w:rsidRPr="00F8243F">
        <w:rPr>
          <w:b/>
          <w:i w:val="0"/>
          <w:color w:val="auto"/>
          <w:sz w:val="20"/>
          <w:szCs w:val="20"/>
        </w:rPr>
        <w:fldChar w:fldCharType="end"/>
      </w:r>
      <w:r w:rsidRPr="00F8243F">
        <w:rPr>
          <w:b/>
          <w:i w:val="0"/>
          <w:color w:val="auto"/>
          <w:sz w:val="20"/>
          <w:szCs w:val="20"/>
        </w:rPr>
        <w:t xml:space="preserve">. </w:t>
      </w:r>
      <w:r>
        <w:rPr>
          <w:b/>
          <w:i w:val="0"/>
          <w:color w:val="auto"/>
          <w:sz w:val="20"/>
          <w:szCs w:val="20"/>
        </w:rPr>
        <w:t>The</w:t>
      </w:r>
      <w:r w:rsidRPr="00F8243F">
        <w:rPr>
          <w:b/>
          <w:i w:val="0"/>
          <w:color w:val="auto"/>
          <w:sz w:val="20"/>
          <w:szCs w:val="20"/>
        </w:rPr>
        <w:t xml:space="preserve"> target cell </w:t>
      </w:r>
      <w:r>
        <w:rPr>
          <w:b/>
          <w:i w:val="0"/>
          <w:color w:val="auto"/>
          <w:sz w:val="20"/>
          <w:szCs w:val="20"/>
        </w:rPr>
        <w:t>to which the UE perform</w:t>
      </w:r>
      <w:r w:rsidR="00A552F6">
        <w:rPr>
          <w:b/>
          <w:i w:val="0"/>
          <w:color w:val="auto"/>
          <w:sz w:val="20"/>
          <w:szCs w:val="20"/>
        </w:rPr>
        <w:t xml:space="preserve">s </w:t>
      </w:r>
      <w:r>
        <w:rPr>
          <w:b/>
          <w:i w:val="0"/>
          <w:color w:val="auto"/>
          <w:sz w:val="20"/>
          <w:szCs w:val="20"/>
        </w:rPr>
        <w:t>HO cannot be determined accurately when the conditional HO command is sent to the UE.</w:t>
      </w:r>
      <w:bookmarkEnd w:id="3"/>
    </w:p>
    <w:p w14:paraId="013C1CC6" w14:textId="5FAFD61A" w:rsidR="005B32A6" w:rsidRDefault="00F8243F" w:rsidP="005B32A6">
      <w:pPr>
        <w:pStyle w:val="Caption"/>
        <w:rPr>
          <w:b/>
          <w:i w:val="0"/>
          <w:color w:val="auto"/>
          <w:sz w:val="20"/>
          <w:szCs w:val="20"/>
        </w:rPr>
      </w:pPr>
      <w:bookmarkStart w:id="4" w:name="_Ref903002"/>
      <w:r w:rsidRPr="00A552F6">
        <w:rPr>
          <w:b/>
          <w:i w:val="0"/>
          <w:color w:val="auto"/>
          <w:sz w:val="20"/>
          <w:szCs w:val="20"/>
        </w:rPr>
        <w:t xml:space="preserve">Proposal </w:t>
      </w:r>
      <w:r w:rsidRPr="00A552F6">
        <w:rPr>
          <w:b/>
          <w:i w:val="0"/>
          <w:color w:val="auto"/>
          <w:sz w:val="20"/>
          <w:szCs w:val="20"/>
        </w:rPr>
        <w:fldChar w:fldCharType="begin"/>
      </w:r>
      <w:r w:rsidRPr="00A552F6">
        <w:rPr>
          <w:b/>
          <w:i w:val="0"/>
          <w:color w:val="auto"/>
          <w:sz w:val="20"/>
          <w:szCs w:val="20"/>
        </w:rPr>
        <w:instrText xml:space="preserve"> SEQ Proposal \* ARABIC </w:instrText>
      </w:r>
      <w:r w:rsidRPr="00A552F6">
        <w:rPr>
          <w:b/>
          <w:i w:val="0"/>
          <w:color w:val="auto"/>
          <w:sz w:val="20"/>
          <w:szCs w:val="20"/>
        </w:rPr>
        <w:fldChar w:fldCharType="separate"/>
      </w:r>
      <w:r w:rsidR="00D968DA">
        <w:rPr>
          <w:b/>
          <w:i w:val="0"/>
          <w:noProof/>
          <w:color w:val="auto"/>
          <w:sz w:val="20"/>
          <w:szCs w:val="20"/>
        </w:rPr>
        <w:t>1</w:t>
      </w:r>
      <w:r w:rsidRPr="00A552F6">
        <w:rPr>
          <w:b/>
          <w:i w:val="0"/>
          <w:color w:val="auto"/>
          <w:sz w:val="20"/>
          <w:szCs w:val="20"/>
        </w:rPr>
        <w:fldChar w:fldCharType="end"/>
      </w:r>
      <w:r w:rsidRPr="00A552F6">
        <w:rPr>
          <w:b/>
          <w:i w:val="0"/>
          <w:color w:val="auto"/>
          <w:sz w:val="20"/>
          <w:szCs w:val="20"/>
        </w:rPr>
        <w:t xml:space="preserve">. </w:t>
      </w:r>
      <w:r w:rsidR="00A552F6" w:rsidRPr="00A552F6">
        <w:rPr>
          <w:b/>
          <w:i w:val="0"/>
          <w:color w:val="auto"/>
          <w:sz w:val="20"/>
          <w:szCs w:val="20"/>
        </w:rPr>
        <w:t xml:space="preserve">Support </w:t>
      </w:r>
      <w:r w:rsidR="00A552F6">
        <w:rPr>
          <w:b/>
          <w:i w:val="0"/>
          <w:color w:val="auto"/>
          <w:sz w:val="20"/>
          <w:szCs w:val="20"/>
        </w:rPr>
        <w:t>preparing</w:t>
      </w:r>
      <w:r w:rsidRPr="00A552F6">
        <w:rPr>
          <w:b/>
          <w:i w:val="0"/>
          <w:color w:val="auto"/>
          <w:sz w:val="20"/>
          <w:szCs w:val="20"/>
        </w:rPr>
        <w:t xml:space="preserve"> multiple candidate </w:t>
      </w:r>
      <w:r w:rsidR="00A552F6" w:rsidRPr="00A552F6">
        <w:rPr>
          <w:b/>
          <w:i w:val="0"/>
          <w:color w:val="auto"/>
          <w:sz w:val="20"/>
          <w:szCs w:val="20"/>
        </w:rPr>
        <w:t>target cell</w:t>
      </w:r>
      <w:r w:rsidR="00A552F6">
        <w:rPr>
          <w:b/>
          <w:i w:val="0"/>
          <w:color w:val="auto"/>
          <w:sz w:val="20"/>
          <w:szCs w:val="20"/>
        </w:rPr>
        <w:t xml:space="preserve">s for </w:t>
      </w:r>
      <w:r w:rsidR="006467E8">
        <w:rPr>
          <w:b/>
          <w:i w:val="0"/>
          <w:color w:val="auto"/>
          <w:sz w:val="20"/>
          <w:szCs w:val="20"/>
        </w:rPr>
        <w:t xml:space="preserve">conditional </w:t>
      </w:r>
      <w:r w:rsidR="00A552F6">
        <w:rPr>
          <w:b/>
          <w:i w:val="0"/>
          <w:color w:val="auto"/>
          <w:sz w:val="20"/>
          <w:szCs w:val="20"/>
        </w:rPr>
        <w:t>handover.</w:t>
      </w:r>
      <w:bookmarkEnd w:id="4"/>
    </w:p>
    <w:p w14:paraId="15A6B166" w14:textId="4BAFF57A" w:rsidR="002757DC" w:rsidRDefault="002757DC" w:rsidP="002757DC">
      <w:r>
        <w:fldChar w:fldCharType="begin"/>
      </w:r>
      <w:r>
        <w:instrText xml:space="preserve"> REF _Ref876263 \h </w:instrText>
      </w:r>
      <w:r>
        <w:fldChar w:fldCharType="separate"/>
      </w:r>
      <w:r>
        <w:t xml:space="preserve">Figure </w:t>
      </w:r>
      <w:r>
        <w:rPr>
          <w:noProof/>
        </w:rPr>
        <w:t>1</w:t>
      </w:r>
      <w:r>
        <w:fldChar w:fldCharType="end"/>
      </w:r>
      <w:r>
        <w:t xml:space="preserve"> below shows the </w:t>
      </w:r>
      <w:proofErr w:type="spellStart"/>
      <w:r>
        <w:t>signaling</w:t>
      </w:r>
      <w:proofErr w:type="spellEnd"/>
      <w:r>
        <w:t xml:space="preserve"> procedures to support conditional HO. CHO has three phases </w:t>
      </w:r>
      <w:proofErr w:type="gramStart"/>
      <w:r>
        <w:t>similar to</w:t>
      </w:r>
      <w:proofErr w:type="gramEnd"/>
      <w:r>
        <w:t xml:space="preserve"> traditional HO. However, there are multiple aspects of the HO procedures that are different for CHO compared to traditional HO. Below we discuss the changes to be supported for CHO. </w:t>
      </w:r>
    </w:p>
    <w:p w14:paraId="14638E9B" w14:textId="77777777" w:rsidR="009E26C0" w:rsidRPr="009E26C0" w:rsidRDefault="009E26C0" w:rsidP="009E26C0"/>
    <w:p w14:paraId="6C74A7DD" w14:textId="71DCFDCC" w:rsidR="005B32A6" w:rsidRPr="005B32A6" w:rsidRDefault="005C4A27" w:rsidP="005B32A6">
      <w:r>
        <w:object w:dxaOrig="12015" w:dyaOrig="7860" w14:anchorId="0BB23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99.9pt" o:ole="">
            <v:imagedata r:id="rId8" o:title=""/>
          </v:shape>
          <o:OLEObject Type="Embed" ProgID="Visio.Drawing.15" ShapeID="_x0000_i1025" DrawAspect="Content" ObjectID="_1615288810" r:id="rId9"/>
        </w:object>
      </w:r>
    </w:p>
    <w:p w14:paraId="2C6A696E" w14:textId="384F8015" w:rsidR="009E26C0" w:rsidRDefault="009E26C0" w:rsidP="009E26C0">
      <w:pPr>
        <w:pStyle w:val="Caption"/>
      </w:pPr>
      <w:bookmarkStart w:id="5" w:name="_Ref876263"/>
      <w:r>
        <w:t xml:space="preserve">Figure </w:t>
      </w:r>
      <w:r>
        <w:fldChar w:fldCharType="begin"/>
      </w:r>
      <w:r>
        <w:instrText xml:space="preserve"> SEQ Figure \* ARABIC </w:instrText>
      </w:r>
      <w:r>
        <w:fldChar w:fldCharType="separate"/>
      </w:r>
      <w:r>
        <w:rPr>
          <w:noProof/>
        </w:rPr>
        <w:t>1</w:t>
      </w:r>
      <w:r>
        <w:fldChar w:fldCharType="end"/>
      </w:r>
      <w:bookmarkEnd w:id="5"/>
      <w:r>
        <w:t>. Conditional HO procedure</w:t>
      </w:r>
    </w:p>
    <w:p w14:paraId="406A3C31" w14:textId="3C3D97F8" w:rsidR="00B179C1" w:rsidRDefault="00B179C1" w:rsidP="008714B3">
      <w:r>
        <w:t xml:space="preserve">On receiving a measurement report from the UE, the source cell can decide to support CHO and thus prepare multiple candidate target cells as shown in step 2. The source cell also </w:t>
      </w:r>
      <w:proofErr w:type="gramStart"/>
      <w:r>
        <w:t>has to</w:t>
      </w:r>
      <w:proofErr w:type="gramEnd"/>
      <w:r>
        <w:t xml:space="preserve"> inform the UE on the conditions to trigger HO to each of the candidate target cells. </w:t>
      </w:r>
    </w:p>
    <w:p w14:paraId="79EB147B" w14:textId="2072452E" w:rsidR="00EC523C" w:rsidRPr="00EC523C" w:rsidRDefault="00A552F6" w:rsidP="00EC523C">
      <w:pPr>
        <w:pStyle w:val="Caption"/>
        <w:spacing w:after="0"/>
        <w:rPr>
          <w:b/>
          <w:i w:val="0"/>
          <w:color w:val="auto"/>
          <w:sz w:val="20"/>
          <w:szCs w:val="20"/>
        </w:rPr>
      </w:pPr>
      <w:bookmarkStart w:id="6" w:name="_Ref903008"/>
      <w:r w:rsidRPr="00A552F6">
        <w:rPr>
          <w:b/>
          <w:i w:val="0"/>
          <w:color w:val="auto"/>
          <w:sz w:val="20"/>
          <w:szCs w:val="20"/>
        </w:rPr>
        <w:t xml:space="preserve">Proposal </w:t>
      </w:r>
      <w:r w:rsidRPr="00A552F6">
        <w:rPr>
          <w:b/>
          <w:i w:val="0"/>
          <w:color w:val="auto"/>
          <w:sz w:val="20"/>
          <w:szCs w:val="20"/>
        </w:rPr>
        <w:fldChar w:fldCharType="begin"/>
      </w:r>
      <w:r w:rsidRPr="00A552F6">
        <w:rPr>
          <w:b/>
          <w:i w:val="0"/>
          <w:color w:val="auto"/>
          <w:sz w:val="20"/>
          <w:szCs w:val="20"/>
        </w:rPr>
        <w:instrText xml:space="preserve"> SEQ Proposal \* ARABIC </w:instrText>
      </w:r>
      <w:r w:rsidRPr="00A552F6">
        <w:rPr>
          <w:b/>
          <w:i w:val="0"/>
          <w:color w:val="auto"/>
          <w:sz w:val="20"/>
          <w:szCs w:val="20"/>
        </w:rPr>
        <w:fldChar w:fldCharType="separate"/>
      </w:r>
      <w:r w:rsidR="00D968DA">
        <w:rPr>
          <w:b/>
          <w:i w:val="0"/>
          <w:noProof/>
          <w:color w:val="auto"/>
          <w:sz w:val="20"/>
          <w:szCs w:val="20"/>
        </w:rPr>
        <w:t>2</w:t>
      </w:r>
      <w:r w:rsidRPr="00A552F6">
        <w:rPr>
          <w:b/>
          <w:i w:val="0"/>
          <w:color w:val="auto"/>
          <w:sz w:val="20"/>
          <w:szCs w:val="20"/>
        </w:rPr>
        <w:fldChar w:fldCharType="end"/>
      </w:r>
      <w:r>
        <w:rPr>
          <w:b/>
          <w:i w:val="0"/>
          <w:color w:val="auto"/>
          <w:sz w:val="20"/>
          <w:szCs w:val="20"/>
        </w:rPr>
        <w:t xml:space="preserve">. </w:t>
      </w:r>
      <w:r w:rsidR="00EC523C" w:rsidRPr="00EC523C">
        <w:rPr>
          <w:b/>
          <w:i w:val="0"/>
          <w:color w:val="auto"/>
          <w:sz w:val="20"/>
          <w:szCs w:val="20"/>
        </w:rPr>
        <w:t xml:space="preserve">Support </w:t>
      </w:r>
      <w:r w:rsidR="00EC523C">
        <w:rPr>
          <w:b/>
          <w:i w:val="0"/>
          <w:color w:val="auto"/>
          <w:sz w:val="20"/>
          <w:szCs w:val="20"/>
        </w:rPr>
        <w:t>sending the below</w:t>
      </w:r>
      <w:r w:rsidR="00EC523C" w:rsidRPr="00EC523C">
        <w:rPr>
          <w:b/>
          <w:i w:val="0"/>
          <w:color w:val="auto"/>
          <w:sz w:val="20"/>
          <w:szCs w:val="20"/>
        </w:rPr>
        <w:t xml:space="preserve"> CHO information </w:t>
      </w:r>
      <w:r w:rsidR="00EC523C">
        <w:rPr>
          <w:b/>
          <w:i w:val="0"/>
          <w:color w:val="auto"/>
          <w:sz w:val="20"/>
          <w:szCs w:val="20"/>
        </w:rPr>
        <w:t xml:space="preserve">to the UE </w:t>
      </w:r>
      <w:r w:rsidR="00EC523C" w:rsidRPr="00EC523C">
        <w:rPr>
          <w:b/>
          <w:i w:val="0"/>
          <w:color w:val="auto"/>
          <w:sz w:val="20"/>
          <w:szCs w:val="20"/>
        </w:rPr>
        <w:t>for each candidate target cell:</w:t>
      </w:r>
      <w:bookmarkEnd w:id="6"/>
    </w:p>
    <w:p w14:paraId="4A7DB61C" w14:textId="77777777" w:rsidR="00EC523C" w:rsidRPr="00EC523C" w:rsidRDefault="00EC523C" w:rsidP="00EC523C">
      <w:pPr>
        <w:pStyle w:val="Caption"/>
        <w:numPr>
          <w:ilvl w:val="0"/>
          <w:numId w:val="16"/>
        </w:numPr>
        <w:spacing w:after="0"/>
        <w:rPr>
          <w:b/>
          <w:i w:val="0"/>
          <w:color w:val="auto"/>
          <w:sz w:val="20"/>
          <w:szCs w:val="20"/>
        </w:rPr>
      </w:pPr>
      <w:r w:rsidRPr="00EC523C">
        <w:rPr>
          <w:b/>
          <w:i w:val="0"/>
          <w:color w:val="auto"/>
          <w:sz w:val="20"/>
          <w:szCs w:val="20"/>
        </w:rPr>
        <w:t xml:space="preserve">condition to trigger a HO to the target cell </w:t>
      </w:r>
    </w:p>
    <w:p w14:paraId="2E2B2DDA" w14:textId="1002F0E8" w:rsidR="00EC523C" w:rsidRDefault="00EC523C" w:rsidP="00EC523C">
      <w:pPr>
        <w:pStyle w:val="Caption"/>
        <w:numPr>
          <w:ilvl w:val="0"/>
          <w:numId w:val="16"/>
        </w:numPr>
        <w:spacing w:after="0"/>
        <w:rPr>
          <w:b/>
          <w:i w:val="0"/>
          <w:color w:val="auto"/>
          <w:sz w:val="20"/>
          <w:szCs w:val="20"/>
        </w:rPr>
      </w:pPr>
      <w:r w:rsidRPr="00EC523C">
        <w:rPr>
          <w:b/>
          <w:i w:val="0"/>
          <w:color w:val="auto"/>
          <w:sz w:val="20"/>
          <w:szCs w:val="20"/>
        </w:rPr>
        <w:t xml:space="preserve">RRC </w:t>
      </w:r>
      <w:r w:rsidR="0070584A">
        <w:rPr>
          <w:b/>
          <w:i w:val="0"/>
          <w:color w:val="auto"/>
          <w:sz w:val="20"/>
          <w:szCs w:val="20"/>
        </w:rPr>
        <w:t>Re</w:t>
      </w:r>
      <w:r w:rsidRPr="00EC523C">
        <w:rPr>
          <w:b/>
          <w:i w:val="0"/>
          <w:color w:val="auto"/>
          <w:sz w:val="20"/>
          <w:szCs w:val="20"/>
        </w:rPr>
        <w:t>configuration to use to connect to the target cell</w:t>
      </w:r>
    </w:p>
    <w:p w14:paraId="529CE67C" w14:textId="51367BBC" w:rsidR="0070584A" w:rsidRDefault="0070584A" w:rsidP="0070584A">
      <w:pPr>
        <w:spacing w:before="120"/>
      </w:pPr>
      <w:r>
        <w:t>Step 3 in the figure above shows that the CHO information is sent in a single RRC message to the UE. However, it is also possible to send the CHO trigger information in a separate message than the target cells RRC Reconfiguration information. We think that it is more useful to get agreements on the basic design of CHO in the first meeting and discuss the details of the RRC Reconfiguration message content and the RRC messages sent to the UE for CHO in the future meetings.</w:t>
      </w:r>
    </w:p>
    <w:p w14:paraId="3235BE21" w14:textId="5EBE7465" w:rsidR="00E00F9C" w:rsidRPr="00E00F9C" w:rsidRDefault="00E00F9C" w:rsidP="00E00F9C">
      <w:pPr>
        <w:pStyle w:val="Heading2"/>
        <w:numPr>
          <w:ilvl w:val="1"/>
          <w:numId w:val="18"/>
        </w:numPr>
        <w:rPr>
          <w:rFonts w:ascii="Arial" w:hAnsi="Arial" w:cs="Arial"/>
          <w:color w:val="auto"/>
          <w:sz w:val="28"/>
          <w:szCs w:val="28"/>
        </w:rPr>
      </w:pPr>
      <w:r>
        <w:rPr>
          <w:rFonts w:ascii="Arial" w:hAnsi="Arial" w:cs="Arial"/>
          <w:color w:val="auto"/>
          <w:sz w:val="28"/>
          <w:szCs w:val="28"/>
        </w:rPr>
        <w:t xml:space="preserve">Source cell </w:t>
      </w:r>
      <w:r w:rsidR="00682BB2">
        <w:rPr>
          <w:rFonts w:ascii="Arial" w:hAnsi="Arial" w:cs="Arial"/>
          <w:color w:val="auto"/>
          <w:sz w:val="28"/>
          <w:szCs w:val="28"/>
        </w:rPr>
        <w:t>connection handling</w:t>
      </w:r>
    </w:p>
    <w:p w14:paraId="75DD2E4E" w14:textId="554EDA0D" w:rsidR="0070584A" w:rsidRDefault="0070584A" w:rsidP="0070584A">
      <w:pPr>
        <w:spacing w:before="120"/>
      </w:pPr>
      <w:r>
        <w:t xml:space="preserve">As the CHO information </w:t>
      </w:r>
      <w:r w:rsidR="002757DC">
        <w:t>sent</w:t>
      </w:r>
      <w:r>
        <w:t xml:space="preserve"> in step 3 is only to inform the UE on when to trigger the HO</w:t>
      </w:r>
      <w:r w:rsidR="002757DC">
        <w:t xml:space="preserve"> but not to trigger a traditional HO</w:t>
      </w:r>
      <w:r>
        <w:t xml:space="preserve">, the UE should continue operating on the source cell connection without releasing </w:t>
      </w:r>
      <w:r w:rsidR="002757DC">
        <w:t xml:space="preserve">the source connection (unlike traditional HO). Thus, to support operating on source cell connection, UE should continue RRM on source cell and support measurement report as per the source cell measurement configuration. </w:t>
      </w:r>
    </w:p>
    <w:p w14:paraId="7E4D7ECD" w14:textId="630977C4" w:rsidR="0070584A" w:rsidRDefault="002757DC" w:rsidP="002757DC">
      <w:pPr>
        <w:pStyle w:val="Caption"/>
        <w:spacing w:after="0"/>
        <w:rPr>
          <w:b/>
          <w:i w:val="0"/>
          <w:color w:val="auto"/>
          <w:sz w:val="20"/>
          <w:szCs w:val="20"/>
        </w:rPr>
      </w:pPr>
      <w:bookmarkStart w:id="7" w:name="_Ref903012"/>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D968DA">
        <w:rPr>
          <w:b/>
          <w:i w:val="0"/>
          <w:noProof/>
          <w:color w:val="auto"/>
          <w:sz w:val="20"/>
          <w:szCs w:val="20"/>
        </w:rPr>
        <w:t>3</w:t>
      </w:r>
      <w:r w:rsidRPr="002757DC">
        <w:rPr>
          <w:b/>
          <w:i w:val="0"/>
          <w:color w:val="auto"/>
          <w:sz w:val="20"/>
          <w:szCs w:val="20"/>
        </w:rPr>
        <w:fldChar w:fldCharType="end"/>
      </w:r>
      <w:r w:rsidRPr="002757DC">
        <w:rPr>
          <w:b/>
          <w:i w:val="0"/>
          <w:color w:val="auto"/>
          <w:sz w:val="20"/>
          <w:szCs w:val="20"/>
        </w:rPr>
        <w:t xml:space="preserve">. </w:t>
      </w:r>
      <w:r w:rsidR="0070584A" w:rsidRPr="002757DC">
        <w:rPr>
          <w:b/>
          <w:i w:val="0"/>
          <w:color w:val="auto"/>
          <w:sz w:val="20"/>
          <w:szCs w:val="20"/>
        </w:rPr>
        <w:t xml:space="preserve">UE continues measurements/reporting on source </w:t>
      </w:r>
      <w:r>
        <w:rPr>
          <w:b/>
          <w:i w:val="0"/>
          <w:color w:val="auto"/>
          <w:sz w:val="20"/>
          <w:szCs w:val="20"/>
        </w:rPr>
        <w:t xml:space="preserve">cell </w:t>
      </w:r>
      <w:r w:rsidR="0070584A" w:rsidRPr="002757DC">
        <w:rPr>
          <w:b/>
          <w:i w:val="0"/>
          <w:color w:val="auto"/>
          <w:sz w:val="20"/>
          <w:szCs w:val="20"/>
        </w:rPr>
        <w:t>as per the serving cell baseline configuration even after receiving the CHO command.</w:t>
      </w:r>
      <w:bookmarkEnd w:id="7"/>
    </w:p>
    <w:p w14:paraId="7B2C7DD8" w14:textId="08C514CC" w:rsidR="00682BB2" w:rsidRDefault="00682BB2" w:rsidP="00682BB2">
      <w:pPr>
        <w:spacing w:before="120"/>
      </w:pPr>
      <w:r>
        <w:t xml:space="preserve">UE may send additional measurement reports on source cell even after receiving the CHO command. The source cell can modify the configuration for CHO </w:t>
      </w:r>
      <w:r w:rsidR="00D968DA">
        <w:t>and inform the UE</w:t>
      </w:r>
      <w:r w:rsidR="00032434">
        <w:t xml:space="preserve"> to either modify or cancel the CHO configuration for the candidate target cells</w:t>
      </w:r>
      <w:r w:rsidR="00D968DA">
        <w:t>. Thus, UE needs to support receiving additional RRC messages on source cell even after receiving the CHO command and update the CHO configuration.</w:t>
      </w:r>
    </w:p>
    <w:p w14:paraId="583B4BE6" w14:textId="3B26714D" w:rsidR="00032434" w:rsidRDefault="00D968DA" w:rsidP="00D968DA">
      <w:pPr>
        <w:pStyle w:val="Caption"/>
        <w:spacing w:after="0"/>
        <w:rPr>
          <w:b/>
          <w:i w:val="0"/>
          <w:color w:val="auto"/>
          <w:sz w:val="20"/>
          <w:szCs w:val="20"/>
        </w:rPr>
      </w:pPr>
      <w:bookmarkStart w:id="8" w:name="_Ref903015"/>
      <w:r w:rsidRPr="00D968DA">
        <w:rPr>
          <w:b/>
          <w:i w:val="0"/>
          <w:color w:val="auto"/>
          <w:sz w:val="20"/>
          <w:szCs w:val="20"/>
        </w:rPr>
        <w:t xml:space="preserve">Proposal </w:t>
      </w:r>
      <w:r w:rsidRPr="00D968DA">
        <w:rPr>
          <w:b/>
          <w:i w:val="0"/>
          <w:color w:val="auto"/>
          <w:sz w:val="20"/>
          <w:szCs w:val="20"/>
        </w:rPr>
        <w:fldChar w:fldCharType="begin"/>
      </w:r>
      <w:r w:rsidRPr="00D968DA">
        <w:rPr>
          <w:b/>
          <w:i w:val="0"/>
          <w:color w:val="auto"/>
          <w:sz w:val="20"/>
          <w:szCs w:val="20"/>
        </w:rPr>
        <w:instrText xml:space="preserve"> SEQ Proposal \* ARABIC </w:instrText>
      </w:r>
      <w:r w:rsidRPr="00D968DA">
        <w:rPr>
          <w:b/>
          <w:i w:val="0"/>
          <w:color w:val="auto"/>
          <w:sz w:val="20"/>
          <w:szCs w:val="20"/>
        </w:rPr>
        <w:fldChar w:fldCharType="separate"/>
      </w:r>
      <w:r w:rsidRPr="00D968DA">
        <w:rPr>
          <w:b/>
          <w:i w:val="0"/>
          <w:color w:val="auto"/>
          <w:sz w:val="20"/>
          <w:szCs w:val="20"/>
        </w:rPr>
        <w:t>4</w:t>
      </w:r>
      <w:r w:rsidRPr="00D968DA">
        <w:rPr>
          <w:b/>
          <w:i w:val="0"/>
          <w:color w:val="auto"/>
          <w:sz w:val="20"/>
          <w:szCs w:val="20"/>
        </w:rPr>
        <w:fldChar w:fldCharType="end"/>
      </w:r>
      <w:r w:rsidRPr="00D968DA">
        <w:rPr>
          <w:b/>
          <w:i w:val="0"/>
          <w:color w:val="auto"/>
          <w:sz w:val="20"/>
          <w:szCs w:val="20"/>
        </w:rPr>
        <w:t xml:space="preserve">. </w:t>
      </w:r>
      <w:r w:rsidR="00032434">
        <w:rPr>
          <w:b/>
          <w:i w:val="0"/>
          <w:color w:val="auto"/>
          <w:sz w:val="20"/>
          <w:szCs w:val="20"/>
        </w:rPr>
        <w:t>UE s</w:t>
      </w:r>
      <w:r>
        <w:rPr>
          <w:b/>
          <w:i w:val="0"/>
          <w:color w:val="auto"/>
          <w:sz w:val="20"/>
          <w:szCs w:val="20"/>
        </w:rPr>
        <w:t>upport</w:t>
      </w:r>
      <w:r w:rsidR="00973D6C">
        <w:rPr>
          <w:b/>
          <w:i w:val="0"/>
          <w:color w:val="auto"/>
          <w:sz w:val="20"/>
          <w:szCs w:val="20"/>
        </w:rPr>
        <w:t>s</w:t>
      </w:r>
      <w:r>
        <w:rPr>
          <w:b/>
          <w:i w:val="0"/>
          <w:color w:val="auto"/>
          <w:sz w:val="20"/>
          <w:szCs w:val="20"/>
        </w:rPr>
        <w:t xml:space="preserve"> receiving CHO configuration modifications</w:t>
      </w:r>
      <w:r w:rsidR="00032434">
        <w:rPr>
          <w:b/>
          <w:i w:val="0"/>
          <w:color w:val="auto"/>
          <w:sz w:val="20"/>
          <w:szCs w:val="20"/>
        </w:rPr>
        <w:t xml:space="preserve"> (either to modify or cancel)</w:t>
      </w:r>
      <w:r>
        <w:rPr>
          <w:b/>
          <w:i w:val="0"/>
          <w:color w:val="auto"/>
          <w:sz w:val="20"/>
          <w:szCs w:val="20"/>
        </w:rPr>
        <w:t xml:space="preserve"> from the source cell before executing HO to the target cell and update </w:t>
      </w:r>
      <w:r w:rsidR="00032434">
        <w:rPr>
          <w:b/>
          <w:i w:val="0"/>
          <w:color w:val="auto"/>
          <w:sz w:val="20"/>
          <w:szCs w:val="20"/>
        </w:rPr>
        <w:t xml:space="preserve">the CHO </w:t>
      </w:r>
      <w:r w:rsidR="00B43E69">
        <w:rPr>
          <w:b/>
          <w:i w:val="0"/>
          <w:color w:val="auto"/>
          <w:sz w:val="20"/>
          <w:szCs w:val="20"/>
        </w:rPr>
        <w:t>configuration accordingly</w:t>
      </w:r>
      <w:r w:rsidR="00032434">
        <w:rPr>
          <w:b/>
          <w:i w:val="0"/>
          <w:color w:val="auto"/>
          <w:sz w:val="20"/>
          <w:szCs w:val="20"/>
        </w:rPr>
        <w:t>.</w:t>
      </w:r>
      <w:bookmarkEnd w:id="8"/>
    </w:p>
    <w:p w14:paraId="54EE197B" w14:textId="708F9B91" w:rsidR="00D968DA" w:rsidRDefault="00D968DA" w:rsidP="00D968DA">
      <w:pPr>
        <w:pStyle w:val="Caption"/>
        <w:spacing w:after="0"/>
        <w:rPr>
          <w:b/>
          <w:i w:val="0"/>
          <w:color w:val="auto"/>
          <w:sz w:val="20"/>
          <w:szCs w:val="20"/>
        </w:rPr>
      </w:pPr>
    </w:p>
    <w:p w14:paraId="3C2F9540" w14:textId="533AD015" w:rsidR="00682BB2" w:rsidRPr="00682BB2" w:rsidRDefault="00682BB2" w:rsidP="00682BB2">
      <w:pPr>
        <w:pStyle w:val="Heading2"/>
        <w:numPr>
          <w:ilvl w:val="1"/>
          <w:numId w:val="18"/>
        </w:numPr>
        <w:rPr>
          <w:rFonts w:ascii="Arial" w:hAnsi="Arial" w:cs="Arial"/>
          <w:color w:val="auto"/>
          <w:sz w:val="28"/>
          <w:szCs w:val="28"/>
        </w:rPr>
      </w:pPr>
      <w:r>
        <w:rPr>
          <w:rFonts w:ascii="Arial" w:hAnsi="Arial" w:cs="Arial"/>
          <w:color w:val="auto"/>
          <w:sz w:val="28"/>
          <w:szCs w:val="28"/>
        </w:rPr>
        <w:lastRenderedPageBreak/>
        <w:t xml:space="preserve">CHO execution </w:t>
      </w:r>
    </w:p>
    <w:p w14:paraId="7C7C77AC" w14:textId="4E5F8BA0" w:rsidR="002757DC" w:rsidRPr="002757DC" w:rsidRDefault="002757DC" w:rsidP="002757DC">
      <w:pPr>
        <w:spacing w:before="120"/>
      </w:pPr>
      <w:r>
        <w:t xml:space="preserve">On receiving the CHO information at step 3, UE </w:t>
      </w:r>
      <w:proofErr w:type="gramStart"/>
      <w:r>
        <w:t>has to</w:t>
      </w:r>
      <w:proofErr w:type="gramEnd"/>
      <w:r>
        <w:t xml:space="preserve"> start monitoring the candidate target cells to determine if the CHO trigger events are satisfied in addition to performing measurements on the source cell.</w:t>
      </w:r>
    </w:p>
    <w:p w14:paraId="7E067C0D" w14:textId="27B4C971" w:rsidR="0070584A" w:rsidRPr="002757DC" w:rsidRDefault="002757DC" w:rsidP="002757DC">
      <w:pPr>
        <w:pStyle w:val="Caption"/>
        <w:spacing w:after="0"/>
        <w:rPr>
          <w:b/>
          <w:i w:val="0"/>
          <w:color w:val="auto"/>
          <w:sz w:val="20"/>
          <w:szCs w:val="20"/>
        </w:rPr>
      </w:pPr>
      <w:bookmarkStart w:id="9" w:name="_Ref903020"/>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D968DA">
        <w:rPr>
          <w:b/>
          <w:i w:val="0"/>
          <w:noProof/>
          <w:color w:val="auto"/>
          <w:sz w:val="20"/>
          <w:szCs w:val="20"/>
        </w:rPr>
        <w:t>5</w:t>
      </w:r>
      <w:r w:rsidRPr="002757DC">
        <w:rPr>
          <w:b/>
          <w:i w:val="0"/>
          <w:color w:val="auto"/>
          <w:sz w:val="20"/>
          <w:szCs w:val="20"/>
        </w:rPr>
        <w:fldChar w:fldCharType="end"/>
      </w:r>
      <w:r w:rsidRPr="002757DC">
        <w:rPr>
          <w:b/>
          <w:i w:val="0"/>
          <w:color w:val="auto"/>
          <w:sz w:val="20"/>
          <w:szCs w:val="20"/>
        </w:rPr>
        <w:t xml:space="preserve">. </w:t>
      </w:r>
      <w:r w:rsidR="0070584A" w:rsidRPr="002757DC">
        <w:rPr>
          <w:b/>
          <w:i w:val="0"/>
          <w:color w:val="auto"/>
          <w:sz w:val="20"/>
          <w:szCs w:val="20"/>
        </w:rPr>
        <w:t xml:space="preserve">UE evaluates the CHO trigger conditions for each candidate target cell on receiving the CHO command, while operating on the source </w:t>
      </w:r>
      <w:r>
        <w:rPr>
          <w:b/>
          <w:i w:val="0"/>
          <w:color w:val="auto"/>
          <w:sz w:val="20"/>
          <w:szCs w:val="20"/>
        </w:rPr>
        <w:t>cell</w:t>
      </w:r>
      <w:r w:rsidR="0070584A" w:rsidRPr="002757DC">
        <w:rPr>
          <w:b/>
          <w:i w:val="0"/>
          <w:color w:val="auto"/>
          <w:sz w:val="20"/>
          <w:szCs w:val="20"/>
        </w:rPr>
        <w:t xml:space="preserve"> as per the source cell RRC configuration.</w:t>
      </w:r>
      <w:bookmarkEnd w:id="9"/>
    </w:p>
    <w:p w14:paraId="173A3FD4" w14:textId="2EA619C9" w:rsidR="002757DC" w:rsidRPr="002757DC" w:rsidRDefault="002757DC" w:rsidP="00911A99">
      <w:pPr>
        <w:spacing w:before="120"/>
      </w:pPr>
      <w:r>
        <w:t>As multiple candidate target cells are configured for CHO, the UE should select</w:t>
      </w:r>
      <w:r w:rsidR="007046C3">
        <w:t xml:space="preserve"> one of</w:t>
      </w:r>
      <w:r>
        <w:t xml:space="preserve"> </w:t>
      </w:r>
      <w:proofErr w:type="gramStart"/>
      <w:r>
        <w:t>the  candidate</w:t>
      </w:r>
      <w:proofErr w:type="gramEnd"/>
      <w:r>
        <w:t xml:space="preserve"> target cells that meet the CHO conditions</w:t>
      </w:r>
      <w:r w:rsidR="00911A99">
        <w:t xml:space="preserve"> as the target cell for HO</w:t>
      </w:r>
      <w:r w:rsidR="007046C3">
        <w:t>, if that is the best cell on the frequency</w:t>
      </w:r>
      <w:r>
        <w:t>.</w:t>
      </w:r>
      <w:r w:rsidR="007046C3">
        <w:t xml:space="preserve"> </w:t>
      </w:r>
      <w:r>
        <w:t xml:space="preserve"> </w:t>
      </w:r>
      <w:r w:rsidR="00911A99">
        <w:t xml:space="preserve">As the candidate target cell RRC Reconfiguration messages are sent to the UE at step 3, UE already has the target cell information to perform RACH on the target cell without </w:t>
      </w:r>
      <w:r w:rsidR="006F4F83">
        <w:t xml:space="preserve">the need for </w:t>
      </w:r>
      <w:r w:rsidR="00911A99">
        <w:t>another HO command from the source cell</w:t>
      </w:r>
      <w:r w:rsidR="006F4F83">
        <w:t xml:space="preserve"> to receive this information</w:t>
      </w:r>
      <w:r w:rsidR="00911A99">
        <w:t xml:space="preserve">. </w:t>
      </w:r>
    </w:p>
    <w:p w14:paraId="59D1E90B" w14:textId="5BFD1B2B" w:rsidR="0070584A" w:rsidRPr="0079677E" w:rsidRDefault="00911A99" w:rsidP="0079677E">
      <w:pPr>
        <w:spacing w:before="120"/>
        <w:rPr>
          <w:b/>
          <w:bCs/>
          <w:lang w:eastAsia="ja-JP"/>
        </w:rPr>
      </w:pPr>
      <w:bookmarkStart w:id="10" w:name="_Ref903028"/>
      <w:r w:rsidRPr="00911A99">
        <w:rPr>
          <w:b/>
        </w:rPr>
        <w:t xml:space="preserve">Proposal </w:t>
      </w:r>
      <w:r w:rsidRPr="00911A99">
        <w:rPr>
          <w:b/>
          <w:i/>
        </w:rPr>
        <w:fldChar w:fldCharType="begin"/>
      </w:r>
      <w:r w:rsidRPr="00911A99">
        <w:rPr>
          <w:b/>
        </w:rPr>
        <w:instrText xml:space="preserve"> SEQ Proposal \* ARABIC </w:instrText>
      </w:r>
      <w:r w:rsidRPr="00911A99">
        <w:rPr>
          <w:b/>
          <w:i/>
        </w:rPr>
        <w:fldChar w:fldCharType="separate"/>
      </w:r>
      <w:r w:rsidR="00D968DA">
        <w:rPr>
          <w:b/>
          <w:noProof/>
        </w:rPr>
        <w:t>6</w:t>
      </w:r>
      <w:r w:rsidRPr="00911A99">
        <w:rPr>
          <w:b/>
          <w:i/>
        </w:rPr>
        <w:fldChar w:fldCharType="end"/>
      </w:r>
      <w:r w:rsidRPr="00911A99">
        <w:rPr>
          <w:b/>
        </w:rPr>
        <w:t>.</w:t>
      </w:r>
      <w:r>
        <w:t xml:space="preserve"> </w:t>
      </w:r>
      <w:r w:rsidR="007046C3" w:rsidRPr="0079677E">
        <w:rPr>
          <w:b/>
          <w:bCs/>
          <w:lang w:eastAsia="ja-JP"/>
        </w:rPr>
        <w:t xml:space="preserve">When the candidate cell satisfying the CHO trigger condition is the best cell on the frequency, the UE selects the candidate cell as the target cell, </w:t>
      </w:r>
      <w:r w:rsidR="007046C3">
        <w:rPr>
          <w:b/>
          <w:bCs/>
          <w:lang w:eastAsia="ja-JP"/>
        </w:rPr>
        <w:t>and, performs HO execution with target cell using the target cell config sent in the CHO command without waiting for another RRC Reconfiguration message to perform HO.</w:t>
      </w:r>
      <w:bookmarkEnd w:id="10"/>
    </w:p>
    <w:p w14:paraId="625CDD14" w14:textId="4C32DD7D" w:rsidR="00032434" w:rsidRDefault="00032434" w:rsidP="00032434">
      <w:pPr>
        <w:pStyle w:val="Heading2"/>
        <w:numPr>
          <w:ilvl w:val="1"/>
          <w:numId w:val="18"/>
        </w:numPr>
        <w:rPr>
          <w:rFonts w:ascii="Arial" w:hAnsi="Arial" w:cs="Arial"/>
          <w:color w:val="auto"/>
          <w:sz w:val="28"/>
          <w:szCs w:val="28"/>
        </w:rPr>
      </w:pPr>
      <w:r>
        <w:rPr>
          <w:rFonts w:ascii="Arial" w:hAnsi="Arial" w:cs="Arial"/>
          <w:color w:val="auto"/>
          <w:sz w:val="28"/>
          <w:szCs w:val="28"/>
        </w:rPr>
        <w:t>CHO completion</w:t>
      </w:r>
    </w:p>
    <w:p w14:paraId="104ACF76" w14:textId="3534C565" w:rsidR="003C7084" w:rsidRDefault="003723A6" w:rsidP="003C7084">
      <w:pPr>
        <w:rPr>
          <w:lang w:val="en-US"/>
        </w:rPr>
      </w:pPr>
      <w:r>
        <w:rPr>
          <w:lang w:val="en-US"/>
        </w:rPr>
        <w:t xml:space="preserve">During a traditional HO, source cell stops data </w:t>
      </w:r>
      <w:proofErr w:type="spellStart"/>
      <w:r>
        <w:rPr>
          <w:lang w:val="en-US"/>
        </w:rPr>
        <w:t>tx</w:t>
      </w:r>
      <w:proofErr w:type="spellEnd"/>
      <w:r>
        <w:rPr>
          <w:lang w:val="en-US"/>
        </w:rPr>
        <w:t xml:space="preserve"> to the UE and initiates SN Status Transfer</w:t>
      </w:r>
      <w:r w:rsidR="003C7084">
        <w:rPr>
          <w:lang w:val="en-US"/>
        </w:rPr>
        <w:t xml:space="preserve">, </w:t>
      </w:r>
      <w:r>
        <w:rPr>
          <w:lang w:val="en-US"/>
        </w:rPr>
        <w:t xml:space="preserve">data forwarding to the target cell after sending the HO command to the UE. However, in a CHO, the source cell does not know which candidate target cell the UE would </w:t>
      </w:r>
      <w:r w:rsidR="003C7084">
        <w:rPr>
          <w:lang w:val="en-US"/>
        </w:rPr>
        <w:t xml:space="preserve">choose as the target cell for HO execution. Thus, it is not feasible to initiate SN Status Transfer after the CHO command transmission. </w:t>
      </w:r>
    </w:p>
    <w:p w14:paraId="448588BC" w14:textId="5AAAECA7" w:rsidR="003C7084" w:rsidRDefault="003C7084" w:rsidP="003C7084">
      <w:pPr>
        <w:rPr>
          <w:lang w:val="en-US"/>
        </w:rPr>
      </w:pPr>
      <w:r>
        <w:rPr>
          <w:lang w:val="en-US"/>
        </w:rPr>
        <w:t xml:space="preserve">During a CHO, UE sends RRC Reconfiguration complete message to the target cell on successful HO execution as shown in step 6. On receiving this message, the target cell can inform the source cell about the successful HO execution as shown in step 7. At this point, the source cell can stop data </w:t>
      </w:r>
      <w:proofErr w:type="spellStart"/>
      <w:r>
        <w:rPr>
          <w:lang w:val="en-US"/>
        </w:rPr>
        <w:t>tx</w:t>
      </w:r>
      <w:proofErr w:type="spellEnd"/>
      <w:r>
        <w:rPr>
          <w:lang w:val="en-US"/>
        </w:rPr>
        <w:t xml:space="preserve"> to the UE and initiate SN Status Transfer and data forwarding to the target cell. The source cell can also release the UE context at the other prepared target cells as shown in step 9.</w:t>
      </w:r>
      <w:r w:rsidR="00A46938">
        <w:rPr>
          <w:lang w:val="en-US"/>
        </w:rPr>
        <w:t xml:space="preserve"> After receiving the SN Status Transfer, the target cell can perform path switch procedure and then release the UE context at the source cell </w:t>
      </w:r>
      <w:proofErr w:type="gramStart"/>
      <w:r w:rsidR="00A46938">
        <w:rPr>
          <w:lang w:val="en-US"/>
        </w:rPr>
        <w:t>similar to</w:t>
      </w:r>
      <w:proofErr w:type="gramEnd"/>
      <w:r w:rsidR="00A46938">
        <w:rPr>
          <w:lang w:val="en-US"/>
        </w:rPr>
        <w:t xml:space="preserve"> traditional HO.</w:t>
      </w:r>
    </w:p>
    <w:p w14:paraId="24F09112" w14:textId="14D5DF17" w:rsidR="000D37DD" w:rsidRPr="00E93815" w:rsidRDefault="00A46938" w:rsidP="00E93815">
      <w:pPr>
        <w:pStyle w:val="Caption"/>
        <w:rPr>
          <w:b/>
          <w:i w:val="0"/>
          <w:color w:val="auto"/>
          <w:sz w:val="20"/>
          <w:szCs w:val="20"/>
        </w:rPr>
      </w:pPr>
      <w:bookmarkStart w:id="11" w:name="_Ref903038"/>
      <w:r w:rsidRPr="00911A99">
        <w:rPr>
          <w:b/>
          <w:i w:val="0"/>
          <w:color w:val="auto"/>
          <w:sz w:val="20"/>
          <w:szCs w:val="20"/>
        </w:rPr>
        <w:t xml:space="preserve">Proposal </w:t>
      </w:r>
      <w:r w:rsidRPr="00911A99">
        <w:rPr>
          <w:b/>
          <w:i w:val="0"/>
          <w:color w:val="auto"/>
          <w:sz w:val="20"/>
          <w:szCs w:val="20"/>
        </w:rPr>
        <w:fldChar w:fldCharType="begin"/>
      </w:r>
      <w:r w:rsidRPr="00911A99">
        <w:rPr>
          <w:b/>
          <w:i w:val="0"/>
          <w:color w:val="auto"/>
          <w:sz w:val="20"/>
          <w:szCs w:val="20"/>
        </w:rPr>
        <w:instrText xml:space="preserve"> SEQ Proposal \* ARABIC </w:instrText>
      </w:r>
      <w:r w:rsidRPr="00911A99">
        <w:rPr>
          <w:b/>
          <w:i w:val="0"/>
          <w:color w:val="auto"/>
          <w:sz w:val="20"/>
          <w:szCs w:val="20"/>
        </w:rPr>
        <w:fldChar w:fldCharType="separate"/>
      </w:r>
      <w:r w:rsidR="00C64F5E">
        <w:rPr>
          <w:b/>
          <w:i w:val="0"/>
          <w:noProof/>
          <w:color w:val="auto"/>
          <w:sz w:val="20"/>
          <w:szCs w:val="20"/>
        </w:rPr>
        <w:t>7</w:t>
      </w:r>
      <w:r w:rsidRPr="00911A99">
        <w:rPr>
          <w:b/>
          <w:i w:val="0"/>
          <w:color w:val="auto"/>
          <w:sz w:val="20"/>
          <w:szCs w:val="20"/>
        </w:rPr>
        <w:fldChar w:fldCharType="end"/>
      </w:r>
      <w:r w:rsidRPr="00911A99">
        <w:rPr>
          <w:b/>
          <w:i w:val="0"/>
          <w:color w:val="auto"/>
          <w:sz w:val="20"/>
          <w:szCs w:val="20"/>
        </w:rPr>
        <w:t>.</w:t>
      </w:r>
      <w:r w:rsidRPr="00A46938">
        <w:rPr>
          <w:b/>
          <w:i w:val="0"/>
          <w:color w:val="auto"/>
          <w:sz w:val="20"/>
          <w:szCs w:val="20"/>
        </w:rPr>
        <w:t xml:space="preserve"> On receiving the </w:t>
      </w:r>
      <w:r>
        <w:rPr>
          <w:b/>
          <w:i w:val="0"/>
          <w:color w:val="auto"/>
          <w:sz w:val="20"/>
          <w:szCs w:val="20"/>
        </w:rPr>
        <w:t xml:space="preserve">CHO </w:t>
      </w:r>
      <w:r w:rsidRPr="00A46938">
        <w:rPr>
          <w:b/>
          <w:i w:val="0"/>
          <w:color w:val="auto"/>
          <w:sz w:val="20"/>
          <w:szCs w:val="20"/>
        </w:rPr>
        <w:t xml:space="preserve">RRC Reconfiguration complete </w:t>
      </w:r>
      <w:r>
        <w:rPr>
          <w:b/>
          <w:i w:val="0"/>
          <w:color w:val="auto"/>
          <w:sz w:val="20"/>
          <w:szCs w:val="20"/>
        </w:rPr>
        <w:t xml:space="preserve">message </w:t>
      </w:r>
      <w:r w:rsidRPr="00A46938">
        <w:rPr>
          <w:b/>
          <w:i w:val="0"/>
          <w:color w:val="auto"/>
          <w:sz w:val="20"/>
          <w:szCs w:val="20"/>
        </w:rPr>
        <w:t xml:space="preserve">from the UE, the </w:t>
      </w:r>
      <w:r>
        <w:rPr>
          <w:b/>
          <w:i w:val="0"/>
          <w:color w:val="auto"/>
          <w:sz w:val="20"/>
          <w:szCs w:val="20"/>
        </w:rPr>
        <w:t>t</w:t>
      </w:r>
      <w:r w:rsidRPr="00A46938">
        <w:rPr>
          <w:b/>
          <w:i w:val="0"/>
          <w:color w:val="auto"/>
          <w:sz w:val="20"/>
          <w:szCs w:val="20"/>
        </w:rPr>
        <w:t xml:space="preserve">arget cell informs the source cell about the successful CHO execution to trigger the SN Status Transfer and data forwarding </w:t>
      </w:r>
      <w:r>
        <w:rPr>
          <w:b/>
          <w:i w:val="0"/>
          <w:color w:val="auto"/>
          <w:sz w:val="20"/>
          <w:szCs w:val="20"/>
        </w:rPr>
        <w:t>from source cell to</w:t>
      </w:r>
      <w:r w:rsidRPr="00A46938">
        <w:rPr>
          <w:b/>
          <w:i w:val="0"/>
          <w:color w:val="auto"/>
          <w:sz w:val="20"/>
          <w:szCs w:val="20"/>
        </w:rPr>
        <w:t xml:space="preserve"> the target cell.</w:t>
      </w:r>
      <w:bookmarkEnd w:id="11"/>
    </w:p>
    <w:p w14:paraId="7C6EA857" w14:textId="77777777" w:rsidR="009909BD" w:rsidRDefault="009909BD" w:rsidP="009909BD">
      <w:pPr>
        <w:pStyle w:val="Heading1"/>
      </w:pPr>
      <w:r>
        <w:t>3. Conclusion</w:t>
      </w:r>
    </w:p>
    <w:p w14:paraId="3C3D0DFA" w14:textId="77777777" w:rsidR="009909BD" w:rsidRDefault="009909BD" w:rsidP="009909BD">
      <w:pPr>
        <w:spacing w:before="120" w:after="0"/>
      </w:pPr>
      <w:bookmarkStart w:id="12" w:name="_Hlk512894710"/>
      <w:r>
        <w:t>Based on the above discussions, we recommend RAN2 discusses the following observations and proposals:</w:t>
      </w:r>
      <w:bookmarkEnd w:id="12"/>
    </w:p>
    <w:p w14:paraId="0D4E0E9C" w14:textId="3BE99C81" w:rsidR="009909BD" w:rsidRDefault="00973D6C" w:rsidP="009909BD">
      <w:pPr>
        <w:spacing w:before="120" w:after="0"/>
      </w:pPr>
      <w:r>
        <w:fldChar w:fldCharType="begin"/>
      </w:r>
      <w:r>
        <w:instrText xml:space="preserve"> REF _Ref902990 \h </w:instrText>
      </w:r>
      <w:r>
        <w:fldChar w:fldCharType="separate"/>
      </w:r>
      <w:r w:rsidRPr="00F8243F">
        <w:rPr>
          <w:b/>
        </w:rPr>
        <w:t xml:space="preserve">Observation </w:t>
      </w:r>
      <w:r>
        <w:rPr>
          <w:b/>
          <w:noProof/>
        </w:rPr>
        <w:t>1</w:t>
      </w:r>
      <w:r w:rsidRPr="00F8243F">
        <w:rPr>
          <w:b/>
        </w:rPr>
        <w:t>. Conditional HO</w:t>
      </w:r>
      <w:r>
        <w:rPr>
          <w:b/>
        </w:rPr>
        <w:t xml:space="preserve"> </w:t>
      </w:r>
      <w:r w:rsidRPr="00A552F6">
        <w:rPr>
          <w:b/>
        </w:rPr>
        <w:t>(CHO)</w:t>
      </w:r>
      <w:r w:rsidRPr="00F8243F">
        <w:rPr>
          <w:b/>
        </w:rPr>
        <w:t xml:space="preserve"> command is sent earlier than a traditional HO command, i.e. even before the HO trigger conditions are met</w:t>
      </w:r>
      <w:r w:rsidRPr="00A552F6">
        <w:rPr>
          <w:b/>
        </w:rPr>
        <w:t>.</w:t>
      </w:r>
      <w:r>
        <w:fldChar w:fldCharType="end"/>
      </w:r>
    </w:p>
    <w:p w14:paraId="0C25D337" w14:textId="665891D1" w:rsidR="00973D6C" w:rsidRDefault="00973D6C" w:rsidP="009909BD">
      <w:pPr>
        <w:spacing w:before="120" w:after="0"/>
      </w:pPr>
      <w:r>
        <w:fldChar w:fldCharType="begin"/>
      </w:r>
      <w:r>
        <w:instrText xml:space="preserve"> REF _Ref902996 \h </w:instrText>
      </w:r>
      <w:r>
        <w:fldChar w:fldCharType="separate"/>
      </w:r>
      <w:r w:rsidRPr="00F8243F">
        <w:rPr>
          <w:b/>
        </w:rPr>
        <w:t xml:space="preserve">Observation </w:t>
      </w:r>
      <w:r>
        <w:rPr>
          <w:b/>
          <w:noProof/>
        </w:rPr>
        <w:t>2</w:t>
      </w:r>
      <w:r w:rsidRPr="00F8243F">
        <w:rPr>
          <w:b/>
        </w:rPr>
        <w:t xml:space="preserve">. </w:t>
      </w:r>
      <w:r>
        <w:rPr>
          <w:b/>
        </w:rPr>
        <w:t>The</w:t>
      </w:r>
      <w:r w:rsidRPr="00F8243F">
        <w:rPr>
          <w:b/>
        </w:rPr>
        <w:t xml:space="preserve"> target cell </w:t>
      </w:r>
      <w:r>
        <w:rPr>
          <w:b/>
        </w:rPr>
        <w:t>to which the UE performs HO cannot be determined accurately when the conditional HO command is sent to the UE.</w:t>
      </w:r>
      <w:r>
        <w:fldChar w:fldCharType="end"/>
      </w:r>
    </w:p>
    <w:p w14:paraId="6EDEF1A3" w14:textId="497029D4" w:rsidR="00973D6C" w:rsidRPr="00973D6C" w:rsidRDefault="00973D6C" w:rsidP="009909BD">
      <w:pPr>
        <w:spacing w:before="120" w:after="0"/>
      </w:pPr>
      <w:r w:rsidRPr="00973D6C">
        <w:fldChar w:fldCharType="begin"/>
      </w:r>
      <w:r w:rsidRPr="00973D6C">
        <w:instrText xml:space="preserve"> REF _Ref903002 \h  \* MERGEFORMAT </w:instrText>
      </w:r>
      <w:r w:rsidRPr="00973D6C">
        <w:fldChar w:fldCharType="separate"/>
      </w:r>
      <w:r w:rsidRPr="00973D6C">
        <w:rPr>
          <w:b/>
        </w:rPr>
        <w:t xml:space="preserve">Proposal </w:t>
      </w:r>
      <w:r w:rsidRPr="00973D6C">
        <w:rPr>
          <w:b/>
          <w:noProof/>
        </w:rPr>
        <w:t>1</w:t>
      </w:r>
      <w:r w:rsidRPr="00973D6C">
        <w:rPr>
          <w:b/>
        </w:rPr>
        <w:t>. Support preparing multiple candidate target cells for conditional handover.</w:t>
      </w:r>
      <w:r w:rsidRPr="00973D6C">
        <w:fldChar w:fldCharType="end"/>
      </w:r>
    </w:p>
    <w:p w14:paraId="3C6C4CE5" w14:textId="6444AFD4" w:rsidR="00973D6C" w:rsidRDefault="00973D6C" w:rsidP="009909BD">
      <w:pPr>
        <w:spacing w:before="120" w:after="0"/>
      </w:pPr>
      <w:r w:rsidRPr="00973D6C">
        <w:fldChar w:fldCharType="begin"/>
      </w:r>
      <w:r w:rsidRPr="00973D6C">
        <w:instrText xml:space="preserve"> REF _Ref903008 \h  \* MERGEFORMAT </w:instrText>
      </w:r>
      <w:r w:rsidRPr="00973D6C">
        <w:fldChar w:fldCharType="separate"/>
      </w:r>
      <w:r w:rsidRPr="00973D6C">
        <w:rPr>
          <w:b/>
        </w:rPr>
        <w:t xml:space="preserve">Proposal </w:t>
      </w:r>
      <w:r w:rsidRPr="00973D6C">
        <w:rPr>
          <w:b/>
          <w:noProof/>
        </w:rPr>
        <w:t>2</w:t>
      </w:r>
      <w:r w:rsidRPr="00973D6C">
        <w:rPr>
          <w:b/>
        </w:rPr>
        <w:t>. Support sending the below CHO information to the UE for each candidate target cell:</w:t>
      </w:r>
      <w:r w:rsidRPr="00973D6C">
        <w:fldChar w:fldCharType="end"/>
      </w:r>
    </w:p>
    <w:p w14:paraId="1E2D5FBC" w14:textId="77777777" w:rsidR="00973D6C" w:rsidRPr="00EC523C" w:rsidRDefault="00973D6C" w:rsidP="00973D6C">
      <w:pPr>
        <w:pStyle w:val="Caption"/>
        <w:numPr>
          <w:ilvl w:val="0"/>
          <w:numId w:val="16"/>
        </w:numPr>
        <w:spacing w:after="0"/>
        <w:rPr>
          <w:b/>
          <w:i w:val="0"/>
          <w:color w:val="auto"/>
          <w:sz w:val="20"/>
          <w:szCs w:val="20"/>
        </w:rPr>
      </w:pPr>
      <w:r w:rsidRPr="00EC523C">
        <w:rPr>
          <w:b/>
          <w:i w:val="0"/>
          <w:color w:val="auto"/>
          <w:sz w:val="20"/>
          <w:szCs w:val="20"/>
        </w:rPr>
        <w:t xml:space="preserve">condition to trigger a HO to the target cell </w:t>
      </w:r>
    </w:p>
    <w:p w14:paraId="3A1A4DF4" w14:textId="1B3026E6" w:rsidR="00973D6C" w:rsidRPr="00973D6C" w:rsidRDefault="00973D6C" w:rsidP="00973D6C">
      <w:pPr>
        <w:pStyle w:val="Caption"/>
        <w:numPr>
          <w:ilvl w:val="0"/>
          <w:numId w:val="16"/>
        </w:numPr>
        <w:spacing w:after="0"/>
        <w:rPr>
          <w:b/>
          <w:i w:val="0"/>
          <w:color w:val="auto"/>
          <w:sz w:val="20"/>
          <w:szCs w:val="20"/>
        </w:rPr>
      </w:pPr>
      <w:r w:rsidRPr="00EC523C">
        <w:rPr>
          <w:b/>
          <w:i w:val="0"/>
          <w:color w:val="auto"/>
          <w:sz w:val="20"/>
          <w:szCs w:val="20"/>
        </w:rPr>
        <w:t xml:space="preserve">RRC </w:t>
      </w:r>
      <w:r>
        <w:rPr>
          <w:b/>
          <w:i w:val="0"/>
          <w:color w:val="auto"/>
          <w:sz w:val="20"/>
          <w:szCs w:val="20"/>
        </w:rPr>
        <w:t>Re</w:t>
      </w:r>
      <w:r w:rsidRPr="00EC523C">
        <w:rPr>
          <w:b/>
          <w:i w:val="0"/>
          <w:color w:val="auto"/>
          <w:sz w:val="20"/>
          <w:szCs w:val="20"/>
        </w:rPr>
        <w:t>configuration to use to connect to the target cell</w:t>
      </w:r>
    </w:p>
    <w:p w14:paraId="4F976CA9" w14:textId="270147AF" w:rsidR="00973D6C" w:rsidRPr="00973D6C" w:rsidRDefault="00973D6C" w:rsidP="009909BD">
      <w:pPr>
        <w:spacing w:before="120" w:after="0"/>
      </w:pPr>
      <w:r w:rsidRPr="00973D6C">
        <w:fldChar w:fldCharType="begin"/>
      </w:r>
      <w:r w:rsidRPr="00973D6C">
        <w:instrText xml:space="preserve"> REF _Ref903012 \h  \* MERGEFORMAT </w:instrText>
      </w:r>
      <w:r w:rsidRPr="00973D6C">
        <w:fldChar w:fldCharType="separate"/>
      </w:r>
      <w:r w:rsidRPr="00973D6C">
        <w:rPr>
          <w:b/>
        </w:rPr>
        <w:t xml:space="preserve">Proposal </w:t>
      </w:r>
      <w:r w:rsidRPr="00973D6C">
        <w:rPr>
          <w:b/>
          <w:noProof/>
        </w:rPr>
        <w:t>3</w:t>
      </w:r>
      <w:r w:rsidRPr="00973D6C">
        <w:rPr>
          <w:b/>
        </w:rPr>
        <w:t>. UE continues measurements/reporting on source cell as per the serving cell baseline configuration even after receiving the CHO command.</w:t>
      </w:r>
      <w:r w:rsidRPr="00973D6C">
        <w:fldChar w:fldCharType="end"/>
      </w:r>
    </w:p>
    <w:p w14:paraId="5AA97CCB" w14:textId="2150FDD4" w:rsidR="00973D6C" w:rsidRPr="00973D6C" w:rsidRDefault="00973D6C" w:rsidP="009909BD">
      <w:pPr>
        <w:spacing w:before="120" w:after="0"/>
      </w:pPr>
      <w:r w:rsidRPr="00973D6C">
        <w:fldChar w:fldCharType="begin"/>
      </w:r>
      <w:r w:rsidRPr="00973D6C">
        <w:instrText xml:space="preserve"> REF _Ref903015 \h  \* MERGEFORMAT </w:instrText>
      </w:r>
      <w:r w:rsidRPr="00973D6C">
        <w:fldChar w:fldCharType="separate"/>
      </w:r>
      <w:r w:rsidRPr="00973D6C">
        <w:rPr>
          <w:b/>
        </w:rPr>
        <w:t>Proposal 4. UE support</w:t>
      </w:r>
      <w:r>
        <w:rPr>
          <w:b/>
        </w:rPr>
        <w:t>s</w:t>
      </w:r>
      <w:r w:rsidRPr="00973D6C">
        <w:rPr>
          <w:b/>
        </w:rPr>
        <w:t xml:space="preserve"> receiving CHO configuration modifications (either to modify or cancel) from the source cell before executing HO to the target cell and update the CHO configuration accordingly.</w:t>
      </w:r>
      <w:r w:rsidRPr="00973D6C">
        <w:fldChar w:fldCharType="end"/>
      </w:r>
    </w:p>
    <w:p w14:paraId="4763983B" w14:textId="4ABE1188" w:rsidR="00973D6C" w:rsidRPr="00973D6C" w:rsidRDefault="00973D6C" w:rsidP="009909BD">
      <w:pPr>
        <w:spacing w:before="120" w:after="0"/>
      </w:pPr>
      <w:r w:rsidRPr="00973D6C">
        <w:fldChar w:fldCharType="begin"/>
      </w:r>
      <w:r w:rsidRPr="00973D6C">
        <w:instrText xml:space="preserve"> REF _Ref903020 \h  \* MERGEFORMAT </w:instrText>
      </w:r>
      <w:r w:rsidRPr="00973D6C">
        <w:fldChar w:fldCharType="separate"/>
      </w:r>
      <w:r w:rsidRPr="00973D6C">
        <w:rPr>
          <w:b/>
        </w:rPr>
        <w:t xml:space="preserve">Proposal </w:t>
      </w:r>
      <w:r w:rsidRPr="00973D6C">
        <w:rPr>
          <w:b/>
          <w:noProof/>
        </w:rPr>
        <w:t>5</w:t>
      </w:r>
      <w:r w:rsidRPr="00973D6C">
        <w:rPr>
          <w:b/>
        </w:rPr>
        <w:t>. UE evaluates the CHO trigger conditions for each candidate target cell on receiving the CHO command, while operating on the source cell as per the source cell RRC configuration.</w:t>
      </w:r>
      <w:r w:rsidRPr="00973D6C">
        <w:fldChar w:fldCharType="end"/>
      </w:r>
    </w:p>
    <w:p w14:paraId="740F3D09" w14:textId="6B8C486F" w:rsidR="00973D6C" w:rsidRPr="00973D6C" w:rsidRDefault="0079677E" w:rsidP="009909BD">
      <w:pPr>
        <w:spacing w:before="120" w:after="0"/>
      </w:pPr>
      <w:r>
        <w:fldChar w:fldCharType="begin"/>
      </w:r>
      <w:r>
        <w:instrText xml:space="preserve"> REF _Ref903028 \h </w:instrText>
      </w:r>
      <w:r>
        <w:fldChar w:fldCharType="separate"/>
      </w:r>
      <w:r w:rsidRPr="00911A99">
        <w:rPr>
          <w:b/>
        </w:rPr>
        <w:t xml:space="preserve">Proposal </w:t>
      </w:r>
      <w:r>
        <w:rPr>
          <w:b/>
          <w:noProof/>
        </w:rPr>
        <w:t>6</w:t>
      </w:r>
      <w:r w:rsidRPr="00911A99">
        <w:rPr>
          <w:b/>
        </w:rPr>
        <w:t>.</w:t>
      </w:r>
      <w:r>
        <w:t xml:space="preserve"> </w:t>
      </w:r>
      <w:r w:rsidRPr="0079677E">
        <w:rPr>
          <w:b/>
          <w:bCs/>
          <w:lang w:eastAsia="ja-JP"/>
        </w:rPr>
        <w:t xml:space="preserve">When the candidate cell satisfying the CHO trigger condition is the best cell on the frequency, the UE selects the candidate cell as the target cell, </w:t>
      </w:r>
      <w:r>
        <w:rPr>
          <w:b/>
          <w:bCs/>
          <w:lang w:eastAsia="ja-JP"/>
        </w:rPr>
        <w:t>and, performs HO execution with target cell using the target cell config sent in the CHO command without waiting for another RRC Reconfiguration message to perform HO.</w:t>
      </w:r>
      <w:r>
        <w:fldChar w:fldCharType="end"/>
      </w:r>
    </w:p>
    <w:p w14:paraId="3F514253" w14:textId="39231657" w:rsidR="00973D6C" w:rsidRPr="00973D6C" w:rsidRDefault="00973D6C" w:rsidP="009909BD">
      <w:pPr>
        <w:spacing w:before="120" w:after="0"/>
      </w:pPr>
      <w:r w:rsidRPr="00973D6C">
        <w:lastRenderedPageBreak/>
        <w:fldChar w:fldCharType="begin"/>
      </w:r>
      <w:r w:rsidRPr="00973D6C">
        <w:instrText xml:space="preserve"> REF _Ref903038 \h  \* MERGEFORMAT </w:instrText>
      </w:r>
      <w:r w:rsidRPr="00973D6C">
        <w:fldChar w:fldCharType="separate"/>
      </w:r>
      <w:r w:rsidR="00C64F5E" w:rsidRPr="00911A99">
        <w:rPr>
          <w:b/>
        </w:rPr>
        <w:t xml:space="preserve">Proposal </w:t>
      </w:r>
      <w:r w:rsidR="00C64F5E" w:rsidRPr="001E5655">
        <w:rPr>
          <w:b/>
        </w:rPr>
        <w:t>7</w:t>
      </w:r>
      <w:r w:rsidR="00C64F5E" w:rsidRPr="00911A99">
        <w:rPr>
          <w:b/>
        </w:rPr>
        <w:t>.</w:t>
      </w:r>
      <w:r w:rsidR="00C64F5E" w:rsidRPr="00A46938">
        <w:rPr>
          <w:b/>
        </w:rPr>
        <w:t xml:space="preserve"> On receiving the </w:t>
      </w:r>
      <w:r w:rsidR="00C64F5E">
        <w:rPr>
          <w:b/>
        </w:rPr>
        <w:t xml:space="preserve">CHO </w:t>
      </w:r>
      <w:r w:rsidR="00C64F5E" w:rsidRPr="00A46938">
        <w:rPr>
          <w:b/>
        </w:rPr>
        <w:t xml:space="preserve">RRC Reconfiguration complete </w:t>
      </w:r>
      <w:r w:rsidR="00C64F5E">
        <w:rPr>
          <w:b/>
        </w:rPr>
        <w:t xml:space="preserve">message </w:t>
      </w:r>
      <w:r w:rsidR="00C64F5E" w:rsidRPr="00A46938">
        <w:rPr>
          <w:b/>
        </w:rPr>
        <w:t xml:space="preserve">from the UE, the </w:t>
      </w:r>
      <w:r w:rsidR="00C64F5E">
        <w:rPr>
          <w:b/>
        </w:rPr>
        <w:t>t</w:t>
      </w:r>
      <w:r w:rsidR="00C64F5E" w:rsidRPr="00A46938">
        <w:rPr>
          <w:b/>
        </w:rPr>
        <w:t xml:space="preserve">arget cell informs the source cell about the successful CHO execution to trigger the SN Status Transfer and data forwarding </w:t>
      </w:r>
      <w:r w:rsidR="00C64F5E">
        <w:rPr>
          <w:b/>
        </w:rPr>
        <w:t>from source cell to</w:t>
      </w:r>
      <w:r w:rsidR="00C64F5E" w:rsidRPr="00A46938">
        <w:rPr>
          <w:b/>
        </w:rPr>
        <w:t xml:space="preserve"> the target cell.</w:t>
      </w:r>
      <w:r w:rsidRPr="00973D6C">
        <w:fldChar w:fldCharType="end"/>
      </w:r>
    </w:p>
    <w:p w14:paraId="06932189" w14:textId="74D7ADD8" w:rsidR="009909BD" w:rsidRDefault="00973D6C" w:rsidP="009909BD">
      <w:pPr>
        <w:pStyle w:val="Heading1"/>
      </w:pPr>
      <w:r>
        <w:t xml:space="preserve">4. </w:t>
      </w:r>
      <w:r w:rsidR="009909BD">
        <w:t>References</w:t>
      </w:r>
    </w:p>
    <w:p w14:paraId="557A3459" w14:textId="77777777" w:rsidR="009909BD" w:rsidRDefault="009909BD" w:rsidP="009909B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A04B705" w14:textId="77777777" w:rsidR="009909BD" w:rsidRDefault="009909BD" w:rsidP="009909BD"/>
    <w:p w14:paraId="4040B6AB"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8397" w14:textId="77777777" w:rsidR="00D354AF" w:rsidRDefault="00310F03">
      <w:pPr>
        <w:spacing w:after="0"/>
      </w:pPr>
      <w:r>
        <w:separator/>
      </w:r>
    </w:p>
  </w:endnote>
  <w:endnote w:type="continuationSeparator" w:id="0">
    <w:p w14:paraId="279B8D5E" w14:textId="77777777" w:rsidR="00D354AF" w:rsidRDefault="00310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424A" w14:textId="77777777" w:rsidR="007F626A" w:rsidRDefault="00310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6DCE" w14:textId="77777777" w:rsidR="00D354AF" w:rsidRDefault="00310F03">
      <w:pPr>
        <w:spacing w:after="0"/>
      </w:pPr>
      <w:r>
        <w:separator/>
      </w:r>
    </w:p>
  </w:footnote>
  <w:footnote w:type="continuationSeparator" w:id="0">
    <w:p w14:paraId="04123CB8" w14:textId="77777777" w:rsidR="00D354AF" w:rsidRDefault="00310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45DC"/>
    <w:multiLevelType w:val="hybridMultilevel"/>
    <w:tmpl w:val="734CA72E"/>
    <w:lvl w:ilvl="0" w:tplc="1A8CEE0E">
      <w:start w:val="1"/>
      <w:numFmt w:val="bullet"/>
      <w:lvlText w:val="•"/>
      <w:lvlJc w:val="left"/>
      <w:pPr>
        <w:tabs>
          <w:tab w:val="num" w:pos="720"/>
        </w:tabs>
        <w:ind w:left="720" w:hanging="360"/>
      </w:pPr>
      <w:rPr>
        <w:rFonts w:ascii="Microsoft Sans Serif" w:hAnsi="Microsoft Sans Serif" w:hint="default"/>
      </w:rPr>
    </w:lvl>
    <w:lvl w:ilvl="1" w:tplc="1DAA7A7C" w:tentative="1">
      <w:start w:val="1"/>
      <w:numFmt w:val="bullet"/>
      <w:lvlText w:val="•"/>
      <w:lvlJc w:val="left"/>
      <w:pPr>
        <w:tabs>
          <w:tab w:val="num" w:pos="1440"/>
        </w:tabs>
        <w:ind w:left="1440" w:hanging="360"/>
      </w:pPr>
      <w:rPr>
        <w:rFonts w:ascii="Microsoft Sans Serif" w:hAnsi="Microsoft Sans Serif" w:hint="default"/>
      </w:rPr>
    </w:lvl>
    <w:lvl w:ilvl="2" w:tplc="85E05D3C">
      <w:start w:val="1"/>
      <w:numFmt w:val="bullet"/>
      <w:lvlText w:val="•"/>
      <w:lvlJc w:val="left"/>
      <w:pPr>
        <w:tabs>
          <w:tab w:val="num" w:pos="2160"/>
        </w:tabs>
        <w:ind w:left="2160" w:hanging="360"/>
      </w:pPr>
      <w:rPr>
        <w:rFonts w:ascii="Microsoft Sans Serif" w:hAnsi="Microsoft Sans Serif" w:hint="default"/>
      </w:rPr>
    </w:lvl>
    <w:lvl w:ilvl="3" w:tplc="346EC64C">
      <w:start w:val="110"/>
      <w:numFmt w:val="bullet"/>
      <w:lvlText w:val="◦"/>
      <w:lvlJc w:val="left"/>
      <w:pPr>
        <w:tabs>
          <w:tab w:val="num" w:pos="2880"/>
        </w:tabs>
        <w:ind w:left="2880" w:hanging="360"/>
      </w:pPr>
      <w:rPr>
        <w:rFonts w:ascii="Microsoft Sans Serif" w:hAnsi="Microsoft Sans Serif" w:hint="default"/>
      </w:rPr>
    </w:lvl>
    <w:lvl w:ilvl="4" w:tplc="FCEEC726" w:tentative="1">
      <w:start w:val="1"/>
      <w:numFmt w:val="bullet"/>
      <w:lvlText w:val="•"/>
      <w:lvlJc w:val="left"/>
      <w:pPr>
        <w:tabs>
          <w:tab w:val="num" w:pos="3600"/>
        </w:tabs>
        <w:ind w:left="3600" w:hanging="360"/>
      </w:pPr>
      <w:rPr>
        <w:rFonts w:ascii="Microsoft Sans Serif" w:hAnsi="Microsoft Sans Serif" w:hint="default"/>
      </w:rPr>
    </w:lvl>
    <w:lvl w:ilvl="5" w:tplc="755CEFF2" w:tentative="1">
      <w:start w:val="1"/>
      <w:numFmt w:val="bullet"/>
      <w:lvlText w:val="•"/>
      <w:lvlJc w:val="left"/>
      <w:pPr>
        <w:tabs>
          <w:tab w:val="num" w:pos="4320"/>
        </w:tabs>
        <w:ind w:left="4320" w:hanging="360"/>
      </w:pPr>
      <w:rPr>
        <w:rFonts w:ascii="Microsoft Sans Serif" w:hAnsi="Microsoft Sans Serif" w:hint="default"/>
      </w:rPr>
    </w:lvl>
    <w:lvl w:ilvl="6" w:tplc="C32AB340" w:tentative="1">
      <w:start w:val="1"/>
      <w:numFmt w:val="bullet"/>
      <w:lvlText w:val="•"/>
      <w:lvlJc w:val="left"/>
      <w:pPr>
        <w:tabs>
          <w:tab w:val="num" w:pos="5040"/>
        </w:tabs>
        <w:ind w:left="5040" w:hanging="360"/>
      </w:pPr>
      <w:rPr>
        <w:rFonts w:ascii="Microsoft Sans Serif" w:hAnsi="Microsoft Sans Serif" w:hint="default"/>
      </w:rPr>
    </w:lvl>
    <w:lvl w:ilvl="7" w:tplc="14E4EC62" w:tentative="1">
      <w:start w:val="1"/>
      <w:numFmt w:val="bullet"/>
      <w:lvlText w:val="•"/>
      <w:lvlJc w:val="left"/>
      <w:pPr>
        <w:tabs>
          <w:tab w:val="num" w:pos="5760"/>
        </w:tabs>
        <w:ind w:left="5760" w:hanging="360"/>
      </w:pPr>
      <w:rPr>
        <w:rFonts w:ascii="Microsoft Sans Serif" w:hAnsi="Microsoft Sans Serif" w:hint="default"/>
      </w:rPr>
    </w:lvl>
    <w:lvl w:ilvl="8" w:tplc="FC76D9E8"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F670B26"/>
    <w:multiLevelType w:val="hybridMultilevel"/>
    <w:tmpl w:val="E41A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A3A18"/>
    <w:multiLevelType w:val="hybridMultilevel"/>
    <w:tmpl w:val="D0EEF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24AC3"/>
    <w:multiLevelType w:val="hybridMultilevel"/>
    <w:tmpl w:val="A33CBA5A"/>
    <w:lvl w:ilvl="0" w:tplc="9816FC96">
      <w:start w:val="1"/>
      <w:numFmt w:val="bullet"/>
      <w:lvlText w:val="•"/>
      <w:lvlJc w:val="left"/>
      <w:pPr>
        <w:tabs>
          <w:tab w:val="num" w:pos="720"/>
        </w:tabs>
        <w:ind w:left="720" w:hanging="360"/>
      </w:pPr>
      <w:rPr>
        <w:rFonts w:ascii="Arial" w:hAnsi="Arial" w:hint="default"/>
      </w:rPr>
    </w:lvl>
    <w:lvl w:ilvl="1" w:tplc="A872C5DA">
      <w:start w:val="110"/>
      <w:numFmt w:val="bullet"/>
      <w:lvlText w:val="◦"/>
      <w:lvlJc w:val="left"/>
      <w:pPr>
        <w:tabs>
          <w:tab w:val="num" w:pos="1440"/>
        </w:tabs>
        <w:ind w:left="1440" w:hanging="360"/>
      </w:pPr>
      <w:rPr>
        <w:rFonts w:ascii="Microsoft Sans Serif" w:hAnsi="Microsoft Sans Serif" w:hint="default"/>
      </w:rPr>
    </w:lvl>
    <w:lvl w:ilvl="2" w:tplc="E93C254A" w:tentative="1">
      <w:start w:val="1"/>
      <w:numFmt w:val="bullet"/>
      <w:lvlText w:val="•"/>
      <w:lvlJc w:val="left"/>
      <w:pPr>
        <w:tabs>
          <w:tab w:val="num" w:pos="2160"/>
        </w:tabs>
        <w:ind w:left="2160" w:hanging="360"/>
      </w:pPr>
      <w:rPr>
        <w:rFonts w:ascii="Arial" w:hAnsi="Arial" w:hint="default"/>
      </w:rPr>
    </w:lvl>
    <w:lvl w:ilvl="3" w:tplc="0824C932" w:tentative="1">
      <w:start w:val="1"/>
      <w:numFmt w:val="bullet"/>
      <w:lvlText w:val="•"/>
      <w:lvlJc w:val="left"/>
      <w:pPr>
        <w:tabs>
          <w:tab w:val="num" w:pos="2880"/>
        </w:tabs>
        <w:ind w:left="2880" w:hanging="360"/>
      </w:pPr>
      <w:rPr>
        <w:rFonts w:ascii="Arial" w:hAnsi="Arial" w:hint="default"/>
      </w:rPr>
    </w:lvl>
    <w:lvl w:ilvl="4" w:tplc="10BE8AA0" w:tentative="1">
      <w:start w:val="1"/>
      <w:numFmt w:val="bullet"/>
      <w:lvlText w:val="•"/>
      <w:lvlJc w:val="left"/>
      <w:pPr>
        <w:tabs>
          <w:tab w:val="num" w:pos="3600"/>
        </w:tabs>
        <w:ind w:left="3600" w:hanging="360"/>
      </w:pPr>
      <w:rPr>
        <w:rFonts w:ascii="Arial" w:hAnsi="Arial" w:hint="default"/>
      </w:rPr>
    </w:lvl>
    <w:lvl w:ilvl="5" w:tplc="BC70A592" w:tentative="1">
      <w:start w:val="1"/>
      <w:numFmt w:val="bullet"/>
      <w:lvlText w:val="•"/>
      <w:lvlJc w:val="left"/>
      <w:pPr>
        <w:tabs>
          <w:tab w:val="num" w:pos="4320"/>
        </w:tabs>
        <w:ind w:left="4320" w:hanging="360"/>
      </w:pPr>
      <w:rPr>
        <w:rFonts w:ascii="Arial" w:hAnsi="Arial" w:hint="default"/>
      </w:rPr>
    </w:lvl>
    <w:lvl w:ilvl="6" w:tplc="74A4129E" w:tentative="1">
      <w:start w:val="1"/>
      <w:numFmt w:val="bullet"/>
      <w:lvlText w:val="•"/>
      <w:lvlJc w:val="left"/>
      <w:pPr>
        <w:tabs>
          <w:tab w:val="num" w:pos="5040"/>
        </w:tabs>
        <w:ind w:left="5040" w:hanging="360"/>
      </w:pPr>
      <w:rPr>
        <w:rFonts w:ascii="Arial" w:hAnsi="Arial" w:hint="default"/>
      </w:rPr>
    </w:lvl>
    <w:lvl w:ilvl="7" w:tplc="A00C7674" w:tentative="1">
      <w:start w:val="1"/>
      <w:numFmt w:val="bullet"/>
      <w:lvlText w:val="•"/>
      <w:lvlJc w:val="left"/>
      <w:pPr>
        <w:tabs>
          <w:tab w:val="num" w:pos="5760"/>
        </w:tabs>
        <w:ind w:left="5760" w:hanging="360"/>
      </w:pPr>
      <w:rPr>
        <w:rFonts w:ascii="Arial" w:hAnsi="Arial" w:hint="default"/>
      </w:rPr>
    </w:lvl>
    <w:lvl w:ilvl="8" w:tplc="B25CF3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17971"/>
    <w:multiLevelType w:val="hybridMultilevel"/>
    <w:tmpl w:val="A2B6B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442606"/>
    <w:multiLevelType w:val="hybridMultilevel"/>
    <w:tmpl w:val="BB7AF0E0"/>
    <w:lvl w:ilvl="0" w:tplc="525047C0">
      <w:start w:val="1"/>
      <w:numFmt w:val="bullet"/>
      <w:lvlText w:val="◦"/>
      <w:lvlJc w:val="left"/>
      <w:pPr>
        <w:tabs>
          <w:tab w:val="num" w:pos="720"/>
        </w:tabs>
        <w:ind w:left="720" w:hanging="360"/>
      </w:pPr>
      <w:rPr>
        <w:rFonts w:ascii="Microsoft Sans Serif" w:hAnsi="Microsoft Sans Serif" w:hint="default"/>
      </w:rPr>
    </w:lvl>
    <w:lvl w:ilvl="1" w:tplc="E6888AFE" w:tentative="1">
      <w:start w:val="1"/>
      <w:numFmt w:val="bullet"/>
      <w:lvlText w:val="◦"/>
      <w:lvlJc w:val="left"/>
      <w:pPr>
        <w:tabs>
          <w:tab w:val="num" w:pos="1440"/>
        </w:tabs>
        <w:ind w:left="1440" w:hanging="360"/>
      </w:pPr>
      <w:rPr>
        <w:rFonts w:ascii="Microsoft Sans Serif" w:hAnsi="Microsoft Sans Serif" w:hint="default"/>
      </w:rPr>
    </w:lvl>
    <w:lvl w:ilvl="2" w:tplc="9218385E" w:tentative="1">
      <w:start w:val="1"/>
      <w:numFmt w:val="bullet"/>
      <w:lvlText w:val="◦"/>
      <w:lvlJc w:val="left"/>
      <w:pPr>
        <w:tabs>
          <w:tab w:val="num" w:pos="2160"/>
        </w:tabs>
        <w:ind w:left="2160" w:hanging="360"/>
      </w:pPr>
      <w:rPr>
        <w:rFonts w:ascii="Microsoft Sans Serif" w:hAnsi="Microsoft Sans Serif" w:hint="default"/>
      </w:rPr>
    </w:lvl>
    <w:lvl w:ilvl="3" w:tplc="C2D04558">
      <w:start w:val="1"/>
      <w:numFmt w:val="bullet"/>
      <w:lvlText w:val="◦"/>
      <w:lvlJc w:val="left"/>
      <w:pPr>
        <w:tabs>
          <w:tab w:val="num" w:pos="2880"/>
        </w:tabs>
        <w:ind w:left="2880" w:hanging="360"/>
      </w:pPr>
      <w:rPr>
        <w:rFonts w:ascii="Microsoft Sans Serif" w:hAnsi="Microsoft Sans Serif" w:hint="default"/>
      </w:rPr>
    </w:lvl>
    <w:lvl w:ilvl="4" w:tplc="A84E422E" w:tentative="1">
      <w:start w:val="1"/>
      <w:numFmt w:val="bullet"/>
      <w:lvlText w:val="◦"/>
      <w:lvlJc w:val="left"/>
      <w:pPr>
        <w:tabs>
          <w:tab w:val="num" w:pos="3600"/>
        </w:tabs>
        <w:ind w:left="3600" w:hanging="360"/>
      </w:pPr>
      <w:rPr>
        <w:rFonts w:ascii="Microsoft Sans Serif" w:hAnsi="Microsoft Sans Serif" w:hint="default"/>
      </w:rPr>
    </w:lvl>
    <w:lvl w:ilvl="5" w:tplc="4ED84996" w:tentative="1">
      <w:start w:val="1"/>
      <w:numFmt w:val="bullet"/>
      <w:lvlText w:val="◦"/>
      <w:lvlJc w:val="left"/>
      <w:pPr>
        <w:tabs>
          <w:tab w:val="num" w:pos="4320"/>
        </w:tabs>
        <w:ind w:left="4320" w:hanging="360"/>
      </w:pPr>
      <w:rPr>
        <w:rFonts w:ascii="Microsoft Sans Serif" w:hAnsi="Microsoft Sans Serif" w:hint="default"/>
      </w:rPr>
    </w:lvl>
    <w:lvl w:ilvl="6" w:tplc="71987094" w:tentative="1">
      <w:start w:val="1"/>
      <w:numFmt w:val="bullet"/>
      <w:lvlText w:val="◦"/>
      <w:lvlJc w:val="left"/>
      <w:pPr>
        <w:tabs>
          <w:tab w:val="num" w:pos="5040"/>
        </w:tabs>
        <w:ind w:left="5040" w:hanging="360"/>
      </w:pPr>
      <w:rPr>
        <w:rFonts w:ascii="Microsoft Sans Serif" w:hAnsi="Microsoft Sans Serif" w:hint="default"/>
      </w:rPr>
    </w:lvl>
    <w:lvl w:ilvl="7" w:tplc="80AE150E" w:tentative="1">
      <w:start w:val="1"/>
      <w:numFmt w:val="bullet"/>
      <w:lvlText w:val="◦"/>
      <w:lvlJc w:val="left"/>
      <w:pPr>
        <w:tabs>
          <w:tab w:val="num" w:pos="5760"/>
        </w:tabs>
        <w:ind w:left="5760" w:hanging="360"/>
      </w:pPr>
      <w:rPr>
        <w:rFonts w:ascii="Microsoft Sans Serif" w:hAnsi="Microsoft Sans Serif" w:hint="default"/>
      </w:rPr>
    </w:lvl>
    <w:lvl w:ilvl="8" w:tplc="296EDE1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7661C60"/>
    <w:multiLevelType w:val="hybridMultilevel"/>
    <w:tmpl w:val="AD4C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B3048"/>
    <w:multiLevelType w:val="hybridMultilevel"/>
    <w:tmpl w:val="E5080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D5EF4"/>
    <w:multiLevelType w:val="hybridMultilevel"/>
    <w:tmpl w:val="021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89380E"/>
    <w:multiLevelType w:val="hybridMultilevel"/>
    <w:tmpl w:val="4BA69D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B32B17"/>
    <w:multiLevelType w:val="hybridMultilevel"/>
    <w:tmpl w:val="B85EA1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B1943"/>
    <w:multiLevelType w:val="hybridMultilevel"/>
    <w:tmpl w:val="9C54E4C6"/>
    <w:lvl w:ilvl="0" w:tplc="2E34EF04">
      <w:start w:val="1"/>
      <w:numFmt w:val="bullet"/>
      <w:lvlText w:val="•"/>
      <w:lvlJc w:val="left"/>
      <w:pPr>
        <w:tabs>
          <w:tab w:val="num" w:pos="720"/>
        </w:tabs>
        <w:ind w:left="720" w:hanging="360"/>
      </w:pPr>
      <w:rPr>
        <w:rFonts w:ascii="Arial" w:hAnsi="Arial" w:hint="default"/>
      </w:rPr>
    </w:lvl>
    <w:lvl w:ilvl="1" w:tplc="0002A15E">
      <w:start w:val="110"/>
      <w:numFmt w:val="bullet"/>
      <w:lvlText w:val="◦"/>
      <w:lvlJc w:val="left"/>
      <w:pPr>
        <w:tabs>
          <w:tab w:val="num" w:pos="1440"/>
        </w:tabs>
        <w:ind w:left="1440" w:hanging="360"/>
      </w:pPr>
      <w:rPr>
        <w:rFonts w:ascii="Microsoft Sans Serif" w:hAnsi="Microsoft Sans Serif" w:hint="default"/>
      </w:rPr>
    </w:lvl>
    <w:lvl w:ilvl="2" w:tplc="24F431C0" w:tentative="1">
      <w:start w:val="1"/>
      <w:numFmt w:val="bullet"/>
      <w:lvlText w:val="•"/>
      <w:lvlJc w:val="left"/>
      <w:pPr>
        <w:tabs>
          <w:tab w:val="num" w:pos="2160"/>
        </w:tabs>
        <w:ind w:left="2160" w:hanging="360"/>
      </w:pPr>
      <w:rPr>
        <w:rFonts w:ascii="Arial" w:hAnsi="Arial" w:hint="default"/>
      </w:rPr>
    </w:lvl>
    <w:lvl w:ilvl="3" w:tplc="1D5EF5FC" w:tentative="1">
      <w:start w:val="1"/>
      <w:numFmt w:val="bullet"/>
      <w:lvlText w:val="•"/>
      <w:lvlJc w:val="left"/>
      <w:pPr>
        <w:tabs>
          <w:tab w:val="num" w:pos="2880"/>
        </w:tabs>
        <w:ind w:left="2880" w:hanging="360"/>
      </w:pPr>
      <w:rPr>
        <w:rFonts w:ascii="Arial" w:hAnsi="Arial" w:hint="default"/>
      </w:rPr>
    </w:lvl>
    <w:lvl w:ilvl="4" w:tplc="5F12D002" w:tentative="1">
      <w:start w:val="1"/>
      <w:numFmt w:val="bullet"/>
      <w:lvlText w:val="•"/>
      <w:lvlJc w:val="left"/>
      <w:pPr>
        <w:tabs>
          <w:tab w:val="num" w:pos="3600"/>
        </w:tabs>
        <w:ind w:left="3600" w:hanging="360"/>
      </w:pPr>
      <w:rPr>
        <w:rFonts w:ascii="Arial" w:hAnsi="Arial" w:hint="default"/>
      </w:rPr>
    </w:lvl>
    <w:lvl w:ilvl="5" w:tplc="7F1CC9CE" w:tentative="1">
      <w:start w:val="1"/>
      <w:numFmt w:val="bullet"/>
      <w:lvlText w:val="•"/>
      <w:lvlJc w:val="left"/>
      <w:pPr>
        <w:tabs>
          <w:tab w:val="num" w:pos="4320"/>
        </w:tabs>
        <w:ind w:left="4320" w:hanging="360"/>
      </w:pPr>
      <w:rPr>
        <w:rFonts w:ascii="Arial" w:hAnsi="Arial" w:hint="default"/>
      </w:rPr>
    </w:lvl>
    <w:lvl w:ilvl="6" w:tplc="696A9A50" w:tentative="1">
      <w:start w:val="1"/>
      <w:numFmt w:val="bullet"/>
      <w:lvlText w:val="•"/>
      <w:lvlJc w:val="left"/>
      <w:pPr>
        <w:tabs>
          <w:tab w:val="num" w:pos="5040"/>
        </w:tabs>
        <w:ind w:left="5040" w:hanging="360"/>
      </w:pPr>
      <w:rPr>
        <w:rFonts w:ascii="Arial" w:hAnsi="Arial" w:hint="default"/>
      </w:rPr>
    </w:lvl>
    <w:lvl w:ilvl="7" w:tplc="6688CA7A" w:tentative="1">
      <w:start w:val="1"/>
      <w:numFmt w:val="bullet"/>
      <w:lvlText w:val="•"/>
      <w:lvlJc w:val="left"/>
      <w:pPr>
        <w:tabs>
          <w:tab w:val="num" w:pos="5760"/>
        </w:tabs>
        <w:ind w:left="5760" w:hanging="360"/>
      </w:pPr>
      <w:rPr>
        <w:rFonts w:ascii="Arial" w:hAnsi="Arial" w:hint="default"/>
      </w:rPr>
    </w:lvl>
    <w:lvl w:ilvl="8" w:tplc="2D66E9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974432"/>
    <w:multiLevelType w:val="hybridMultilevel"/>
    <w:tmpl w:val="0BE6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FC593F"/>
    <w:multiLevelType w:val="hybridMultilevel"/>
    <w:tmpl w:val="3AB8ECB0"/>
    <w:lvl w:ilvl="0" w:tplc="B352D884">
      <w:start w:val="1"/>
      <w:numFmt w:val="bullet"/>
      <w:lvlText w:val="•"/>
      <w:lvlJc w:val="left"/>
      <w:pPr>
        <w:tabs>
          <w:tab w:val="num" w:pos="720"/>
        </w:tabs>
        <w:ind w:left="720" w:hanging="360"/>
      </w:pPr>
      <w:rPr>
        <w:rFonts w:ascii="Arial" w:hAnsi="Arial" w:hint="default"/>
      </w:rPr>
    </w:lvl>
    <w:lvl w:ilvl="1" w:tplc="D0D2A7A2">
      <w:start w:val="110"/>
      <w:numFmt w:val="bullet"/>
      <w:lvlText w:val="◦"/>
      <w:lvlJc w:val="left"/>
      <w:pPr>
        <w:tabs>
          <w:tab w:val="num" w:pos="1440"/>
        </w:tabs>
        <w:ind w:left="1440" w:hanging="360"/>
      </w:pPr>
      <w:rPr>
        <w:rFonts w:ascii="Microsoft Sans Serif" w:hAnsi="Microsoft Sans Serif" w:hint="default"/>
      </w:rPr>
    </w:lvl>
    <w:lvl w:ilvl="2" w:tplc="88688536">
      <w:start w:val="110"/>
      <w:numFmt w:val="bullet"/>
      <w:lvlText w:val="•"/>
      <w:lvlJc w:val="left"/>
      <w:pPr>
        <w:tabs>
          <w:tab w:val="num" w:pos="2160"/>
        </w:tabs>
        <w:ind w:left="2160" w:hanging="360"/>
      </w:pPr>
      <w:rPr>
        <w:rFonts w:ascii="Microsoft Sans Serif" w:hAnsi="Microsoft Sans Serif" w:hint="default"/>
      </w:rPr>
    </w:lvl>
    <w:lvl w:ilvl="3" w:tplc="D9CCE3FC" w:tentative="1">
      <w:start w:val="1"/>
      <w:numFmt w:val="bullet"/>
      <w:lvlText w:val="•"/>
      <w:lvlJc w:val="left"/>
      <w:pPr>
        <w:tabs>
          <w:tab w:val="num" w:pos="2880"/>
        </w:tabs>
        <w:ind w:left="2880" w:hanging="360"/>
      </w:pPr>
      <w:rPr>
        <w:rFonts w:ascii="Arial" w:hAnsi="Arial" w:hint="default"/>
      </w:rPr>
    </w:lvl>
    <w:lvl w:ilvl="4" w:tplc="B7280E68" w:tentative="1">
      <w:start w:val="1"/>
      <w:numFmt w:val="bullet"/>
      <w:lvlText w:val="•"/>
      <w:lvlJc w:val="left"/>
      <w:pPr>
        <w:tabs>
          <w:tab w:val="num" w:pos="3600"/>
        </w:tabs>
        <w:ind w:left="3600" w:hanging="360"/>
      </w:pPr>
      <w:rPr>
        <w:rFonts w:ascii="Arial" w:hAnsi="Arial" w:hint="default"/>
      </w:rPr>
    </w:lvl>
    <w:lvl w:ilvl="5" w:tplc="24E2793E" w:tentative="1">
      <w:start w:val="1"/>
      <w:numFmt w:val="bullet"/>
      <w:lvlText w:val="•"/>
      <w:lvlJc w:val="left"/>
      <w:pPr>
        <w:tabs>
          <w:tab w:val="num" w:pos="4320"/>
        </w:tabs>
        <w:ind w:left="4320" w:hanging="360"/>
      </w:pPr>
      <w:rPr>
        <w:rFonts w:ascii="Arial" w:hAnsi="Arial" w:hint="default"/>
      </w:rPr>
    </w:lvl>
    <w:lvl w:ilvl="6" w:tplc="D7BCE948" w:tentative="1">
      <w:start w:val="1"/>
      <w:numFmt w:val="bullet"/>
      <w:lvlText w:val="•"/>
      <w:lvlJc w:val="left"/>
      <w:pPr>
        <w:tabs>
          <w:tab w:val="num" w:pos="5040"/>
        </w:tabs>
        <w:ind w:left="5040" w:hanging="360"/>
      </w:pPr>
      <w:rPr>
        <w:rFonts w:ascii="Arial" w:hAnsi="Arial" w:hint="default"/>
      </w:rPr>
    </w:lvl>
    <w:lvl w:ilvl="7" w:tplc="193C5AEA" w:tentative="1">
      <w:start w:val="1"/>
      <w:numFmt w:val="bullet"/>
      <w:lvlText w:val="•"/>
      <w:lvlJc w:val="left"/>
      <w:pPr>
        <w:tabs>
          <w:tab w:val="num" w:pos="5760"/>
        </w:tabs>
        <w:ind w:left="5760" w:hanging="360"/>
      </w:pPr>
      <w:rPr>
        <w:rFonts w:ascii="Arial" w:hAnsi="Arial" w:hint="default"/>
      </w:rPr>
    </w:lvl>
    <w:lvl w:ilvl="8" w:tplc="370C29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1D69FB"/>
    <w:multiLevelType w:val="multilevel"/>
    <w:tmpl w:val="FB5ED116"/>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17" w15:restartNumberingAfterBreak="0">
    <w:nsid w:val="5CE21B2F"/>
    <w:multiLevelType w:val="hybridMultilevel"/>
    <w:tmpl w:val="2A10F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161AB"/>
    <w:multiLevelType w:val="hybridMultilevel"/>
    <w:tmpl w:val="661A656C"/>
    <w:lvl w:ilvl="0" w:tplc="736E9EB0">
      <w:start w:val="1"/>
      <w:numFmt w:val="bullet"/>
      <w:lvlText w:val="◦"/>
      <w:lvlJc w:val="left"/>
      <w:pPr>
        <w:tabs>
          <w:tab w:val="num" w:pos="720"/>
        </w:tabs>
        <w:ind w:left="720" w:hanging="360"/>
      </w:pPr>
      <w:rPr>
        <w:rFonts w:ascii="Microsoft Sans Serif" w:hAnsi="Microsoft Sans Serif" w:hint="default"/>
      </w:rPr>
    </w:lvl>
    <w:lvl w:ilvl="1" w:tplc="69D69328">
      <w:start w:val="1"/>
      <w:numFmt w:val="bullet"/>
      <w:lvlText w:val="◦"/>
      <w:lvlJc w:val="left"/>
      <w:pPr>
        <w:tabs>
          <w:tab w:val="num" w:pos="1440"/>
        </w:tabs>
        <w:ind w:left="1440" w:hanging="360"/>
      </w:pPr>
      <w:rPr>
        <w:rFonts w:ascii="Microsoft Sans Serif" w:hAnsi="Microsoft Sans Serif" w:hint="default"/>
      </w:rPr>
    </w:lvl>
    <w:lvl w:ilvl="2" w:tplc="E7680D5C">
      <w:start w:val="110"/>
      <w:numFmt w:val="bullet"/>
      <w:lvlText w:val="•"/>
      <w:lvlJc w:val="left"/>
      <w:pPr>
        <w:tabs>
          <w:tab w:val="num" w:pos="2160"/>
        </w:tabs>
        <w:ind w:left="2160" w:hanging="360"/>
      </w:pPr>
      <w:rPr>
        <w:rFonts w:ascii="Microsoft Sans Serif" w:hAnsi="Microsoft Sans Serif" w:hint="default"/>
      </w:rPr>
    </w:lvl>
    <w:lvl w:ilvl="3" w:tplc="D4705E4E">
      <w:start w:val="110"/>
      <w:numFmt w:val="bullet"/>
      <w:lvlText w:val="◦"/>
      <w:lvlJc w:val="left"/>
      <w:pPr>
        <w:tabs>
          <w:tab w:val="num" w:pos="2880"/>
        </w:tabs>
        <w:ind w:left="2880" w:hanging="360"/>
      </w:pPr>
      <w:rPr>
        <w:rFonts w:ascii="Microsoft Sans Serif" w:hAnsi="Microsoft Sans Serif" w:hint="default"/>
      </w:rPr>
    </w:lvl>
    <w:lvl w:ilvl="4" w:tplc="71EABF32" w:tentative="1">
      <w:start w:val="1"/>
      <w:numFmt w:val="bullet"/>
      <w:lvlText w:val="◦"/>
      <w:lvlJc w:val="left"/>
      <w:pPr>
        <w:tabs>
          <w:tab w:val="num" w:pos="3600"/>
        </w:tabs>
        <w:ind w:left="3600" w:hanging="360"/>
      </w:pPr>
      <w:rPr>
        <w:rFonts w:ascii="Microsoft Sans Serif" w:hAnsi="Microsoft Sans Serif" w:hint="default"/>
      </w:rPr>
    </w:lvl>
    <w:lvl w:ilvl="5" w:tplc="50DA4F3E" w:tentative="1">
      <w:start w:val="1"/>
      <w:numFmt w:val="bullet"/>
      <w:lvlText w:val="◦"/>
      <w:lvlJc w:val="left"/>
      <w:pPr>
        <w:tabs>
          <w:tab w:val="num" w:pos="4320"/>
        </w:tabs>
        <w:ind w:left="4320" w:hanging="360"/>
      </w:pPr>
      <w:rPr>
        <w:rFonts w:ascii="Microsoft Sans Serif" w:hAnsi="Microsoft Sans Serif" w:hint="default"/>
      </w:rPr>
    </w:lvl>
    <w:lvl w:ilvl="6" w:tplc="553AF922" w:tentative="1">
      <w:start w:val="1"/>
      <w:numFmt w:val="bullet"/>
      <w:lvlText w:val="◦"/>
      <w:lvlJc w:val="left"/>
      <w:pPr>
        <w:tabs>
          <w:tab w:val="num" w:pos="5040"/>
        </w:tabs>
        <w:ind w:left="5040" w:hanging="360"/>
      </w:pPr>
      <w:rPr>
        <w:rFonts w:ascii="Microsoft Sans Serif" w:hAnsi="Microsoft Sans Serif" w:hint="default"/>
      </w:rPr>
    </w:lvl>
    <w:lvl w:ilvl="7" w:tplc="1098023E" w:tentative="1">
      <w:start w:val="1"/>
      <w:numFmt w:val="bullet"/>
      <w:lvlText w:val="◦"/>
      <w:lvlJc w:val="left"/>
      <w:pPr>
        <w:tabs>
          <w:tab w:val="num" w:pos="5760"/>
        </w:tabs>
        <w:ind w:left="5760" w:hanging="360"/>
      </w:pPr>
      <w:rPr>
        <w:rFonts w:ascii="Microsoft Sans Serif" w:hAnsi="Microsoft Sans Serif" w:hint="default"/>
      </w:rPr>
    </w:lvl>
    <w:lvl w:ilvl="8" w:tplc="6FEE6EB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7B066A9C"/>
    <w:multiLevelType w:val="hybridMultilevel"/>
    <w:tmpl w:val="736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0"/>
  </w:num>
  <w:num w:numId="5">
    <w:abstractNumId w:val="6"/>
  </w:num>
  <w:num w:numId="6">
    <w:abstractNumId w:val="3"/>
  </w:num>
  <w:num w:numId="7">
    <w:abstractNumId w:val="1"/>
  </w:num>
  <w:num w:numId="8">
    <w:abstractNumId w:val="7"/>
  </w:num>
  <w:num w:numId="9">
    <w:abstractNumId w:val="19"/>
  </w:num>
  <w:num w:numId="10">
    <w:abstractNumId w:val="15"/>
  </w:num>
  <w:num w:numId="11">
    <w:abstractNumId w:val="11"/>
  </w:num>
  <w:num w:numId="12">
    <w:abstractNumId w:val="17"/>
  </w:num>
  <w:num w:numId="13">
    <w:abstractNumId w:val="8"/>
  </w:num>
  <w:num w:numId="14">
    <w:abstractNumId w:val="2"/>
  </w:num>
  <w:num w:numId="15">
    <w:abstractNumId w:val="16"/>
  </w:num>
  <w:num w:numId="16">
    <w:abstractNumId w:val="14"/>
  </w:num>
  <w:num w:numId="17">
    <w:abstractNumId w:val="12"/>
  </w:num>
  <w:num w:numId="18">
    <w:abstractNumId w:val="5"/>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BD"/>
    <w:rsid w:val="00032434"/>
    <w:rsid w:val="000D37DD"/>
    <w:rsid w:val="0011525A"/>
    <w:rsid w:val="00142C9D"/>
    <w:rsid w:val="001E5655"/>
    <w:rsid w:val="00250E5C"/>
    <w:rsid w:val="002757DC"/>
    <w:rsid w:val="00310F03"/>
    <w:rsid w:val="00315BB2"/>
    <w:rsid w:val="00351543"/>
    <w:rsid w:val="00357147"/>
    <w:rsid w:val="003723A6"/>
    <w:rsid w:val="00385001"/>
    <w:rsid w:val="003B0FD8"/>
    <w:rsid w:val="003C7084"/>
    <w:rsid w:val="00412E17"/>
    <w:rsid w:val="004663A2"/>
    <w:rsid w:val="0047493D"/>
    <w:rsid w:val="0048001D"/>
    <w:rsid w:val="004A03B4"/>
    <w:rsid w:val="004B227F"/>
    <w:rsid w:val="004F38F6"/>
    <w:rsid w:val="00515154"/>
    <w:rsid w:val="005B32A6"/>
    <w:rsid w:val="005C4A27"/>
    <w:rsid w:val="005D72AD"/>
    <w:rsid w:val="006467E8"/>
    <w:rsid w:val="00682BB2"/>
    <w:rsid w:val="006A57F1"/>
    <w:rsid w:val="006B242E"/>
    <w:rsid w:val="006F4F83"/>
    <w:rsid w:val="006F61F3"/>
    <w:rsid w:val="007046C3"/>
    <w:rsid w:val="0070584A"/>
    <w:rsid w:val="00740E84"/>
    <w:rsid w:val="0079677E"/>
    <w:rsid w:val="007F7D86"/>
    <w:rsid w:val="00815F43"/>
    <w:rsid w:val="00837F8F"/>
    <w:rsid w:val="008714B3"/>
    <w:rsid w:val="008B34E1"/>
    <w:rsid w:val="00911A99"/>
    <w:rsid w:val="00973D6C"/>
    <w:rsid w:val="009909BD"/>
    <w:rsid w:val="009E26C0"/>
    <w:rsid w:val="00A46938"/>
    <w:rsid w:val="00A552F6"/>
    <w:rsid w:val="00A60DDB"/>
    <w:rsid w:val="00A874D1"/>
    <w:rsid w:val="00B179C1"/>
    <w:rsid w:val="00B43E69"/>
    <w:rsid w:val="00B5027F"/>
    <w:rsid w:val="00B67EC9"/>
    <w:rsid w:val="00BB3975"/>
    <w:rsid w:val="00C64F5E"/>
    <w:rsid w:val="00CB3A18"/>
    <w:rsid w:val="00D354AF"/>
    <w:rsid w:val="00D968DA"/>
    <w:rsid w:val="00E00F9C"/>
    <w:rsid w:val="00E75BAC"/>
    <w:rsid w:val="00E93815"/>
    <w:rsid w:val="00EC523C"/>
    <w:rsid w:val="00F14538"/>
    <w:rsid w:val="00F15C25"/>
    <w:rsid w:val="00F63A00"/>
    <w:rsid w:val="00F82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D8AF58"/>
  <w15:chartTrackingRefBased/>
  <w15:docId w15:val="{4D063360-0F0B-44F1-9452-9DB732D5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9B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9909B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9E26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09BD"/>
    <w:rPr>
      <w:rFonts w:ascii="Arial" w:eastAsia="Malgun Gothic" w:hAnsi="Arial" w:cs="Times New Roman"/>
      <w:sz w:val="36"/>
      <w:szCs w:val="20"/>
      <w:lang w:val="en-GB"/>
    </w:rPr>
  </w:style>
  <w:style w:type="paragraph" w:styleId="Footer">
    <w:name w:val="footer"/>
    <w:basedOn w:val="Normal"/>
    <w:link w:val="FooterChar"/>
    <w:rsid w:val="009909BD"/>
    <w:pPr>
      <w:widowControl w:val="0"/>
      <w:spacing w:after="0"/>
      <w:jc w:val="center"/>
    </w:pPr>
    <w:rPr>
      <w:rFonts w:ascii="Arial" w:hAnsi="Arial"/>
      <w:b/>
      <w:i/>
      <w:noProof/>
      <w:sz w:val="18"/>
    </w:rPr>
  </w:style>
  <w:style w:type="character" w:customStyle="1" w:styleId="FooterChar">
    <w:name w:val="Footer Char"/>
    <w:basedOn w:val="DefaultParagraphFont"/>
    <w:link w:val="Footer"/>
    <w:rsid w:val="009909BD"/>
    <w:rPr>
      <w:rFonts w:ascii="Arial" w:eastAsia="Malgun Gothic" w:hAnsi="Arial" w:cs="Times New Roman"/>
      <w:b/>
      <w:i/>
      <w:noProof/>
      <w:sz w:val="18"/>
      <w:szCs w:val="20"/>
      <w:lang w:val="en-GB"/>
    </w:rPr>
  </w:style>
  <w:style w:type="paragraph" w:customStyle="1" w:styleId="B1">
    <w:name w:val="B1"/>
    <w:basedOn w:val="Normal"/>
    <w:link w:val="B1Char"/>
    <w:qFormat/>
    <w:rsid w:val="009909BD"/>
    <w:pPr>
      <w:ind w:left="568" w:hanging="284"/>
    </w:pPr>
    <w:rPr>
      <w:lang w:eastAsia="x-none"/>
    </w:rPr>
  </w:style>
  <w:style w:type="character" w:customStyle="1" w:styleId="B1Char">
    <w:name w:val="B1 Char"/>
    <w:link w:val="B1"/>
    <w:rsid w:val="009909BD"/>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9909BD"/>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9909BD"/>
    <w:rPr>
      <w:rFonts w:ascii="Arial" w:eastAsia="MS Mincho" w:hAnsi="Arial" w:cs="Times New Roman"/>
      <w:sz w:val="20"/>
      <w:szCs w:val="20"/>
      <w:lang w:val="en-GB"/>
    </w:rPr>
  </w:style>
  <w:style w:type="paragraph" w:styleId="Caption">
    <w:name w:val="caption"/>
    <w:basedOn w:val="Normal"/>
    <w:next w:val="Normal"/>
    <w:uiPriority w:val="35"/>
    <w:unhideWhenUsed/>
    <w:qFormat/>
    <w:rsid w:val="009909BD"/>
    <w:pPr>
      <w:spacing w:after="200"/>
    </w:pPr>
    <w:rPr>
      <w:i/>
      <w:iCs/>
      <w:color w:val="44546A" w:themeColor="text2"/>
      <w:sz w:val="18"/>
      <w:szCs w:val="18"/>
    </w:rPr>
  </w:style>
  <w:style w:type="paragraph" w:styleId="ListParagraph">
    <w:name w:val="List Paragraph"/>
    <w:basedOn w:val="Normal"/>
    <w:uiPriority w:val="34"/>
    <w:qFormat/>
    <w:rsid w:val="008B34E1"/>
    <w:pPr>
      <w:ind w:left="720"/>
      <w:contextualSpacing/>
    </w:pPr>
  </w:style>
  <w:style w:type="character" w:customStyle="1" w:styleId="Heading2Char">
    <w:name w:val="Heading 2 Char"/>
    <w:basedOn w:val="DefaultParagraphFont"/>
    <w:link w:val="Heading2"/>
    <w:uiPriority w:val="9"/>
    <w:rsid w:val="009E26C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7046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6C3"/>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4571">
      <w:bodyDiv w:val="1"/>
      <w:marLeft w:val="0"/>
      <w:marRight w:val="0"/>
      <w:marTop w:val="0"/>
      <w:marBottom w:val="0"/>
      <w:divBdr>
        <w:top w:val="none" w:sz="0" w:space="0" w:color="auto"/>
        <w:left w:val="none" w:sz="0" w:space="0" w:color="auto"/>
        <w:bottom w:val="none" w:sz="0" w:space="0" w:color="auto"/>
        <w:right w:val="none" w:sz="0" w:space="0" w:color="auto"/>
      </w:divBdr>
    </w:div>
    <w:div w:id="63188360">
      <w:bodyDiv w:val="1"/>
      <w:marLeft w:val="0"/>
      <w:marRight w:val="0"/>
      <w:marTop w:val="0"/>
      <w:marBottom w:val="0"/>
      <w:divBdr>
        <w:top w:val="none" w:sz="0" w:space="0" w:color="auto"/>
        <w:left w:val="none" w:sz="0" w:space="0" w:color="auto"/>
        <w:bottom w:val="none" w:sz="0" w:space="0" w:color="auto"/>
        <w:right w:val="none" w:sz="0" w:space="0" w:color="auto"/>
      </w:divBdr>
      <w:divsChild>
        <w:div w:id="1954631248">
          <w:marLeft w:val="806"/>
          <w:marRight w:val="0"/>
          <w:marTop w:val="0"/>
          <w:marBottom w:val="0"/>
          <w:divBdr>
            <w:top w:val="none" w:sz="0" w:space="0" w:color="auto"/>
            <w:left w:val="none" w:sz="0" w:space="0" w:color="auto"/>
            <w:bottom w:val="none" w:sz="0" w:space="0" w:color="auto"/>
            <w:right w:val="none" w:sz="0" w:space="0" w:color="auto"/>
          </w:divBdr>
        </w:div>
        <w:div w:id="396514110">
          <w:marLeft w:val="1080"/>
          <w:marRight w:val="0"/>
          <w:marTop w:val="0"/>
          <w:marBottom w:val="0"/>
          <w:divBdr>
            <w:top w:val="none" w:sz="0" w:space="0" w:color="auto"/>
            <w:left w:val="none" w:sz="0" w:space="0" w:color="auto"/>
            <w:bottom w:val="none" w:sz="0" w:space="0" w:color="auto"/>
            <w:right w:val="none" w:sz="0" w:space="0" w:color="auto"/>
          </w:divBdr>
        </w:div>
        <w:div w:id="2137216917">
          <w:marLeft w:val="1080"/>
          <w:marRight w:val="0"/>
          <w:marTop w:val="0"/>
          <w:marBottom w:val="0"/>
          <w:divBdr>
            <w:top w:val="none" w:sz="0" w:space="0" w:color="auto"/>
            <w:left w:val="none" w:sz="0" w:space="0" w:color="auto"/>
            <w:bottom w:val="none" w:sz="0" w:space="0" w:color="auto"/>
            <w:right w:val="none" w:sz="0" w:space="0" w:color="auto"/>
          </w:divBdr>
        </w:div>
        <w:div w:id="1400977439">
          <w:marLeft w:val="1080"/>
          <w:marRight w:val="0"/>
          <w:marTop w:val="0"/>
          <w:marBottom w:val="0"/>
          <w:divBdr>
            <w:top w:val="none" w:sz="0" w:space="0" w:color="auto"/>
            <w:left w:val="none" w:sz="0" w:space="0" w:color="auto"/>
            <w:bottom w:val="none" w:sz="0" w:space="0" w:color="auto"/>
            <w:right w:val="none" w:sz="0" w:space="0" w:color="auto"/>
          </w:divBdr>
        </w:div>
        <w:div w:id="365911714">
          <w:marLeft w:val="1080"/>
          <w:marRight w:val="0"/>
          <w:marTop w:val="0"/>
          <w:marBottom w:val="0"/>
          <w:divBdr>
            <w:top w:val="none" w:sz="0" w:space="0" w:color="auto"/>
            <w:left w:val="none" w:sz="0" w:space="0" w:color="auto"/>
            <w:bottom w:val="none" w:sz="0" w:space="0" w:color="auto"/>
            <w:right w:val="none" w:sz="0" w:space="0" w:color="auto"/>
          </w:divBdr>
        </w:div>
      </w:divsChild>
    </w:div>
    <w:div w:id="500976054">
      <w:bodyDiv w:val="1"/>
      <w:marLeft w:val="0"/>
      <w:marRight w:val="0"/>
      <w:marTop w:val="0"/>
      <w:marBottom w:val="0"/>
      <w:divBdr>
        <w:top w:val="none" w:sz="0" w:space="0" w:color="auto"/>
        <w:left w:val="none" w:sz="0" w:space="0" w:color="auto"/>
        <w:bottom w:val="none" w:sz="0" w:space="0" w:color="auto"/>
        <w:right w:val="none" w:sz="0" w:space="0" w:color="auto"/>
      </w:divBdr>
      <w:divsChild>
        <w:div w:id="1095705612">
          <w:marLeft w:val="274"/>
          <w:marRight w:val="0"/>
          <w:marTop w:val="240"/>
          <w:marBottom w:val="0"/>
          <w:divBdr>
            <w:top w:val="none" w:sz="0" w:space="0" w:color="auto"/>
            <w:left w:val="none" w:sz="0" w:space="0" w:color="auto"/>
            <w:bottom w:val="none" w:sz="0" w:space="0" w:color="auto"/>
            <w:right w:val="none" w:sz="0" w:space="0" w:color="auto"/>
          </w:divBdr>
        </w:div>
        <w:div w:id="1741175275">
          <w:marLeft w:val="533"/>
          <w:marRight w:val="0"/>
          <w:marTop w:val="0"/>
          <w:marBottom w:val="0"/>
          <w:divBdr>
            <w:top w:val="none" w:sz="0" w:space="0" w:color="auto"/>
            <w:left w:val="none" w:sz="0" w:space="0" w:color="auto"/>
            <w:bottom w:val="none" w:sz="0" w:space="0" w:color="auto"/>
            <w:right w:val="none" w:sz="0" w:space="0" w:color="auto"/>
          </w:divBdr>
        </w:div>
        <w:div w:id="1154952189">
          <w:marLeft w:val="533"/>
          <w:marRight w:val="0"/>
          <w:marTop w:val="0"/>
          <w:marBottom w:val="0"/>
          <w:divBdr>
            <w:top w:val="none" w:sz="0" w:space="0" w:color="auto"/>
            <w:left w:val="none" w:sz="0" w:space="0" w:color="auto"/>
            <w:bottom w:val="none" w:sz="0" w:space="0" w:color="auto"/>
            <w:right w:val="none" w:sz="0" w:space="0" w:color="auto"/>
          </w:divBdr>
        </w:div>
      </w:divsChild>
    </w:div>
    <w:div w:id="654458457">
      <w:bodyDiv w:val="1"/>
      <w:marLeft w:val="0"/>
      <w:marRight w:val="0"/>
      <w:marTop w:val="0"/>
      <w:marBottom w:val="0"/>
      <w:divBdr>
        <w:top w:val="none" w:sz="0" w:space="0" w:color="auto"/>
        <w:left w:val="none" w:sz="0" w:space="0" w:color="auto"/>
        <w:bottom w:val="none" w:sz="0" w:space="0" w:color="auto"/>
        <w:right w:val="none" w:sz="0" w:space="0" w:color="auto"/>
      </w:divBdr>
      <w:divsChild>
        <w:div w:id="1317223694">
          <w:marLeft w:val="274"/>
          <w:marRight w:val="0"/>
          <w:marTop w:val="240"/>
          <w:marBottom w:val="0"/>
          <w:divBdr>
            <w:top w:val="none" w:sz="0" w:space="0" w:color="auto"/>
            <w:left w:val="none" w:sz="0" w:space="0" w:color="auto"/>
            <w:bottom w:val="none" w:sz="0" w:space="0" w:color="auto"/>
            <w:right w:val="none" w:sz="0" w:space="0" w:color="auto"/>
          </w:divBdr>
        </w:div>
        <w:div w:id="230390848">
          <w:marLeft w:val="533"/>
          <w:marRight w:val="0"/>
          <w:marTop w:val="0"/>
          <w:marBottom w:val="0"/>
          <w:divBdr>
            <w:top w:val="none" w:sz="0" w:space="0" w:color="auto"/>
            <w:left w:val="none" w:sz="0" w:space="0" w:color="auto"/>
            <w:bottom w:val="none" w:sz="0" w:space="0" w:color="auto"/>
            <w:right w:val="none" w:sz="0" w:space="0" w:color="auto"/>
          </w:divBdr>
        </w:div>
        <w:div w:id="165023390">
          <w:marLeft w:val="533"/>
          <w:marRight w:val="0"/>
          <w:marTop w:val="0"/>
          <w:marBottom w:val="0"/>
          <w:divBdr>
            <w:top w:val="none" w:sz="0" w:space="0" w:color="auto"/>
            <w:left w:val="none" w:sz="0" w:space="0" w:color="auto"/>
            <w:bottom w:val="none" w:sz="0" w:space="0" w:color="auto"/>
            <w:right w:val="none" w:sz="0" w:space="0" w:color="auto"/>
          </w:divBdr>
        </w:div>
        <w:div w:id="491062455">
          <w:marLeft w:val="533"/>
          <w:marRight w:val="0"/>
          <w:marTop w:val="0"/>
          <w:marBottom w:val="0"/>
          <w:divBdr>
            <w:top w:val="none" w:sz="0" w:space="0" w:color="auto"/>
            <w:left w:val="none" w:sz="0" w:space="0" w:color="auto"/>
            <w:bottom w:val="none" w:sz="0" w:space="0" w:color="auto"/>
            <w:right w:val="none" w:sz="0" w:space="0" w:color="auto"/>
          </w:divBdr>
        </w:div>
        <w:div w:id="1365138236">
          <w:marLeft w:val="806"/>
          <w:marRight w:val="0"/>
          <w:marTop w:val="0"/>
          <w:marBottom w:val="0"/>
          <w:divBdr>
            <w:top w:val="none" w:sz="0" w:space="0" w:color="auto"/>
            <w:left w:val="none" w:sz="0" w:space="0" w:color="auto"/>
            <w:bottom w:val="none" w:sz="0" w:space="0" w:color="auto"/>
            <w:right w:val="none" w:sz="0" w:space="0" w:color="auto"/>
          </w:divBdr>
        </w:div>
        <w:div w:id="928735423">
          <w:marLeft w:val="806"/>
          <w:marRight w:val="0"/>
          <w:marTop w:val="0"/>
          <w:marBottom w:val="0"/>
          <w:divBdr>
            <w:top w:val="none" w:sz="0" w:space="0" w:color="auto"/>
            <w:left w:val="none" w:sz="0" w:space="0" w:color="auto"/>
            <w:bottom w:val="none" w:sz="0" w:space="0" w:color="auto"/>
            <w:right w:val="none" w:sz="0" w:space="0" w:color="auto"/>
          </w:divBdr>
        </w:div>
        <w:div w:id="973096712">
          <w:marLeft w:val="274"/>
          <w:marRight w:val="0"/>
          <w:marTop w:val="240"/>
          <w:marBottom w:val="0"/>
          <w:divBdr>
            <w:top w:val="none" w:sz="0" w:space="0" w:color="auto"/>
            <w:left w:val="none" w:sz="0" w:space="0" w:color="auto"/>
            <w:bottom w:val="none" w:sz="0" w:space="0" w:color="auto"/>
            <w:right w:val="none" w:sz="0" w:space="0" w:color="auto"/>
          </w:divBdr>
        </w:div>
      </w:divsChild>
    </w:div>
    <w:div w:id="690911511">
      <w:bodyDiv w:val="1"/>
      <w:marLeft w:val="0"/>
      <w:marRight w:val="0"/>
      <w:marTop w:val="0"/>
      <w:marBottom w:val="0"/>
      <w:divBdr>
        <w:top w:val="none" w:sz="0" w:space="0" w:color="auto"/>
        <w:left w:val="none" w:sz="0" w:space="0" w:color="auto"/>
        <w:bottom w:val="none" w:sz="0" w:space="0" w:color="auto"/>
        <w:right w:val="none" w:sz="0" w:space="0" w:color="auto"/>
      </w:divBdr>
      <w:divsChild>
        <w:div w:id="1756242829">
          <w:marLeft w:val="274"/>
          <w:marRight w:val="0"/>
          <w:marTop w:val="240"/>
          <w:marBottom w:val="0"/>
          <w:divBdr>
            <w:top w:val="none" w:sz="0" w:space="0" w:color="auto"/>
            <w:left w:val="none" w:sz="0" w:space="0" w:color="auto"/>
            <w:bottom w:val="none" w:sz="0" w:space="0" w:color="auto"/>
            <w:right w:val="none" w:sz="0" w:space="0" w:color="auto"/>
          </w:divBdr>
        </w:div>
        <w:div w:id="319887086">
          <w:marLeft w:val="533"/>
          <w:marRight w:val="0"/>
          <w:marTop w:val="0"/>
          <w:marBottom w:val="0"/>
          <w:divBdr>
            <w:top w:val="none" w:sz="0" w:space="0" w:color="auto"/>
            <w:left w:val="none" w:sz="0" w:space="0" w:color="auto"/>
            <w:bottom w:val="none" w:sz="0" w:space="0" w:color="auto"/>
            <w:right w:val="none" w:sz="0" w:space="0" w:color="auto"/>
          </w:divBdr>
        </w:div>
      </w:divsChild>
    </w:div>
    <w:div w:id="730620186">
      <w:bodyDiv w:val="1"/>
      <w:marLeft w:val="0"/>
      <w:marRight w:val="0"/>
      <w:marTop w:val="0"/>
      <w:marBottom w:val="0"/>
      <w:divBdr>
        <w:top w:val="none" w:sz="0" w:space="0" w:color="auto"/>
        <w:left w:val="none" w:sz="0" w:space="0" w:color="auto"/>
        <w:bottom w:val="none" w:sz="0" w:space="0" w:color="auto"/>
        <w:right w:val="none" w:sz="0" w:space="0" w:color="auto"/>
      </w:divBdr>
    </w:div>
    <w:div w:id="908729918">
      <w:bodyDiv w:val="1"/>
      <w:marLeft w:val="0"/>
      <w:marRight w:val="0"/>
      <w:marTop w:val="0"/>
      <w:marBottom w:val="0"/>
      <w:divBdr>
        <w:top w:val="none" w:sz="0" w:space="0" w:color="auto"/>
        <w:left w:val="none" w:sz="0" w:space="0" w:color="auto"/>
        <w:bottom w:val="none" w:sz="0" w:space="0" w:color="auto"/>
        <w:right w:val="none" w:sz="0" w:space="0" w:color="auto"/>
      </w:divBdr>
      <w:divsChild>
        <w:div w:id="1286692170">
          <w:marLeft w:val="533"/>
          <w:marRight w:val="0"/>
          <w:marTop w:val="0"/>
          <w:marBottom w:val="0"/>
          <w:divBdr>
            <w:top w:val="none" w:sz="0" w:space="0" w:color="auto"/>
            <w:left w:val="none" w:sz="0" w:space="0" w:color="auto"/>
            <w:bottom w:val="none" w:sz="0" w:space="0" w:color="auto"/>
            <w:right w:val="none" w:sz="0" w:space="0" w:color="auto"/>
          </w:divBdr>
        </w:div>
        <w:div w:id="1190340004">
          <w:marLeft w:val="806"/>
          <w:marRight w:val="0"/>
          <w:marTop w:val="0"/>
          <w:marBottom w:val="0"/>
          <w:divBdr>
            <w:top w:val="none" w:sz="0" w:space="0" w:color="auto"/>
            <w:left w:val="none" w:sz="0" w:space="0" w:color="auto"/>
            <w:bottom w:val="none" w:sz="0" w:space="0" w:color="auto"/>
            <w:right w:val="none" w:sz="0" w:space="0" w:color="auto"/>
          </w:divBdr>
        </w:div>
        <w:div w:id="1753775877">
          <w:marLeft w:val="1080"/>
          <w:marRight w:val="0"/>
          <w:marTop w:val="0"/>
          <w:marBottom w:val="0"/>
          <w:divBdr>
            <w:top w:val="none" w:sz="0" w:space="0" w:color="auto"/>
            <w:left w:val="none" w:sz="0" w:space="0" w:color="auto"/>
            <w:bottom w:val="none" w:sz="0" w:space="0" w:color="auto"/>
            <w:right w:val="none" w:sz="0" w:space="0" w:color="auto"/>
          </w:divBdr>
        </w:div>
        <w:div w:id="236597822">
          <w:marLeft w:val="806"/>
          <w:marRight w:val="0"/>
          <w:marTop w:val="0"/>
          <w:marBottom w:val="0"/>
          <w:divBdr>
            <w:top w:val="none" w:sz="0" w:space="0" w:color="auto"/>
            <w:left w:val="none" w:sz="0" w:space="0" w:color="auto"/>
            <w:bottom w:val="none" w:sz="0" w:space="0" w:color="auto"/>
            <w:right w:val="none" w:sz="0" w:space="0" w:color="auto"/>
          </w:divBdr>
        </w:div>
        <w:div w:id="1722822964">
          <w:marLeft w:val="533"/>
          <w:marRight w:val="0"/>
          <w:marTop w:val="0"/>
          <w:marBottom w:val="0"/>
          <w:divBdr>
            <w:top w:val="none" w:sz="0" w:space="0" w:color="auto"/>
            <w:left w:val="none" w:sz="0" w:space="0" w:color="auto"/>
            <w:bottom w:val="none" w:sz="0" w:space="0" w:color="auto"/>
            <w:right w:val="none" w:sz="0" w:space="0" w:color="auto"/>
          </w:divBdr>
        </w:div>
        <w:div w:id="300768958">
          <w:marLeft w:val="806"/>
          <w:marRight w:val="0"/>
          <w:marTop w:val="0"/>
          <w:marBottom w:val="0"/>
          <w:divBdr>
            <w:top w:val="none" w:sz="0" w:space="0" w:color="auto"/>
            <w:left w:val="none" w:sz="0" w:space="0" w:color="auto"/>
            <w:bottom w:val="none" w:sz="0" w:space="0" w:color="auto"/>
            <w:right w:val="none" w:sz="0" w:space="0" w:color="auto"/>
          </w:divBdr>
        </w:div>
      </w:divsChild>
    </w:div>
    <w:div w:id="1133331502">
      <w:bodyDiv w:val="1"/>
      <w:marLeft w:val="0"/>
      <w:marRight w:val="0"/>
      <w:marTop w:val="0"/>
      <w:marBottom w:val="0"/>
      <w:divBdr>
        <w:top w:val="none" w:sz="0" w:space="0" w:color="auto"/>
        <w:left w:val="none" w:sz="0" w:space="0" w:color="auto"/>
        <w:bottom w:val="none" w:sz="0" w:space="0" w:color="auto"/>
        <w:right w:val="none" w:sz="0" w:space="0" w:color="auto"/>
      </w:divBdr>
      <w:divsChild>
        <w:div w:id="1750420715">
          <w:marLeft w:val="274"/>
          <w:marRight w:val="0"/>
          <w:marTop w:val="240"/>
          <w:marBottom w:val="0"/>
          <w:divBdr>
            <w:top w:val="none" w:sz="0" w:space="0" w:color="auto"/>
            <w:left w:val="none" w:sz="0" w:space="0" w:color="auto"/>
            <w:bottom w:val="none" w:sz="0" w:space="0" w:color="auto"/>
            <w:right w:val="none" w:sz="0" w:space="0" w:color="auto"/>
          </w:divBdr>
        </w:div>
        <w:div w:id="319308772">
          <w:marLeft w:val="533"/>
          <w:marRight w:val="0"/>
          <w:marTop w:val="0"/>
          <w:marBottom w:val="0"/>
          <w:divBdr>
            <w:top w:val="none" w:sz="0" w:space="0" w:color="auto"/>
            <w:left w:val="none" w:sz="0" w:space="0" w:color="auto"/>
            <w:bottom w:val="none" w:sz="0" w:space="0" w:color="auto"/>
            <w:right w:val="none" w:sz="0" w:space="0" w:color="auto"/>
          </w:divBdr>
        </w:div>
        <w:div w:id="636035226">
          <w:marLeft w:val="806"/>
          <w:marRight w:val="0"/>
          <w:marTop w:val="0"/>
          <w:marBottom w:val="0"/>
          <w:divBdr>
            <w:top w:val="none" w:sz="0" w:space="0" w:color="auto"/>
            <w:left w:val="none" w:sz="0" w:space="0" w:color="auto"/>
            <w:bottom w:val="none" w:sz="0" w:space="0" w:color="auto"/>
            <w:right w:val="none" w:sz="0" w:space="0" w:color="auto"/>
          </w:divBdr>
        </w:div>
      </w:divsChild>
    </w:div>
    <w:div w:id="1333068709">
      <w:bodyDiv w:val="1"/>
      <w:marLeft w:val="0"/>
      <w:marRight w:val="0"/>
      <w:marTop w:val="0"/>
      <w:marBottom w:val="0"/>
      <w:divBdr>
        <w:top w:val="none" w:sz="0" w:space="0" w:color="auto"/>
        <w:left w:val="none" w:sz="0" w:space="0" w:color="auto"/>
        <w:bottom w:val="none" w:sz="0" w:space="0" w:color="auto"/>
        <w:right w:val="none" w:sz="0" w:space="0" w:color="auto"/>
      </w:divBdr>
      <w:divsChild>
        <w:div w:id="1747148098">
          <w:marLeft w:val="274"/>
          <w:marRight w:val="0"/>
          <w:marTop w:val="240"/>
          <w:marBottom w:val="0"/>
          <w:divBdr>
            <w:top w:val="none" w:sz="0" w:space="0" w:color="auto"/>
            <w:left w:val="none" w:sz="0" w:space="0" w:color="auto"/>
            <w:bottom w:val="none" w:sz="0" w:space="0" w:color="auto"/>
            <w:right w:val="none" w:sz="0" w:space="0" w:color="auto"/>
          </w:divBdr>
        </w:div>
        <w:div w:id="87315583">
          <w:marLeft w:val="533"/>
          <w:marRight w:val="0"/>
          <w:marTop w:val="0"/>
          <w:marBottom w:val="0"/>
          <w:divBdr>
            <w:top w:val="none" w:sz="0" w:space="0" w:color="auto"/>
            <w:left w:val="none" w:sz="0" w:space="0" w:color="auto"/>
            <w:bottom w:val="none" w:sz="0" w:space="0" w:color="auto"/>
            <w:right w:val="none" w:sz="0" w:space="0" w:color="auto"/>
          </w:divBdr>
        </w:div>
        <w:div w:id="623927431">
          <w:marLeft w:val="533"/>
          <w:marRight w:val="0"/>
          <w:marTop w:val="0"/>
          <w:marBottom w:val="0"/>
          <w:divBdr>
            <w:top w:val="none" w:sz="0" w:space="0" w:color="auto"/>
            <w:left w:val="none" w:sz="0" w:space="0" w:color="auto"/>
            <w:bottom w:val="none" w:sz="0" w:space="0" w:color="auto"/>
            <w:right w:val="none" w:sz="0" w:space="0" w:color="auto"/>
          </w:divBdr>
        </w:div>
        <w:div w:id="838547047">
          <w:marLeft w:val="806"/>
          <w:marRight w:val="0"/>
          <w:marTop w:val="0"/>
          <w:marBottom w:val="0"/>
          <w:divBdr>
            <w:top w:val="none" w:sz="0" w:space="0" w:color="auto"/>
            <w:left w:val="none" w:sz="0" w:space="0" w:color="auto"/>
            <w:bottom w:val="none" w:sz="0" w:space="0" w:color="auto"/>
            <w:right w:val="none" w:sz="0" w:space="0" w:color="auto"/>
          </w:divBdr>
        </w:div>
        <w:div w:id="1250238482">
          <w:marLeft w:val="806"/>
          <w:marRight w:val="0"/>
          <w:marTop w:val="0"/>
          <w:marBottom w:val="0"/>
          <w:divBdr>
            <w:top w:val="none" w:sz="0" w:space="0" w:color="auto"/>
            <w:left w:val="none" w:sz="0" w:space="0" w:color="auto"/>
            <w:bottom w:val="none" w:sz="0" w:space="0" w:color="auto"/>
            <w:right w:val="none" w:sz="0" w:space="0" w:color="auto"/>
          </w:divBdr>
        </w:div>
        <w:div w:id="1980264275">
          <w:marLeft w:val="806"/>
          <w:marRight w:val="0"/>
          <w:marTop w:val="0"/>
          <w:marBottom w:val="0"/>
          <w:divBdr>
            <w:top w:val="none" w:sz="0" w:space="0" w:color="auto"/>
            <w:left w:val="none" w:sz="0" w:space="0" w:color="auto"/>
            <w:bottom w:val="none" w:sz="0" w:space="0" w:color="auto"/>
            <w:right w:val="none" w:sz="0" w:space="0" w:color="auto"/>
          </w:divBdr>
        </w:div>
        <w:div w:id="1002777570">
          <w:marLeft w:val="806"/>
          <w:marRight w:val="0"/>
          <w:marTop w:val="0"/>
          <w:marBottom w:val="0"/>
          <w:divBdr>
            <w:top w:val="none" w:sz="0" w:space="0" w:color="auto"/>
            <w:left w:val="none" w:sz="0" w:space="0" w:color="auto"/>
            <w:bottom w:val="none" w:sz="0" w:space="0" w:color="auto"/>
            <w:right w:val="none" w:sz="0" w:space="0" w:color="auto"/>
          </w:divBdr>
        </w:div>
        <w:div w:id="1414545722">
          <w:marLeft w:val="274"/>
          <w:marRight w:val="0"/>
          <w:marTop w:val="240"/>
          <w:marBottom w:val="0"/>
          <w:divBdr>
            <w:top w:val="none" w:sz="0" w:space="0" w:color="auto"/>
            <w:left w:val="none" w:sz="0" w:space="0" w:color="auto"/>
            <w:bottom w:val="none" w:sz="0" w:space="0" w:color="auto"/>
            <w:right w:val="none" w:sz="0" w:space="0" w:color="auto"/>
          </w:divBdr>
        </w:div>
        <w:div w:id="599528144">
          <w:marLeft w:val="274"/>
          <w:marRight w:val="0"/>
          <w:marTop w:val="240"/>
          <w:marBottom w:val="0"/>
          <w:divBdr>
            <w:top w:val="none" w:sz="0" w:space="0" w:color="auto"/>
            <w:left w:val="none" w:sz="0" w:space="0" w:color="auto"/>
            <w:bottom w:val="none" w:sz="0" w:space="0" w:color="auto"/>
            <w:right w:val="none" w:sz="0" w:space="0" w:color="auto"/>
          </w:divBdr>
        </w:div>
      </w:divsChild>
    </w:div>
    <w:div w:id="1355888205">
      <w:bodyDiv w:val="1"/>
      <w:marLeft w:val="0"/>
      <w:marRight w:val="0"/>
      <w:marTop w:val="0"/>
      <w:marBottom w:val="0"/>
      <w:divBdr>
        <w:top w:val="none" w:sz="0" w:space="0" w:color="auto"/>
        <w:left w:val="none" w:sz="0" w:space="0" w:color="auto"/>
        <w:bottom w:val="none" w:sz="0" w:space="0" w:color="auto"/>
        <w:right w:val="none" w:sz="0" w:space="0" w:color="auto"/>
      </w:divBdr>
    </w:div>
    <w:div w:id="1388605767">
      <w:bodyDiv w:val="1"/>
      <w:marLeft w:val="0"/>
      <w:marRight w:val="0"/>
      <w:marTop w:val="0"/>
      <w:marBottom w:val="0"/>
      <w:divBdr>
        <w:top w:val="none" w:sz="0" w:space="0" w:color="auto"/>
        <w:left w:val="none" w:sz="0" w:space="0" w:color="auto"/>
        <w:bottom w:val="none" w:sz="0" w:space="0" w:color="auto"/>
        <w:right w:val="none" w:sz="0" w:space="0" w:color="auto"/>
      </w:divBdr>
      <w:divsChild>
        <w:div w:id="434054181">
          <w:marLeft w:val="274"/>
          <w:marRight w:val="0"/>
          <w:marTop w:val="240"/>
          <w:marBottom w:val="0"/>
          <w:divBdr>
            <w:top w:val="none" w:sz="0" w:space="0" w:color="auto"/>
            <w:left w:val="none" w:sz="0" w:space="0" w:color="auto"/>
            <w:bottom w:val="none" w:sz="0" w:space="0" w:color="auto"/>
            <w:right w:val="none" w:sz="0" w:space="0" w:color="auto"/>
          </w:divBdr>
        </w:div>
        <w:div w:id="604848534">
          <w:marLeft w:val="533"/>
          <w:marRight w:val="0"/>
          <w:marTop w:val="0"/>
          <w:marBottom w:val="0"/>
          <w:divBdr>
            <w:top w:val="none" w:sz="0" w:space="0" w:color="auto"/>
            <w:left w:val="none" w:sz="0" w:space="0" w:color="auto"/>
            <w:bottom w:val="none" w:sz="0" w:space="0" w:color="auto"/>
            <w:right w:val="none" w:sz="0" w:space="0" w:color="auto"/>
          </w:divBdr>
        </w:div>
        <w:div w:id="2062171606">
          <w:marLeft w:val="533"/>
          <w:marRight w:val="0"/>
          <w:marTop w:val="0"/>
          <w:marBottom w:val="0"/>
          <w:divBdr>
            <w:top w:val="none" w:sz="0" w:space="0" w:color="auto"/>
            <w:left w:val="none" w:sz="0" w:space="0" w:color="auto"/>
            <w:bottom w:val="none" w:sz="0" w:space="0" w:color="auto"/>
            <w:right w:val="none" w:sz="0" w:space="0" w:color="auto"/>
          </w:divBdr>
        </w:div>
      </w:divsChild>
    </w:div>
    <w:div w:id="1548225310">
      <w:bodyDiv w:val="1"/>
      <w:marLeft w:val="0"/>
      <w:marRight w:val="0"/>
      <w:marTop w:val="0"/>
      <w:marBottom w:val="0"/>
      <w:divBdr>
        <w:top w:val="none" w:sz="0" w:space="0" w:color="auto"/>
        <w:left w:val="none" w:sz="0" w:space="0" w:color="auto"/>
        <w:bottom w:val="none" w:sz="0" w:space="0" w:color="auto"/>
        <w:right w:val="none" w:sz="0" w:space="0" w:color="auto"/>
      </w:divBdr>
      <w:divsChild>
        <w:div w:id="1027100742">
          <w:marLeft w:val="274"/>
          <w:marRight w:val="0"/>
          <w:marTop w:val="240"/>
          <w:marBottom w:val="0"/>
          <w:divBdr>
            <w:top w:val="none" w:sz="0" w:space="0" w:color="auto"/>
            <w:left w:val="none" w:sz="0" w:space="0" w:color="auto"/>
            <w:bottom w:val="none" w:sz="0" w:space="0" w:color="auto"/>
            <w:right w:val="none" w:sz="0" w:space="0" w:color="auto"/>
          </w:divBdr>
        </w:div>
        <w:div w:id="1568757424">
          <w:marLeft w:val="274"/>
          <w:marRight w:val="0"/>
          <w:marTop w:val="240"/>
          <w:marBottom w:val="0"/>
          <w:divBdr>
            <w:top w:val="none" w:sz="0" w:space="0" w:color="auto"/>
            <w:left w:val="none" w:sz="0" w:space="0" w:color="auto"/>
            <w:bottom w:val="none" w:sz="0" w:space="0" w:color="auto"/>
            <w:right w:val="none" w:sz="0" w:space="0" w:color="auto"/>
          </w:divBdr>
        </w:div>
        <w:div w:id="1675254639">
          <w:marLeft w:val="806"/>
          <w:marRight w:val="0"/>
          <w:marTop w:val="0"/>
          <w:marBottom w:val="0"/>
          <w:divBdr>
            <w:top w:val="none" w:sz="0" w:space="0" w:color="auto"/>
            <w:left w:val="none" w:sz="0" w:space="0" w:color="auto"/>
            <w:bottom w:val="none" w:sz="0" w:space="0" w:color="auto"/>
            <w:right w:val="none" w:sz="0" w:space="0" w:color="auto"/>
          </w:divBdr>
        </w:div>
        <w:div w:id="1810122927">
          <w:marLeft w:val="274"/>
          <w:marRight w:val="0"/>
          <w:marTop w:val="240"/>
          <w:marBottom w:val="0"/>
          <w:divBdr>
            <w:top w:val="none" w:sz="0" w:space="0" w:color="auto"/>
            <w:left w:val="none" w:sz="0" w:space="0" w:color="auto"/>
            <w:bottom w:val="none" w:sz="0" w:space="0" w:color="auto"/>
            <w:right w:val="none" w:sz="0" w:space="0" w:color="auto"/>
          </w:divBdr>
        </w:div>
        <w:div w:id="1702776457">
          <w:marLeft w:val="533"/>
          <w:marRight w:val="0"/>
          <w:marTop w:val="0"/>
          <w:marBottom w:val="0"/>
          <w:divBdr>
            <w:top w:val="none" w:sz="0" w:space="0" w:color="auto"/>
            <w:left w:val="none" w:sz="0" w:space="0" w:color="auto"/>
            <w:bottom w:val="none" w:sz="0" w:space="0" w:color="auto"/>
            <w:right w:val="none" w:sz="0" w:space="0" w:color="auto"/>
          </w:divBdr>
        </w:div>
        <w:div w:id="1786534714">
          <w:marLeft w:val="533"/>
          <w:marRight w:val="0"/>
          <w:marTop w:val="0"/>
          <w:marBottom w:val="0"/>
          <w:divBdr>
            <w:top w:val="none" w:sz="0" w:space="0" w:color="auto"/>
            <w:left w:val="none" w:sz="0" w:space="0" w:color="auto"/>
            <w:bottom w:val="none" w:sz="0" w:space="0" w:color="auto"/>
            <w:right w:val="none" w:sz="0" w:space="0" w:color="auto"/>
          </w:divBdr>
        </w:div>
        <w:div w:id="1805922984">
          <w:marLeft w:val="533"/>
          <w:marRight w:val="0"/>
          <w:marTop w:val="0"/>
          <w:marBottom w:val="0"/>
          <w:divBdr>
            <w:top w:val="none" w:sz="0" w:space="0" w:color="auto"/>
            <w:left w:val="none" w:sz="0" w:space="0" w:color="auto"/>
            <w:bottom w:val="none" w:sz="0" w:space="0" w:color="auto"/>
            <w:right w:val="none" w:sz="0" w:space="0" w:color="auto"/>
          </w:divBdr>
        </w:div>
      </w:divsChild>
    </w:div>
    <w:div w:id="1602294664">
      <w:bodyDiv w:val="1"/>
      <w:marLeft w:val="0"/>
      <w:marRight w:val="0"/>
      <w:marTop w:val="0"/>
      <w:marBottom w:val="0"/>
      <w:divBdr>
        <w:top w:val="none" w:sz="0" w:space="0" w:color="auto"/>
        <w:left w:val="none" w:sz="0" w:space="0" w:color="auto"/>
        <w:bottom w:val="none" w:sz="0" w:space="0" w:color="auto"/>
        <w:right w:val="none" w:sz="0" w:space="0" w:color="auto"/>
      </w:divBdr>
    </w:div>
    <w:div w:id="1668357947">
      <w:bodyDiv w:val="1"/>
      <w:marLeft w:val="0"/>
      <w:marRight w:val="0"/>
      <w:marTop w:val="0"/>
      <w:marBottom w:val="0"/>
      <w:divBdr>
        <w:top w:val="none" w:sz="0" w:space="0" w:color="auto"/>
        <w:left w:val="none" w:sz="0" w:space="0" w:color="auto"/>
        <w:bottom w:val="none" w:sz="0" w:space="0" w:color="auto"/>
        <w:right w:val="none" w:sz="0" w:space="0" w:color="auto"/>
      </w:divBdr>
      <w:divsChild>
        <w:div w:id="662199644">
          <w:marLeft w:val="533"/>
          <w:marRight w:val="0"/>
          <w:marTop w:val="0"/>
          <w:marBottom w:val="0"/>
          <w:divBdr>
            <w:top w:val="none" w:sz="0" w:space="0" w:color="auto"/>
            <w:left w:val="none" w:sz="0" w:space="0" w:color="auto"/>
            <w:bottom w:val="none" w:sz="0" w:space="0" w:color="auto"/>
            <w:right w:val="none" w:sz="0" w:space="0" w:color="auto"/>
          </w:divBdr>
        </w:div>
        <w:div w:id="1041368264">
          <w:marLeft w:val="806"/>
          <w:marRight w:val="0"/>
          <w:marTop w:val="0"/>
          <w:marBottom w:val="0"/>
          <w:divBdr>
            <w:top w:val="none" w:sz="0" w:space="0" w:color="auto"/>
            <w:left w:val="none" w:sz="0" w:space="0" w:color="auto"/>
            <w:bottom w:val="none" w:sz="0" w:space="0" w:color="auto"/>
            <w:right w:val="none" w:sz="0" w:space="0" w:color="auto"/>
          </w:divBdr>
        </w:div>
      </w:divsChild>
    </w:div>
    <w:div w:id="1887180706">
      <w:bodyDiv w:val="1"/>
      <w:marLeft w:val="0"/>
      <w:marRight w:val="0"/>
      <w:marTop w:val="0"/>
      <w:marBottom w:val="0"/>
      <w:divBdr>
        <w:top w:val="none" w:sz="0" w:space="0" w:color="auto"/>
        <w:left w:val="none" w:sz="0" w:space="0" w:color="auto"/>
        <w:bottom w:val="none" w:sz="0" w:space="0" w:color="auto"/>
        <w:right w:val="none" w:sz="0" w:space="0" w:color="auto"/>
      </w:divBdr>
      <w:divsChild>
        <w:div w:id="109789808">
          <w:marLeft w:val="274"/>
          <w:marRight w:val="0"/>
          <w:marTop w:val="240"/>
          <w:marBottom w:val="0"/>
          <w:divBdr>
            <w:top w:val="none" w:sz="0" w:space="0" w:color="auto"/>
            <w:left w:val="none" w:sz="0" w:space="0" w:color="auto"/>
            <w:bottom w:val="none" w:sz="0" w:space="0" w:color="auto"/>
            <w:right w:val="none" w:sz="0" w:space="0" w:color="auto"/>
          </w:divBdr>
        </w:div>
        <w:div w:id="1918127789">
          <w:marLeft w:val="274"/>
          <w:marRight w:val="0"/>
          <w:marTop w:val="240"/>
          <w:marBottom w:val="0"/>
          <w:divBdr>
            <w:top w:val="none" w:sz="0" w:space="0" w:color="auto"/>
            <w:left w:val="none" w:sz="0" w:space="0" w:color="auto"/>
            <w:bottom w:val="none" w:sz="0" w:space="0" w:color="auto"/>
            <w:right w:val="none" w:sz="0" w:space="0" w:color="auto"/>
          </w:divBdr>
        </w:div>
        <w:div w:id="313148794">
          <w:marLeft w:val="806"/>
          <w:marRight w:val="0"/>
          <w:marTop w:val="0"/>
          <w:marBottom w:val="0"/>
          <w:divBdr>
            <w:top w:val="none" w:sz="0" w:space="0" w:color="auto"/>
            <w:left w:val="none" w:sz="0" w:space="0" w:color="auto"/>
            <w:bottom w:val="none" w:sz="0" w:space="0" w:color="auto"/>
            <w:right w:val="none" w:sz="0" w:space="0" w:color="auto"/>
          </w:divBdr>
        </w:div>
        <w:div w:id="345014038">
          <w:marLeft w:val="274"/>
          <w:marRight w:val="0"/>
          <w:marTop w:val="240"/>
          <w:marBottom w:val="0"/>
          <w:divBdr>
            <w:top w:val="none" w:sz="0" w:space="0" w:color="auto"/>
            <w:left w:val="none" w:sz="0" w:space="0" w:color="auto"/>
            <w:bottom w:val="none" w:sz="0" w:space="0" w:color="auto"/>
            <w:right w:val="none" w:sz="0" w:space="0" w:color="auto"/>
          </w:divBdr>
        </w:div>
        <w:div w:id="1676306150">
          <w:marLeft w:val="533"/>
          <w:marRight w:val="0"/>
          <w:marTop w:val="0"/>
          <w:marBottom w:val="0"/>
          <w:divBdr>
            <w:top w:val="none" w:sz="0" w:space="0" w:color="auto"/>
            <w:left w:val="none" w:sz="0" w:space="0" w:color="auto"/>
            <w:bottom w:val="none" w:sz="0" w:space="0" w:color="auto"/>
            <w:right w:val="none" w:sz="0" w:space="0" w:color="auto"/>
          </w:divBdr>
        </w:div>
        <w:div w:id="50814902">
          <w:marLeft w:val="533"/>
          <w:marRight w:val="0"/>
          <w:marTop w:val="0"/>
          <w:marBottom w:val="0"/>
          <w:divBdr>
            <w:top w:val="none" w:sz="0" w:space="0" w:color="auto"/>
            <w:left w:val="none" w:sz="0" w:space="0" w:color="auto"/>
            <w:bottom w:val="none" w:sz="0" w:space="0" w:color="auto"/>
            <w:right w:val="none" w:sz="0" w:space="0" w:color="auto"/>
          </w:divBdr>
        </w:div>
        <w:div w:id="459298918">
          <w:marLeft w:val="533"/>
          <w:marRight w:val="0"/>
          <w:marTop w:val="0"/>
          <w:marBottom w:val="0"/>
          <w:divBdr>
            <w:top w:val="none" w:sz="0" w:space="0" w:color="auto"/>
            <w:left w:val="none" w:sz="0" w:space="0" w:color="auto"/>
            <w:bottom w:val="none" w:sz="0" w:space="0" w:color="auto"/>
            <w:right w:val="none" w:sz="0" w:space="0" w:color="auto"/>
          </w:divBdr>
        </w:div>
      </w:divsChild>
    </w:div>
    <w:div w:id="1936749478">
      <w:bodyDiv w:val="1"/>
      <w:marLeft w:val="0"/>
      <w:marRight w:val="0"/>
      <w:marTop w:val="0"/>
      <w:marBottom w:val="0"/>
      <w:divBdr>
        <w:top w:val="none" w:sz="0" w:space="0" w:color="auto"/>
        <w:left w:val="none" w:sz="0" w:space="0" w:color="auto"/>
        <w:bottom w:val="none" w:sz="0" w:space="0" w:color="auto"/>
        <w:right w:val="none" w:sz="0" w:space="0" w:color="auto"/>
      </w:divBdr>
      <w:divsChild>
        <w:div w:id="1748914969">
          <w:marLeft w:val="806"/>
          <w:marRight w:val="0"/>
          <w:marTop w:val="0"/>
          <w:marBottom w:val="0"/>
          <w:divBdr>
            <w:top w:val="none" w:sz="0" w:space="0" w:color="auto"/>
            <w:left w:val="none" w:sz="0" w:space="0" w:color="auto"/>
            <w:bottom w:val="none" w:sz="0" w:space="0" w:color="auto"/>
            <w:right w:val="none" w:sz="0" w:space="0" w:color="auto"/>
          </w:divBdr>
        </w:div>
        <w:div w:id="1592205519">
          <w:marLeft w:val="1080"/>
          <w:marRight w:val="0"/>
          <w:marTop w:val="0"/>
          <w:marBottom w:val="0"/>
          <w:divBdr>
            <w:top w:val="none" w:sz="0" w:space="0" w:color="auto"/>
            <w:left w:val="none" w:sz="0" w:space="0" w:color="auto"/>
            <w:bottom w:val="none" w:sz="0" w:space="0" w:color="auto"/>
            <w:right w:val="none" w:sz="0" w:space="0" w:color="auto"/>
          </w:divBdr>
        </w:div>
        <w:div w:id="496380646">
          <w:marLeft w:val="1080"/>
          <w:marRight w:val="0"/>
          <w:marTop w:val="0"/>
          <w:marBottom w:val="0"/>
          <w:divBdr>
            <w:top w:val="none" w:sz="0" w:space="0" w:color="auto"/>
            <w:left w:val="none" w:sz="0" w:space="0" w:color="auto"/>
            <w:bottom w:val="none" w:sz="0" w:space="0" w:color="auto"/>
            <w:right w:val="none" w:sz="0" w:space="0" w:color="auto"/>
          </w:divBdr>
        </w:div>
        <w:div w:id="1086001919">
          <w:marLeft w:val="1080"/>
          <w:marRight w:val="0"/>
          <w:marTop w:val="0"/>
          <w:marBottom w:val="0"/>
          <w:divBdr>
            <w:top w:val="none" w:sz="0" w:space="0" w:color="auto"/>
            <w:left w:val="none" w:sz="0" w:space="0" w:color="auto"/>
            <w:bottom w:val="none" w:sz="0" w:space="0" w:color="auto"/>
            <w:right w:val="none" w:sz="0" w:space="0" w:color="auto"/>
          </w:divBdr>
        </w:div>
        <w:div w:id="1445884375">
          <w:marLeft w:val="1080"/>
          <w:marRight w:val="0"/>
          <w:marTop w:val="0"/>
          <w:marBottom w:val="0"/>
          <w:divBdr>
            <w:top w:val="none" w:sz="0" w:space="0" w:color="auto"/>
            <w:left w:val="none" w:sz="0" w:space="0" w:color="auto"/>
            <w:bottom w:val="none" w:sz="0" w:space="0" w:color="auto"/>
            <w:right w:val="none" w:sz="0" w:space="0" w:color="auto"/>
          </w:divBdr>
        </w:div>
      </w:divsChild>
    </w:div>
    <w:div w:id="2028100433">
      <w:bodyDiv w:val="1"/>
      <w:marLeft w:val="0"/>
      <w:marRight w:val="0"/>
      <w:marTop w:val="0"/>
      <w:marBottom w:val="0"/>
      <w:divBdr>
        <w:top w:val="none" w:sz="0" w:space="0" w:color="auto"/>
        <w:left w:val="none" w:sz="0" w:space="0" w:color="auto"/>
        <w:bottom w:val="none" w:sz="0" w:space="0" w:color="auto"/>
        <w:right w:val="none" w:sz="0" w:space="0" w:color="auto"/>
      </w:divBdr>
      <w:divsChild>
        <w:div w:id="1176067555">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E3C0A-0D59-4DDE-8FCA-65E0F3E5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2019-03-28T21:33:00Z</dcterms:created>
  <dcterms:modified xsi:type="dcterms:W3CDTF">2019-03-28T21:33:00Z</dcterms:modified>
</cp:coreProperties>
</file>