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26DA73A0"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0B74DC">
        <w:rPr>
          <w:sz w:val="32"/>
          <w:szCs w:val="32"/>
          <w:lang w:val="en-US"/>
        </w:rPr>
        <w:t>034</w:t>
      </w:r>
      <w:r w:rsidR="00AB4BBC">
        <w:rPr>
          <w:sz w:val="32"/>
          <w:szCs w:val="32"/>
          <w:lang w:val="en-US"/>
        </w:rPr>
        <w:t>71</w:t>
      </w:r>
    </w:p>
    <w:p w14:paraId="63B03AD2" w14:textId="4B7985CA"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Peoples Republic of 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17F8C395"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.12.3</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78D8EC38"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6D50D9">
        <w:rPr>
          <w:sz w:val="22"/>
          <w:lang w:val="en-US"/>
        </w:rPr>
        <w:t>Data beamforming associated challenges in AAS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6115DC11" w:rsidR="00EC1625" w:rsidRDefault="00A42EFB" w:rsidP="00A2052C">
      <w:pPr>
        <w:rPr>
          <w:lang w:val="en-US"/>
        </w:rPr>
      </w:pPr>
      <w:r>
        <w:rPr>
          <w:lang w:val="en-US"/>
        </w:rPr>
        <w:t xml:space="preserve">In RAN2#105 meeting, </w:t>
      </w:r>
      <w:r w:rsidR="003C47B1">
        <w:rPr>
          <w:lang w:val="en-US"/>
        </w:rPr>
        <w:t>it was decided to include AAS related measurements as part of the performance monitoring KPIs</w:t>
      </w:r>
      <w:r w:rsidR="008F6912">
        <w:rPr>
          <w:lang w:val="en-US"/>
        </w:rPr>
        <w:t xml:space="preserve"> (PM-KPI)</w:t>
      </w:r>
      <w:r w:rsidR="004B1DC9" w:rsidRPr="00E259F7">
        <w:rPr>
          <w:lang w:val="en-US"/>
        </w:rPr>
        <w:t>.</w:t>
      </w:r>
      <w:r w:rsidR="003C47B1">
        <w:rPr>
          <w:lang w:val="en-US"/>
        </w:rPr>
        <w:t xml:space="preserve"> </w:t>
      </w:r>
      <w:r w:rsidR="004B1DC9" w:rsidRPr="0010662B">
        <w:rPr>
          <w:lang w:val="en-US"/>
        </w:rPr>
        <w:t xml:space="preserve"> </w:t>
      </w:r>
    </w:p>
    <w:p w14:paraId="1073A686" w14:textId="77777777" w:rsidR="003C47B1" w:rsidRPr="003C47B1" w:rsidRDefault="003C47B1" w:rsidP="003C47B1">
      <w:pPr>
        <w:pStyle w:val="Doc-text2"/>
        <w:pBdr>
          <w:top w:val="single" w:sz="4" w:space="1" w:color="auto"/>
          <w:left w:val="single" w:sz="4" w:space="4" w:color="auto"/>
          <w:bottom w:val="single" w:sz="4" w:space="1" w:color="auto"/>
          <w:right w:val="single" w:sz="4" w:space="4" w:color="auto"/>
        </w:pBdr>
        <w:rPr>
          <w:rFonts w:ascii="Arial" w:hAnsi="Arial" w:cs="Times New Roman"/>
          <w:sz w:val="20"/>
          <w:lang w:val="en-US"/>
        </w:rPr>
      </w:pPr>
      <w:bookmarkStart w:id="0" w:name="_Hlk3808102"/>
      <w:r w:rsidRPr="003C47B1">
        <w:rPr>
          <w:lang w:val="en-US"/>
        </w:rPr>
        <w:t>Agreements:</w:t>
      </w:r>
    </w:p>
    <w:p w14:paraId="3FC821D8" w14:textId="77777777" w:rsidR="003C47B1" w:rsidRPr="003C47B1" w:rsidRDefault="003C47B1" w:rsidP="003C47B1">
      <w:pPr>
        <w:pStyle w:val="Doc-text2"/>
        <w:pBdr>
          <w:top w:val="single" w:sz="4" w:space="1" w:color="auto"/>
          <w:left w:val="single" w:sz="4" w:space="4" w:color="auto"/>
          <w:bottom w:val="single" w:sz="4" w:space="1" w:color="auto"/>
          <w:right w:val="single" w:sz="4" w:space="4" w:color="auto"/>
        </w:pBdr>
        <w:rPr>
          <w:lang w:val="en-US"/>
        </w:rPr>
      </w:pPr>
      <w:r w:rsidRPr="003C47B1">
        <w:rPr>
          <w:lang w:val="en-US"/>
        </w:rPr>
        <w:t>1</w:t>
      </w:r>
      <w:r w:rsidRPr="003C47B1">
        <w:rPr>
          <w:lang w:val="en-US"/>
        </w:rPr>
        <w:tab/>
        <w:t xml:space="preserve">Add the new use case of Active Antenna System </w:t>
      </w:r>
      <w:proofErr w:type="spellStart"/>
      <w:r w:rsidRPr="003C47B1">
        <w:rPr>
          <w:lang w:val="en-US"/>
        </w:rPr>
        <w:t>optimisation</w:t>
      </w:r>
      <w:proofErr w:type="spellEnd"/>
      <w:r w:rsidRPr="003C47B1">
        <w:rPr>
          <w:lang w:val="en-US"/>
        </w:rPr>
        <w:t xml:space="preserve"> into TR 37.816</w:t>
      </w:r>
    </w:p>
    <w:p w14:paraId="7BC73A06" w14:textId="77777777" w:rsidR="003C47B1" w:rsidRPr="003C47B1" w:rsidRDefault="003C47B1" w:rsidP="003C47B1">
      <w:pPr>
        <w:pStyle w:val="Doc-text2"/>
        <w:pBdr>
          <w:top w:val="single" w:sz="4" w:space="1" w:color="auto"/>
          <w:left w:val="single" w:sz="4" w:space="4" w:color="auto"/>
          <w:bottom w:val="single" w:sz="4" w:space="1" w:color="auto"/>
          <w:right w:val="single" w:sz="4" w:space="4" w:color="auto"/>
        </w:pBdr>
        <w:rPr>
          <w:lang w:val="en-US"/>
        </w:rPr>
      </w:pPr>
      <w:r w:rsidRPr="003C47B1">
        <w:rPr>
          <w:lang w:val="en-US"/>
        </w:rPr>
        <w:t>2</w:t>
      </w:r>
      <w:r w:rsidRPr="003C47B1">
        <w:rPr>
          <w:lang w:val="en-US"/>
        </w:rPr>
        <w:tab/>
        <w:t xml:space="preserve">Define the following NR measurements for the use case of Active Antenna Systems </w:t>
      </w:r>
      <w:proofErr w:type="spellStart"/>
      <w:r w:rsidRPr="003C47B1">
        <w:rPr>
          <w:lang w:val="en-US"/>
        </w:rPr>
        <w:t>optimisation</w:t>
      </w:r>
      <w:proofErr w:type="spellEnd"/>
      <w:r w:rsidRPr="003C47B1">
        <w:rPr>
          <w:lang w:val="en-US"/>
        </w:rPr>
        <w:t>:</w:t>
      </w:r>
    </w:p>
    <w:p w14:paraId="250A013A" w14:textId="77777777" w:rsidR="003C47B1" w:rsidRPr="003C47B1" w:rsidRDefault="003C47B1" w:rsidP="003C47B1">
      <w:pPr>
        <w:pStyle w:val="Doc-text2"/>
        <w:pBdr>
          <w:top w:val="single" w:sz="4" w:space="1" w:color="auto"/>
          <w:left w:val="single" w:sz="4" w:space="4" w:color="auto"/>
          <w:bottom w:val="single" w:sz="4" w:space="1" w:color="auto"/>
          <w:right w:val="single" w:sz="4" w:space="4" w:color="auto"/>
        </w:pBdr>
        <w:rPr>
          <w:lang w:val="en-US"/>
        </w:rPr>
      </w:pPr>
      <w:r w:rsidRPr="003C47B1">
        <w:rPr>
          <w:lang w:val="en-US"/>
        </w:rPr>
        <w:t>1)</w:t>
      </w:r>
      <w:r w:rsidRPr="003C47B1">
        <w:rPr>
          <w:lang w:val="en-US"/>
        </w:rPr>
        <w:tab/>
        <w:t>Total NG-RAN Transmit Power for Control Channels (i.e. SSB/PDCCH/…)</w:t>
      </w:r>
    </w:p>
    <w:p w14:paraId="569E9AC9" w14:textId="77777777" w:rsidR="003C47B1" w:rsidRPr="003C47B1" w:rsidRDefault="003C47B1" w:rsidP="003C47B1">
      <w:pPr>
        <w:pStyle w:val="Doc-text2"/>
        <w:pBdr>
          <w:top w:val="single" w:sz="4" w:space="1" w:color="auto"/>
          <w:left w:val="single" w:sz="4" w:space="4" w:color="auto"/>
          <w:bottom w:val="single" w:sz="4" w:space="1" w:color="auto"/>
          <w:right w:val="single" w:sz="4" w:space="4" w:color="auto"/>
        </w:pBdr>
        <w:rPr>
          <w:lang w:val="en-US"/>
        </w:rPr>
      </w:pPr>
      <w:r w:rsidRPr="003C47B1">
        <w:rPr>
          <w:lang w:val="en-US"/>
        </w:rPr>
        <w:t>2)</w:t>
      </w:r>
      <w:r w:rsidRPr="003C47B1">
        <w:rPr>
          <w:lang w:val="en-US"/>
        </w:rPr>
        <w:tab/>
        <w:t>NG-RAN Transmit Power per Beam for Control Channels (i.e. SSB/PDCCH/…)</w:t>
      </w:r>
    </w:p>
    <w:p w14:paraId="145E8E10" w14:textId="77777777" w:rsidR="003C47B1" w:rsidRPr="003C47B1" w:rsidRDefault="003C47B1" w:rsidP="003C47B1">
      <w:pPr>
        <w:pStyle w:val="Doc-text2"/>
        <w:rPr>
          <w:lang w:val="en-US"/>
        </w:rPr>
      </w:pPr>
    </w:p>
    <w:p w14:paraId="6FC65A6A" w14:textId="77777777" w:rsidR="008F6912" w:rsidRDefault="003C47B1" w:rsidP="00A2052C">
      <w:pPr>
        <w:rPr>
          <w:lang w:val="en-US"/>
        </w:rPr>
      </w:pPr>
      <w:r>
        <w:rPr>
          <w:lang w:val="en-US"/>
        </w:rPr>
        <w:t xml:space="preserve">As part of the agreements, it was </w:t>
      </w:r>
      <w:r w:rsidR="00C55E46">
        <w:rPr>
          <w:lang w:val="en-US"/>
        </w:rPr>
        <w:t xml:space="preserve">kept as FFS as to whether the </w:t>
      </w:r>
      <w:r w:rsidR="008F6912">
        <w:rPr>
          <w:lang w:val="en-US"/>
        </w:rPr>
        <w:t xml:space="preserve">PDSCH related power consumption is also considered as a potential PM-KPI. </w:t>
      </w:r>
    </w:p>
    <w:p w14:paraId="2787929D" w14:textId="77777777" w:rsidR="008F6912" w:rsidRPr="003C47B1" w:rsidRDefault="008F6912" w:rsidP="008F6912">
      <w:pPr>
        <w:pStyle w:val="Doc-text2"/>
        <w:rPr>
          <w:lang w:val="en-US"/>
        </w:rPr>
      </w:pPr>
      <w:r w:rsidRPr="003C47B1">
        <w:rPr>
          <w:lang w:val="en-US"/>
        </w:rPr>
        <w:t>FFS the following measurements:</w:t>
      </w:r>
    </w:p>
    <w:p w14:paraId="17105F7D" w14:textId="77777777" w:rsidR="008F6912" w:rsidRPr="003C47B1" w:rsidRDefault="008F6912" w:rsidP="008F6912">
      <w:pPr>
        <w:pStyle w:val="Doc-text2"/>
        <w:rPr>
          <w:lang w:val="en-US"/>
        </w:rPr>
      </w:pPr>
      <w:r w:rsidRPr="003C47B1">
        <w:rPr>
          <w:lang w:val="en-US"/>
        </w:rPr>
        <w:t>1) Total NG-RAN Transmit Power for Traffic Data Channels (i.e. PDSCH)</w:t>
      </w:r>
    </w:p>
    <w:p w14:paraId="6A2BF8B4" w14:textId="77777777" w:rsidR="008F6912" w:rsidRPr="003C47B1" w:rsidRDefault="008F6912" w:rsidP="008F6912">
      <w:pPr>
        <w:pStyle w:val="Doc-text2"/>
        <w:rPr>
          <w:lang w:val="en-US"/>
        </w:rPr>
      </w:pPr>
      <w:r w:rsidRPr="003C47B1">
        <w:rPr>
          <w:lang w:val="en-US"/>
        </w:rPr>
        <w:t xml:space="preserve">2) </w:t>
      </w:r>
      <w:r>
        <w:rPr>
          <w:lang w:val="en-US"/>
        </w:rPr>
        <w:t xml:space="preserve">NG-RAN Transmit Power per Beam for </w:t>
      </w:r>
      <w:r w:rsidRPr="003C47B1">
        <w:rPr>
          <w:lang w:val="en-US"/>
        </w:rPr>
        <w:t>Traffic Data Channels (i.e. PDSCH)</w:t>
      </w:r>
    </w:p>
    <w:bookmarkEnd w:id="0"/>
    <w:p w14:paraId="1C5138CA" w14:textId="2918B2CA" w:rsidR="003C47B1" w:rsidRPr="0010662B" w:rsidRDefault="008F6912" w:rsidP="00A2052C">
      <w:pPr>
        <w:rPr>
          <w:lang w:val="en-US"/>
        </w:rPr>
      </w:pPr>
      <w:r>
        <w:rPr>
          <w:lang w:val="en-US"/>
        </w:rPr>
        <w:t xml:space="preserve">In this contribution, we discuss the complexities involving PDSCH in both digital and analog beamforming configurations and propose way forward related to PDSCH power usage KPI logging in the network.  </w:t>
      </w:r>
    </w:p>
    <w:p w14:paraId="5764FF3A" w14:textId="77777777" w:rsidR="004000E8" w:rsidRPr="00CE0424" w:rsidRDefault="004000E8" w:rsidP="00CE0424">
      <w:pPr>
        <w:pStyle w:val="Heading1"/>
      </w:pPr>
      <w:bookmarkStart w:id="1" w:name="_Ref178064866"/>
      <w:r w:rsidRPr="00CE0424">
        <w:t>Discussion</w:t>
      </w:r>
      <w:bookmarkEnd w:id="1"/>
    </w:p>
    <w:p w14:paraId="55083920" w14:textId="1460F8E3" w:rsidR="00EB6B85" w:rsidRPr="00343211" w:rsidRDefault="00343211" w:rsidP="00343211">
      <w:pPr>
        <w:rPr>
          <w:lang w:val="en-US"/>
        </w:rPr>
      </w:pPr>
      <w:r>
        <w:rPr>
          <w:lang w:val="en-US"/>
        </w:rPr>
        <w:t xml:space="preserve">Based on the discussion during the RAN2#105 meeting, the wanted measurement from the network </w:t>
      </w:r>
      <w:r w:rsidR="00190225">
        <w:rPr>
          <w:lang w:val="en-US"/>
        </w:rPr>
        <w:t xml:space="preserve">is the amount of radiated energy in a </w:t>
      </w:r>
      <w:r w:rsidR="00EB6B85">
        <w:rPr>
          <w:lang w:val="en-US"/>
        </w:rPr>
        <w:t>direction</w:t>
      </w:r>
      <w:r w:rsidR="00190225">
        <w:rPr>
          <w:lang w:val="en-US"/>
        </w:rPr>
        <w:t xml:space="preserve">. This </w:t>
      </w:r>
      <w:r w:rsidR="00EB6B85">
        <w:rPr>
          <w:lang w:val="en-US"/>
        </w:rPr>
        <w:t xml:space="preserve">requires the network to log the amount of energy transmitted in a given direction over a period. </w:t>
      </w:r>
    </w:p>
    <w:p w14:paraId="78B26878" w14:textId="0AC6687C" w:rsidR="00A52449" w:rsidRDefault="00564010" w:rsidP="00857F0A">
      <w:pPr>
        <w:rPr>
          <w:lang w:val="en-US"/>
        </w:rPr>
      </w:pPr>
      <w:r>
        <w:rPr>
          <w:lang w:val="en-US"/>
        </w:rPr>
        <w:t>One of the key feature</w:t>
      </w:r>
      <w:r w:rsidR="00562553">
        <w:rPr>
          <w:lang w:val="en-US"/>
        </w:rPr>
        <w:t>s</w:t>
      </w:r>
      <w:r>
        <w:rPr>
          <w:lang w:val="en-US"/>
        </w:rPr>
        <w:t xml:space="preserve"> of NR is the ability to operat</w:t>
      </w:r>
      <w:r w:rsidR="00343211">
        <w:rPr>
          <w:lang w:val="en-US"/>
        </w:rPr>
        <w:t>e in wide range of frequencies</w:t>
      </w:r>
      <w:r w:rsidR="00E259F7">
        <w:rPr>
          <w:lang w:val="en-US"/>
        </w:rPr>
        <w:t>.</w:t>
      </w:r>
      <w:r w:rsidR="00343211">
        <w:rPr>
          <w:lang w:val="en-US"/>
        </w:rPr>
        <w:t xml:space="preserve"> The frequency bands supporting NR ranges from sub GHz bands to </w:t>
      </w:r>
      <w:proofErr w:type="spellStart"/>
      <w:r w:rsidR="00343211">
        <w:rPr>
          <w:lang w:val="en-US"/>
        </w:rPr>
        <w:t>mmW</w:t>
      </w:r>
      <w:proofErr w:type="spellEnd"/>
      <w:r w:rsidR="00343211">
        <w:rPr>
          <w:lang w:val="en-US"/>
        </w:rPr>
        <w:t xml:space="preserve"> bands. Due to the hardware limitations, the beamforming methodology used in the lower frequencies can be different from the beamforming methodology used in the higher frequencies. Typically, in lower frequencies the network uses digital beamforming configurations wherein the network can perform transmission/reception of reference signals/data in more than one direction at the same time. Also, the available beamforming configurations in the low frequencies</w:t>
      </w:r>
      <w:r w:rsidR="00667C35">
        <w:rPr>
          <w:lang w:val="en-US"/>
        </w:rPr>
        <w:t xml:space="preserve"> can be infinitely many based on the perceived channel</w:t>
      </w:r>
      <w:r w:rsidR="0040292E">
        <w:rPr>
          <w:lang w:val="en-US"/>
        </w:rPr>
        <w:t>.</w:t>
      </w:r>
    </w:p>
    <w:p w14:paraId="39DEA281" w14:textId="103A8E0F" w:rsidR="0040292E" w:rsidRDefault="0040292E" w:rsidP="0040292E">
      <w:pPr>
        <w:pStyle w:val="Observation"/>
        <w:numPr>
          <w:ilvl w:val="0"/>
          <w:numId w:val="20"/>
        </w:numPr>
        <w:spacing w:line="256" w:lineRule="auto"/>
        <w:ind w:left="1491" w:hanging="1491"/>
        <w:rPr>
          <w:lang w:val="en-US"/>
        </w:rPr>
      </w:pPr>
      <w:bookmarkStart w:id="2" w:name="_Toc4417080"/>
      <w:r>
        <w:rPr>
          <w:lang w:val="en-US"/>
        </w:rPr>
        <w:t>At low frequencies, typically digital beamforming techniques is used and at higher frequencies, typically analog beamforming techniques are used.</w:t>
      </w:r>
      <w:bookmarkEnd w:id="2"/>
    </w:p>
    <w:p w14:paraId="63971838" w14:textId="087924AC" w:rsidR="0040292E" w:rsidRDefault="0040292E" w:rsidP="0040292E">
      <w:pPr>
        <w:pStyle w:val="Observation"/>
        <w:numPr>
          <w:ilvl w:val="0"/>
          <w:numId w:val="20"/>
        </w:numPr>
        <w:spacing w:line="256" w:lineRule="auto"/>
        <w:ind w:left="1491" w:hanging="1491"/>
        <w:rPr>
          <w:lang w:val="en-US"/>
        </w:rPr>
      </w:pPr>
      <w:bookmarkStart w:id="3" w:name="_Toc4417081"/>
      <w:r>
        <w:rPr>
          <w:lang w:val="en-US"/>
        </w:rPr>
        <w:lastRenderedPageBreak/>
        <w:t>The available beamforming configurations in digital beamforming domain can be infinitely many.</w:t>
      </w:r>
      <w:bookmarkEnd w:id="3"/>
    </w:p>
    <w:p w14:paraId="0D2ADA0D" w14:textId="730AE791" w:rsidR="0040292E" w:rsidRDefault="0040292E" w:rsidP="00857F0A">
      <w:pPr>
        <w:rPr>
          <w:lang w:val="en-US"/>
        </w:rPr>
      </w:pPr>
      <w:r>
        <w:rPr>
          <w:lang w:val="en-US"/>
        </w:rPr>
        <w:t xml:space="preserve">Determining the direction of transmission of energy is straight forward when the analog beamforming configuration is used. However, in the digital beamforming domain, the energy is transmitted in multiple directions at the same time. </w:t>
      </w:r>
    </w:p>
    <w:p w14:paraId="37DDF792" w14:textId="7634ADBA" w:rsidR="00681082" w:rsidRDefault="00681082" w:rsidP="00681082">
      <w:pPr>
        <w:pStyle w:val="Observation"/>
        <w:numPr>
          <w:ilvl w:val="0"/>
          <w:numId w:val="20"/>
        </w:numPr>
        <w:spacing w:line="256" w:lineRule="auto"/>
        <w:ind w:left="1491" w:hanging="1491"/>
        <w:rPr>
          <w:lang w:val="en-US"/>
        </w:rPr>
      </w:pPr>
      <w:bookmarkStart w:id="4" w:name="_Toc4417082"/>
      <w:r>
        <w:rPr>
          <w:lang w:val="en-US"/>
        </w:rPr>
        <w:t>In the digital beamforming, energy can be transmitted in multiple directions at the same time.</w:t>
      </w:r>
      <w:bookmarkEnd w:id="4"/>
    </w:p>
    <w:p w14:paraId="0462A44F" w14:textId="371B2BD0" w:rsidR="00681082" w:rsidRDefault="00DE117F" w:rsidP="00857F0A">
      <w:pPr>
        <w:rPr>
          <w:lang w:val="en-US"/>
        </w:rPr>
      </w:pPr>
      <w:r>
        <w:rPr>
          <w:lang w:val="en-US"/>
        </w:rPr>
        <w:t xml:space="preserve">Additionally, RAN2 does not have the competence to understand how the beamforming configurations of PDSCH can be translated into directions and if it is feasible from RAN1/4’s point of view to have such measurements or not. Therefore, we propose to send </w:t>
      </w:r>
      <w:proofErr w:type="gramStart"/>
      <w:r>
        <w:rPr>
          <w:lang w:val="en-US"/>
        </w:rPr>
        <w:t>an</w:t>
      </w:r>
      <w:proofErr w:type="gramEnd"/>
      <w:r>
        <w:rPr>
          <w:lang w:val="en-US"/>
        </w:rPr>
        <w:t xml:space="preserve"> LS to RAN4 on this topic</w:t>
      </w:r>
      <w:r w:rsidR="009A2342">
        <w:rPr>
          <w:lang w:val="en-US"/>
        </w:rPr>
        <w:t xml:space="preserve"> to check the feasibility of such measurements.</w:t>
      </w:r>
      <w:bookmarkStart w:id="5" w:name="_GoBack"/>
      <w:bookmarkEnd w:id="5"/>
    </w:p>
    <w:p w14:paraId="34FB63F5" w14:textId="2B37A805" w:rsidR="004E1AA6" w:rsidRDefault="004E1AA6" w:rsidP="004E1AA6">
      <w:pPr>
        <w:pStyle w:val="Proposal"/>
        <w:numPr>
          <w:ilvl w:val="0"/>
          <w:numId w:val="19"/>
        </w:numPr>
        <w:tabs>
          <w:tab w:val="clear" w:pos="1304"/>
        </w:tabs>
        <w:spacing w:line="256" w:lineRule="auto"/>
        <w:ind w:left="1701" w:hanging="1701"/>
        <w:rPr>
          <w:lang w:val="en-US"/>
        </w:rPr>
      </w:pPr>
      <w:bookmarkStart w:id="6" w:name="_Toc1046624"/>
      <w:bookmarkStart w:id="7" w:name="_Toc1059611"/>
      <w:bookmarkStart w:id="8" w:name="_Toc1061181"/>
      <w:bookmarkStart w:id="9" w:name="_Toc1062132"/>
      <w:bookmarkStart w:id="10" w:name="_Toc3216785"/>
      <w:bookmarkStart w:id="11" w:name="_Toc3267461"/>
      <w:bookmarkStart w:id="12" w:name="_Toc4417083"/>
      <w:bookmarkStart w:id="13" w:name="_Toc4607281"/>
      <w:r>
        <w:rPr>
          <w:rFonts w:cs="Arial"/>
          <w:lang w:val="en-US"/>
        </w:rPr>
        <w:t xml:space="preserve">RAN2 </w:t>
      </w:r>
      <w:r w:rsidR="00916E93">
        <w:rPr>
          <w:rFonts w:cs="Arial"/>
          <w:lang w:val="en-US"/>
        </w:rPr>
        <w:t xml:space="preserve">is requested </w:t>
      </w:r>
      <w:r>
        <w:rPr>
          <w:rFonts w:cs="Arial"/>
          <w:lang w:val="en-US"/>
        </w:rPr>
        <w:t xml:space="preserve">to </w:t>
      </w:r>
      <w:r w:rsidR="009A2342">
        <w:rPr>
          <w:rFonts w:cs="Arial"/>
          <w:lang w:val="en-US"/>
        </w:rPr>
        <w:t>send a LS to RAN4 and RAN1 on the feasibility of including performance measurements on transmit power associated to PDSCHs and different beam directions</w:t>
      </w:r>
      <w:r w:rsidRPr="0010662B">
        <w:rPr>
          <w:lang w:val="en-US"/>
        </w:rPr>
        <w:t>.</w:t>
      </w:r>
      <w:bookmarkEnd w:id="6"/>
      <w:bookmarkEnd w:id="7"/>
      <w:bookmarkEnd w:id="8"/>
      <w:bookmarkEnd w:id="9"/>
      <w:bookmarkEnd w:id="10"/>
      <w:bookmarkEnd w:id="11"/>
      <w:bookmarkEnd w:id="12"/>
      <w:bookmarkEnd w:id="13"/>
    </w:p>
    <w:p w14:paraId="6C5ACFF6" w14:textId="7B927215" w:rsidR="009A2342" w:rsidRDefault="009A2342" w:rsidP="004E1AA6">
      <w:pPr>
        <w:pStyle w:val="Proposal"/>
        <w:numPr>
          <w:ilvl w:val="0"/>
          <w:numId w:val="19"/>
        </w:numPr>
        <w:tabs>
          <w:tab w:val="clear" w:pos="1304"/>
        </w:tabs>
        <w:spacing w:line="256" w:lineRule="auto"/>
        <w:ind w:left="1701" w:hanging="1701"/>
        <w:rPr>
          <w:lang w:val="en-US"/>
        </w:rPr>
      </w:pPr>
      <w:bookmarkStart w:id="14" w:name="_Toc4417084"/>
      <w:bookmarkStart w:id="15" w:name="_Toc4607282"/>
      <w:r>
        <w:rPr>
          <w:rFonts w:cs="Arial"/>
          <w:lang w:val="en-US"/>
        </w:rPr>
        <w:t>RAN2 is requested to approve the draft LS provided in</w:t>
      </w:r>
      <w:r w:rsidR="009D0467">
        <w:rPr>
          <w:rFonts w:cs="Arial"/>
          <w:lang w:val="en-US"/>
        </w:rPr>
        <w:t xml:space="preserve"> </w:t>
      </w:r>
      <w:r w:rsidR="009D0467">
        <w:rPr>
          <w:rFonts w:cs="Arial"/>
          <w:lang w:val="en-US"/>
        </w:rPr>
        <w:fldChar w:fldCharType="begin"/>
      </w:r>
      <w:r w:rsidR="009D0467">
        <w:rPr>
          <w:rFonts w:cs="Arial"/>
          <w:lang w:val="en-US"/>
        </w:rPr>
        <w:instrText xml:space="preserve"> REF _Ref536694063 \r \h </w:instrText>
      </w:r>
      <w:r w:rsidR="009D0467">
        <w:rPr>
          <w:rFonts w:cs="Arial"/>
          <w:lang w:val="en-US"/>
        </w:rPr>
      </w:r>
      <w:r w:rsidR="009D0467">
        <w:rPr>
          <w:rFonts w:cs="Arial"/>
          <w:lang w:val="en-US"/>
        </w:rPr>
        <w:fldChar w:fldCharType="separate"/>
      </w:r>
      <w:r w:rsidR="009D0467">
        <w:rPr>
          <w:rFonts w:cs="Arial"/>
          <w:lang w:val="en-US"/>
        </w:rPr>
        <w:t>[1]</w:t>
      </w:r>
      <w:r w:rsidR="009D0467">
        <w:rPr>
          <w:rFonts w:cs="Arial"/>
          <w:lang w:val="en-US"/>
        </w:rPr>
        <w:fldChar w:fldCharType="end"/>
      </w:r>
      <w:r>
        <w:rPr>
          <w:lang w:val="en-US"/>
        </w:rPr>
        <w:t>.</w:t>
      </w:r>
      <w:bookmarkEnd w:id="14"/>
      <w:bookmarkEnd w:id="15"/>
    </w:p>
    <w:p w14:paraId="15FF5222" w14:textId="77777777" w:rsidR="00C01F33" w:rsidRPr="00CE0424" w:rsidRDefault="00C01F33" w:rsidP="00CE0424">
      <w:pPr>
        <w:pStyle w:val="Heading1"/>
      </w:pPr>
      <w:r w:rsidRPr="00CE0424">
        <w:t>Conclusion</w:t>
      </w:r>
    </w:p>
    <w:p w14:paraId="069BD367" w14:textId="77777777" w:rsidR="009A2342" w:rsidRPr="007E7CAF" w:rsidRDefault="008E065E" w:rsidP="008E065E">
      <w:pPr>
        <w:pStyle w:val="BodyText"/>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2309B870" w14:textId="77777777" w:rsidR="009A2342" w:rsidRPr="009A2342" w:rsidRDefault="009A2342">
      <w:pPr>
        <w:pStyle w:val="TOC1"/>
        <w:rPr>
          <w:rFonts w:asciiTheme="minorHAnsi" w:eastAsiaTheme="minorEastAsia" w:hAnsiTheme="minorHAnsi" w:cstheme="minorBidi"/>
          <w:b w:val="0"/>
          <w:sz w:val="22"/>
          <w:lang w:eastAsia="sv-SE"/>
        </w:rPr>
      </w:pPr>
      <w:r w:rsidRPr="00BB325E">
        <w:t>Observation 1</w:t>
      </w:r>
      <w:r w:rsidRPr="009A2342">
        <w:rPr>
          <w:rFonts w:asciiTheme="minorHAnsi" w:eastAsiaTheme="minorEastAsia" w:hAnsiTheme="minorHAnsi" w:cstheme="minorBidi"/>
          <w:b w:val="0"/>
          <w:sz w:val="22"/>
          <w:lang w:eastAsia="sv-SE"/>
        </w:rPr>
        <w:tab/>
      </w:r>
      <w:r w:rsidRPr="00BB325E">
        <w:t>At low frequencies, typically digital beamforming techniques is used and at higher frequencies, typically analog beamforming techniques are used.</w:t>
      </w:r>
    </w:p>
    <w:p w14:paraId="46F565FF" w14:textId="77777777" w:rsidR="009A2342" w:rsidRPr="009A2342" w:rsidRDefault="009A2342">
      <w:pPr>
        <w:pStyle w:val="TOC1"/>
        <w:rPr>
          <w:rFonts w:asciiTheme="minorHAnsi" w:eastAsiaTheme="minorEastAsia" w:hAnsiTheme="minorHAnsi" w:cstheme="minorBidi"/>
          <w:b w:val="0"/>
          <w:sz w:val="22"/>
          <w:lang w:eastAsia="sv-SE"/>
        </w:rPr>
      </w:pPr>
      <w:r w:rsidRPr="00BB325E">
        <w:t>Observation 2</w:t>
      </w:r>
      <w:r w:rsidRPr="009A2342">
        <w:rPr>
          <w:rFonts w:asciiTheme="minorHAnsi" w:eastAsiaTheme="minorEastAsia" w:hAnsiTheme="minorHAnsi" w:cstheme="minorBidi"/>
          <w:b w:val="0"/>
          <w:sz w:val="22"/>
          <w:lang w:eastAsia="sv-SE"/>
        </w:rPr>
        <w:tab/>
      </w:r>
      <w:r w:rsidRPr="00BB325E">
        <w:t>The available beamforming configurations in digital beamforming domain can be infinitely many.</w:t>
      </w:r>
    </w:p>
    <w:p w14:paraId="4F56C226" w14:textId="77777777" w:rsidR="009A2342" w:rsidRPr="009A2342" w:rsidRDefault="009A2342">
      <w:pPr>
        <w:pStyle w:val="TOC1"/>
        <w:rPr>
          <w:rFonts w:asciiTheme="minorHAnsi" w:eastAsiaTheme="minorEastAsia" w:hAnsiTheme="minorHAnsi" w:cstheme="minorBidi"/>
          <w:b w:val="0"/>
          <w:sz w:val="22"/>
          <w:lang w:eastAsia="sv-SE"/>
        </w:rPr>
      </w:pPr>
      <w:r w:rsidRPr="00BB325E">
        <w:t>Observation 3</w:t>
      </w:r>
      <w:r w:rsidRPr="009A2342">
        <w:rPr>
          <w:rFonts w:asciiTheme="minorHAnsi" w:eastAsiaTheme="minorEastAsia" w:hAnsiTheme="minorHAnsi" w:cstheme="minorBidi"/>
          <w:b w:val="0"/>
          <w:sz w:val="22"/>
          <w:lang w:eastAsia="sv-SE"/>
        </w:rPr>
        <w:tab/>
      </w:r>
      <w:r w:rsidRPr="00BB325E">
        <w:t>In the digital beamforming, energy can be transmitted in multiple directions at the same time.</w:t>
      </w:r>
    </w:p>
    <w:p w14:paraId="5B22A5B8" w14:textId="77777777" w:rsidR="008E065E" w:rsidRPr="0010662B" w:rsidRDefault="008E065E" w:rsidP="008E065E">
      <w:pPr>
        <w:pStyle w:val="BodyText"/>
        <w:rPr>
          <w:b/>
          <w:bCs/>
          <w:lang w:val="en-US"/>
        </w:rPr>
      </w:pPr>
      <w:r>
        <w:rPr>
          <w:b/>
          <w:bCs/>
        </w:rPr>
        <w:fldChar w:fldCharType="end"/>
      </w:r>
    </w:p>
    <w:p w14:paraId="78358F85" w14:textId="77777777" w:rsidR="009D0467" w:rsidRDefault="008E065E" w:rsidP="008E065E">
      <w:pPr>
        <w:pStyle w:val="BodyText"/>
        <w:rPr>
          <w:noProof/>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r>
        <w:rPr>
          <w:b/>
          <w:bCs/>
        </w:rPr>
        <w:fldChar w:fldCharType="begin"/>
      </w:r>
      <w:r w:rsidRPr="0010662B">
        <w:rPr>
          <w:b/>
          <w:bCs/>
          <w:lang w:val="en-US"/>
        </w:rPr>
        <w:instrText xml:space="preserve"> TOC \f \n \p " " \t "Proposal;1" </w:instrText>
      </w:r>
      <w:r>
        <w:rPr>
          <w:b/>
          <w:bCs/>
        </w:rPr>
        <w:fldChar w:fldCharType="separate"/>
      </w:r>
    </w:p>
    <w:p w14:paraId="39CFD95A" w14:textId="77777777" w:rsidR="009D0467" w:rsidRPr="009D0467" w:rsidRDefault="009D0467">
      <w:pPr>
        <w:pStyle w:val="TOC1"/>
        <w:rPr>
          <w:rFonts w:asciiTheme="minorHAnsi" w:eastAsiaTheme="minorEastAsia" w:hAnsiTheme="minorHAnsi" w:cstheme="minorBidi"/>
          <w:b w:val="0"/>
          <w:sz w:val="22"/>
          <w:lang w:eastAsia="sv-SE"/>
        </w:rPr>
      </w:pPr>
      <w:r w:rsidRPr="00283EB8">
        <w:t>Proposal 1</w:t>
      </w:r>
      <w:r w:rsidRPr="009D0467">
        <w:rPr>
          <w:rFonts w:asciiTheme="minorHAnsi" w:eastAsiaTheme="minorEastAsia" w:hAnsiTheme="minorHAnsi" w:cstheme="minorBidi"/>
          <w:b w:val="0"/>
          <w:sz w:val="22"/>
          <w:lang w:eastAsia="sv-SE"/>
        </w:rPr>
        <w:tab/>
      </w:r>
      <w:r w:rsidRPr="00283EB8">
        <w:rPr>
          <w:rFonts w:cs="Arial"/>
        </w:rPr>
        <w:t>RAN2 is requested to send a LS to RAN4 and RAN1 on the feasibility of including performance measurements on transmit power associated to PDSCHs and different beam directions</w:t>
      </w:r>
      <w:r w:rsidRPr="00283EB8">
        <w:t>.</w:t>
      </w:r>
    </w:p>
    <w:p w14:paraId="75D22B3B" w14:textId="77777777" w:rsidR="009D0467" w:rsidRPr="009D0467" w:rsidRDefault="009D0467">
      <w:pPr>
        <w:pStyle w:val="TOC1"/>
        <w:rPr>
          <w:rFonts w:asciiTheme="minorHAnsi" w:eastAsiaTheme="minorEastAsia" w:hAnsiTheme="minorHAnsi" w:cstheme="minorBidi"/>
          <w:b w:val="0"/>
          <w:sz w:val="22"/>
          <w:lang w:eastAsia="sv-SE"/>
        </w:rPr>
      </w:pPr>
      <w:r w:rsidRPr="00283EB8">
        <w:t>Proposal 2</w:t>
      </w:r>
      <w:r w:rsidRPr="009D0467">
        <w:rPr>
          <w:rFonts w:asciiTheme="minorHAnsi" w:eastAsiaTheme="minorEastAsia" w:hAnsiTheme="minorHAnsi" w:cstheme="minorBidi"/>
          <w:b w:val="0"/>
          <w:sz w:val="22"/>
          <w:lang w:eastAsia="sv-SE"/>
        </w:rPr>
        <w:tab/>
      </w:r>
      <w:r w:rsidRPr="00283EB8">
        <w:rPr>
          <w:rFonts w:cs="Arial"/>
        </w:rPr>
        <w:t>RAN2 is requested to approve the draft LS provided in [1]</w:t>
      </w:r>
      <w:r w:rsidRPr="00283EB8">
        <w:t>.</w:t>
      </w:r>
    </w:p>
    <w:p w14:paraId="06ACB49B" w14:textId="77777777"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16" w:name="_In-sequence_SDU_delivery"/>
      <w:bookmarkEnd w:id="16"/>
      <w:r w:rsidRPr="00CE0424">
        <w:t>References</w:t>
      </w:r>
    </w:p>
    <w:p w14:paraId="26912E9D" w14:textId="5DEDEF39" w:rsidR="00C7654F" w:rsidRPr="0010662B" w:rsidRDefault="009A2342" w:rsidP="00311702">
      <w:pPr>
        <w:pStyle w:val="Reference"/>
        <w:rPr>
          <w:lang w:val="en-US"/>
        </w:rPr>
      </w:pPr>
      <w:bookmarkStart w:id="17" w:name="_Ref536694063"/>
      <w:bookmarkStart w:id="18" w:name="_Ref1041028"/>
      <w:bookmarkStart w:id="19" w:name="_Ref174151459"/>
      <w:bookmarkStart w:id="20" w:name="_Ref189809556"/>
      <w:r>
        <w:rPr>
          <w:lang w:val="en-US"/>
        </w:rPr>
        <w:t>R2-19</w:t>
      </w:r>
      <w:r w:rsidR="002401A6">
        <w:rPr>
          <w:lang w:val="en-US"/>
        </w:rPr>
        <w:t>03475</w:t>
      </w:r>
      <w:r>
        <w:rPr>
          <w:lang w:val="en-US"/>
        </w:rPr>
        <w:t xml:space="preserve">, Draft LS </w:t>
      </w:r>
      <w:r w:rsidR="007E7CAF" w:rsidRPr="007E7CAF">
        <w:rPr>
          <w:lang w:val="en-US"/>
        </w:rPr>
        <w:t xml:space="preserve">to RAN4 </w:t>
      </w:r>
      <w:r>
        <w:rPr>
          <w:lang w:val="en-US"/>
        </w:rPr>
        <w:t xml:space="preserve">on </w:t>
      </w:r>
      <w:r w:rsidR="0008081D">
        <w:rPr>
          <w:lang w:val="en-US"/>
        </w:rPr>
        <w:t>transmit power measurement feasibility, Ericsson, RAN2#105bis meeting, Xi’an China, April 2019</w:t>
      </w:r>
      <w:r w:rsidR="00C9010B" w:rsidRPr="0010662B">
        <w:rPr>
          <w:lang w:val="en-US"/>
        </w:rPr>
        <w:t>.</w:t>
      </w:r>
      <w:bookmarkEnd w:id="17"/>
      <w:bookmarkEnd w:id="18"/>
      <w:bookmarkEnd w:id="19"/>
      <w:bookmarkEnd w:id="20"/>
    </w:p>
    <w:sectPr w:rsidR="00C7654F"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A91A7" w14:textId="77777777" w:rsidR="00B1182D" w:rsidRDefault="00B1182D">
      <w:r>
        <w:separator/>
      </w:r>
    </w:p>
  </w:endnote>
  <w:endnote w:type="continuationSeparator" w:id="0">
    <w:p w14:paraId="33D42BAA" w14:textId="77777777" w:rsidR="00B1182D" w:rsidRDefault="00B11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445C6" w14:textId="77777777" w:rsidR="00B1182D" w:rsidRDefault="00B1182D">
      <w:r>
        <w:separator/>
      </w:r>
    </w:p>
  </w:footnote>
  <w:footnote w:type="continuationSeparator" w:id="0">
    <w:p w14:paraId="497F01C8" w14:textId="77777777" w:rsidR="00B1182D" w:rsidRDefault="00B11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3"/>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32"/>
  </w:num>
  <w:num w:numId="16">
    <w:abstractNumId w:val="22"/>
  </w:num>
  <w:num w:numId="17">
    <w:abstractNumId w:val="20"/>
  </w:num>
  <w:num w:numId="18">
    <w:abstractNumId w:val="6"/>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0"/>
  </w:num>
  <w:num w:numId="24">
    <w:abstractNumId w:val="19"/>
  </w:num>
  <w:num w:numId="25">
    <w:abstractNumId w:val="33"/>
  </w:num>
  <w:num w:numId="26">
    <w:abstractNumId w:val="9"/>
  </w:num>
  <w:num w:numId="27">
    <w:abstractNumId w:val="18"/>
  </w:num>
  <w:num w:numId="28">
    <w:abstractNumId w:val="31"/>
  </w:num>
  <w:num w:numId="29">
    <w:abstractNumId w:val="28"/>
  </w:num>
  <w:num w:numId="30">
    <w:abstractNumId w:val="24"/>
  </w:num>
  <w:num w:numId="31">
    <w:abstractNumId w:val="29"/>
  </w:num>
  <w:num w:numId="32">
    <w:abstractNumId w:val="27"/>
  </w:num>
  <w:num w:numId="33">
    <w:abstractNumId w:val="8"/>
  </w:num>
  <w:num w:numId="34">
    <w:abstractNumId w:val="5"/>
  </w:num>
  <w:num w:numId="35">
    <w:abstractNumId w:val="10"/>
  </w:num>
  <w:num w:numId="3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081D"/>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B74DC"/>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01A6"/>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2095"/>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60FF"/>
    <w:rsid w:val="003F6BBE"/>
    <w:rsid w:val="003F7146"/>
    <w:rsid w:val="004000E8"/>
    <w:rsid w:val="0040292E"/>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2553"/>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4F14"/>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C3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082"/>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060C"/>
    <w:rsid w:val="00764D79"/>
    <w:rsid w:val="00765281"/>
    <w:rsid w:val="00766BAD"/>
    <w:rsid w:val="00767FBE"/>
    <w:rsid w:val="00770093"/>
    <w:rsid w:val="00771E8F"/>
    <w:rsid w:val="007730BD"/>
    <w:rsid w:val="0077347F"/>
    <w:rsid w:val="007739FB"/>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7E7CAF"/>
    <w:rsid w:val="008019D4"/>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2342"/>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0467"/>
    <w:rsid w:val="009D35E9"/>
    <w:rsid w:val="009D4315"/>
    <w:rsid w:val="009D4FF0"/>
    <w:rsid w:val="009D703C"/>
    <w:rsid w:val="009D718F"/>
    <w:rsid w:val="009E068F"/>
    <w:rsid w:val="009E0C66"/>
    <w:rsid w:val="009E1018"/>
    <w:rsid w:val="009E14E0"/>
    <w:rsid w:val="009E1A1A"/>
    <w:rsid w:val="009E2A5E"/>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40B8D"/>
    <w:rsid w:val="00A41E2B"/>
    <w:rsid w:val="00A42316"/>
    <w:rsid w:val="00A42EFB"/>
    <w:rsid w:val="00A435BA"/>
    <w:rsid w:val="00A44950"/>
    <w:rsid w:val="00A45AD0"/>
    <w:rsid w:val="00A45B74"/>
    <w:rsid w:val="00A50B90"/>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BBC"/>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182D"/>
    <w:rsid w:val="00B12BF3"/>
    <w:rsid w:val="00B1351F"/>
    <w:rsid w:val="00B13E02"/>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C30"/>
    <w:rsid w:val="00B90F73"/>
    <w:rsid w:val="00B93B59"/>
    <w:rsid w:val="00B9406A"/>
    <w:rsid w:val="00B956B1"/>
    <w:rsid w:val="00B9700A"/>
    <w:rsid w:val="00BA0844"/>
    <w:rsid w:val="00BA2280"/>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DF0"/>
    <w:rsid w:val="00DC2D36"/>
    <w:rsid w:val="00DC53EF"/>
    <w:rsid w:val="00DC6F0F"/>
    <w:rsid w:val="00DC7376"/>
    <w:rsid w:val="00DD50AD"/>
    <w:rsid w:val="00DD6610"/>
    <w:rsid w:val="00DD7927"/>
    <w:rsid w:val="00DE012E"/>
    <w:rsid w:val="00DE09F6"/>
    <w:rsid w:val="00DE0C0F"/>
    <w:rsid w:val="00DE117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A41"/>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4D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B74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4D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5NUHHDQN7SK2-1476151046-44170</_dlc_DocId>
    <_dlc_DocIdUrl xmlns="f166a696-7b5b-4ccd-9f0c-ffde0cceec81">
      <Url>https://ericsson.sharepoint.com/sites/star/_layouts/15/DocIdRedir.aspx?ID=5NUHHDQN7SK2-1476151046-44170</Url>
      <Description>5NUHHDQN7SK2-1476151046-44170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5.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6.xml><?xml version="1.0" encoding="utf-8"?>
<ds:datastoreItem xmlns:ds="http://schemas.openxmlformats.org/officeDocument/2006/customXml" ds:itemID="{D848C2A6-3B6B-4444-B8B9-4783AC83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1a484bb1-7ace-4b10-bf67-909ec46eeb22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ies>
</file>