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732ADDAF"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Pr="00EE6198">
        <w:rPr>
          <w:sz w:val="24"/>
          <w:lang w:val="en-GB" w:eastAsia="zh-CN"/>
        </w:rPr>
        <w:tab/>
      </w:r>
      <w:r w:rsidR="002410A5" w:rsidRPr="002410A5">
        <w:rPr>
          <w:sz w:val="24"/>
          <w:lang w:val="en-GB" w:eastAsia="zh-CN"/>
        </w:rPr>
        <w:t>R2-190088</w:t>
      </w:r>
      <w:r w:rsidR="002410A5">
        <w:rPr>
          <w:sz w:val="24"/>
          <w:lang w:val="en-GB" w:eastAsia="zh-CN"/>
        </w:rPr>
        <w:t>4</w:t>
      </w:r>
      <w:r w:rsidR="002410A5" w:rsidRPr="002410A5" w:rsidDel="002410A5">
        <w:rPr>
          <w:sz w:val="24"/>
          <w:lang w:val="en-GB" w:eastAsia="zh-CN"/>
        </w:rPr>
        <w:t xml:space="preserve"> </w:t>
      </w:r>
    </w:p>
    <w:p w14:paraId="4C209772" w14:textId="5E9F9C67" w:rsidR="00A507B8" w:rsidRPr="00550983" w:rsidRDefault="00EA68B2" w:rsidP="00A507B8">
      <w:pPr>
        <w:pStyle w:val="Header"/>
        <w:tabs>
          <w:tab w:val="right" w:pos="9639"/>
        </w:tabs>
        <w:rPr>
          <w:sz w:val="24"/>
          <w:lang w:val="en-GB" w:eastAsia="zh-CN"/>
        </w:rPr>
      </w:pPr>
      <w:r>
        <w:rPr>
          <w:sz w:val="24"/>
          <w:lang w:eastAsia="ko-KR"/>
        </w:rPr>
        <w:t>Athens</w:t>
      </w:r>
      <w:r w:rsidR="0026345A">
        <w:rPr>
          <w:sz w:val="24"/>
          <w:lang w:eastAsia="ko-KR"/>
        </w:rPr>
        <w:t xml:space="preserve">, </w:t>
      </w:r>
      <w:r>
        <w:rPr>
          <w:sz w:val="24"/>
          <w:lang w:eastAsia="ko-KR"/>
        </w:rPr>
        <w:t>Greece, 25 February</w:t>
      </w:r>
      <w:r w:rsidR="0026345A">
        <w:rPr>
          <w:sz w:val="24"/>
          <w:lang w:eastAsia="ko-KR"/>
        </w:rPr>
        <w:t>-1</w:t>
      </w:r>
      <w:r>
        <w:rPr>
          <w:sz w:val="24"/>
          <w:lang w:eastAsia="ko-KR"/>
        </w:rPr>
        <w:t xml:space="preserve"> March 2019</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315CF0AF"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EA68B2">
        <w:rPr>
          <w:rFonts w:eastAsia="SimSun" w:cs="Arial"/>
          <w:b/>
          <w:bCs/>
          <w:sz w:val="24"/>
          <w:lang w:val="en-US"/>
        </w:rPr>
        <w:t>11.4.2.2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C3A3211"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3013F" w:rsidRPr="00B3013F">
        <w:rPr>
          <w:rFonts w:ascii="Arial" w:hAnsi="Arial" w:cs="Arial"/>
          <w:b/>
          <w:bCs/>
          <w:sz w:val="24"/>
        </w:rPr>
        <w:t xml:space="preserve">Sidelink resource </w:t>
      </w:r>
      <w:r w:rsidR="00EA68B2">
        <w:rPr>
          <w:rFonts w:ascii="Arial" w:hAnsi="Arial" w:cs="Arial"/>
          <w:b/>
          <w:bCs/>
          <w:sz w:val="24"/>
        </w:rPr>
        <w:t>configuration</w:t>
      </w:r>
      <w:r w:rsidR="00B3013F" w:rsidRPr="00B3013F">
        <w:rPr>
          <w:rFonts w:ascii="Arial" w:hAnsi="Arial" w:cs="Arial"/>
          <w:b/>
          <w:bCs/>
          <w:sz w:val="24"/>
        </w:rPr>
        <w:t xml:space="preserve"> </w:t>
      </w:r>
      <w:r w:rsidR="006821CE">
        <w:rPr>
          <w:rFonts w:ascii="Arial" w:hAnsi="Arial" w:cs="Arial"/>
          <w:b/>
          <w:bCs/>
          <w:sz w:val="24"/>
        </w:rPr>
        <w:t>considerations for NR V2X</w:t>
      </w:r>
      <w:r w:rsidR="00B3013F" w:rsidRPr="00B3013F">
        <w:rPr>
          <w:rFonts w:ascii="Arial" w:hAnsi="Arial" w:cs="Arial"/>
          <w:b/>
          <w:bCs/>
          <w:sz w:val="24"/>
        </w:rPr>
        <w:t xml:space="preserve"> </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0197AB38" w:rsidR="007356BA" w:rsidRPr="00C11F0A" w:rsidRDefault="00EA68B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Ever since the start of the NR V2X SI, there has been substantial discussion on support of </w:t>
      </w:r>
      <w:r w:rsidR="00B3013F">
        <w:rPr>
          <w:rFonts w:ascii="Times New Roman" w:hAnsi="Times New Roman"/>
          <w:sz w:val="20"/>
          <w:szCs w:val="20"/>
          <w:lang w:eastAsia="zh-CN"/>
        </w:rPr>
        <w:t>unicast, groupcast and broadcast transmission</w:t>
      </w:r>
      <w:r>
        <w:rPr>
          <w:rFonts w:ascii="Times New Roman" w:hAnsi="Times New Roman"/>
          <w:sz w:val="20"/>
          <w:szCs w:val="20"/>
          <w:lang w:eastAsia="zh-CN"/>
        </w:rPr>
        <w:t xml:space="preserve">. After RAN2#104 meeting, an email discussion as initiated </w:t>
      </w:r>
      <w:r w:rsidR="00B3013F">
        <w:rPr>
          <w:rFonts w:ascii="Times New Roman" w:hAnsi="Times New Roman"/>
          <w:sz w:val="20"/>
          <w:szCs w:val="20"/>
          <w:lang w:eastAsia="zh-CN"/>
        </w:rPr>
        <w:t>to discuss</w:t>
      </w:r>
      <w:r>
        <w:rPr>
          <w:rFonts w:ascii="Times New Roman" w:hAnsi="Times New Roman"/>
          <w:sz w:val="20"/>
          <w:szCs w:val="20"/>
          <w:lang w:eastAsia="zh-CN"/>
        </w:rPr>
        <w:t>,</w:t>
      </w:r>
      <w:r w:rsidR="00B3013F">
        <w:rPr>
          <w:rFonts w:ascii="Times New Roman" w:hAnsi="Times New Roman"/>
          <w:sz w:val="20"/>
          <w:szCs w:val="20"/>
          <w:lang w:eastAsia="zh-CN"/>
        </w:rPr>
        <w:t xml:space="preserve"> </w:t>
      </w:r>
      <w:r>
        <w:rPr>
          <w:rFonts w:ascii="Times New Roman" w:hAnsi="Times New Roman"/>
          <w:sz w:val="20"/>
          <w:szCs w:val="20"/>
          <w:lang w:eastAsia="zh-CN"/>
        </w:rPr>
        <w:t xml:space="preserve">among other things, </w:t>
      </w:r>
      <w:r w:rsidR="00B3013F">
        <w:rPr>
          <w:rFonts w:ascii="Times New Roman" w:hAnsi="Times New Roman"/>
          <w:sz w:val="20"/>
          <w:szCs w:val="20"/>
          <w:lang w:eastAsia="zh-CN"/>
        </w:rPr>
        <w:t xml:space="preserve">the resource </w:t>
      </w:r>
      <w:r>
        <w:rPr>
          <w:rFonts w:ascii="Times New Roman" w:hAnsi="Times New Roman"/>
          <w:sz w:val="20"/>
          <w:szCs w:val="20"/>
          <w:lang w:eastAsia="zh-CN"/>
        </w:rPr>
        <w:t xml:space="preserve">pool </w:t>
      </w:r>
      <w:r w:rsidR="00B3013F">
        <w:rPr>
          <w:rFonts w:ascii="Times New Roman" w:hAnsi="Times New Roman"/>
          <w:sz w:val="20"/>
          <w:szCs w:val="20"/>
          <w:lang w:eastAsia="zh-CN"/>
        </w:rPr>
        <w:t xml:space="preserve">configuration </w:t>
      </w:r>
      <w:r>
        <w:rPr>
          <w:rFonts w:ascii="Times New Roman" w:hAnsi="Times New Roman"/>
          <w:sz w:val="20"/>
          <w:szCs w:val="20"/>
          <w:lang w:eastAsia="zh-CN"/>
        </w:rPr>
        <w:t>options considering different cast types/modes of operation to be supported in NR V2X</w:t>
      </w:r>
      <w:r w:rsidR="00B3013F">
        <w:rPr>
          <w:rFonts w:ascii="Times New Roman" w:hAnsi="Times New Roman"/>
          <w:sz w:val="20"/>
          <w:szCs w:val="20"/>
          <w:lang w:eastAsia="zh-CN"/>
        </w:rPr>
        <w:t xml:space="preserve">. </w:t>
      </w:r>
      <w:r>
        <w:rPr>
          <w:rFonts w:ascii="Times New Roman" w:hAnsi="Times New Roman"/>
          <w:sz w:val="20"/>
          <w:szCs w:val="20"/>
          <w:lang w:eastAsia="zh-CN"/>
        </w:rPr>
        <w:t xml:space="preserve">From the conclusion </w:t>
      </w:r>
      <w:sdt>
        <w:sdtPr>
          <w:rPr>
            <w:rFonts w:ascii="Times New Roman" w:hAnsi="Times New Roman"/>
            <w:sz w:val="20"/>
            <w:szCs w:val="20"/>
            <w:lang w:eastAsia="zh-CN"/>
          </w:rPr>
          <w:id w:val="-545145824"/>
          <w:citation/>
        </w:sdtPr>
        <w:sdtEndPr/>
        <w:sdtContent>
          <w:r w:rsidR="000A472B">
            <w:rPr>
              <w:rFonts w:ascii="Times New Roman" w:hAnsi="Times New Roman"/>
              <w:sz w:val="20"/>
              <w:szCs w:val="20"/>
              <w:lang w:eastAsia="zh-CN"/>
            </w:rPr>
            <w:fldChar w:fldCharType="begin"/>
          </w:r>
          <w:r w:rsidR="000A472B">
            <w:rPr>
              <w:rFonts w:ascii="Times New Roman" w:hAnsi="Times New Roman"/>
              <w:sz w:val="20"/>
              <w:szCs w:val="20"/>
              <w:lang w:eastAsia="zh-CN"/>
            </w:rPr>
            <w:instrText xml:space="preserve"> CITATION emailno59 \l 1033 </w:instrText>
          </w:r>
          <w:r w:rsidR="000A472B">
            <w:rPr>
              <w:rFonts w:ascii="Times New Roman" w:hAnsi="Times New Roman"/>
              <w:sz w:val="20"/>
              <w:szCs w:val="20"/>
              <w:lang w:eastAsia="zh-CN"/>
            </w:rPr>
            <w:fldChar w:fldCharType="separate"/>
          </w:r>
          <w:r w:rsidR="00EB2A11" w:rsidRPr="00EB2A11">
            <w:rPr>
              <w:rFonts w:ascii="Times New Roman" w:hAnsi="Times New Roman"/>
              <w:noProof/>
              <w:sz w:val="20"/>
              <w:szCs w:val="20"/>
              <w:lang w:eastAsia="zh-CN"/>
            </w:rPr>
            <w:t>[1]</w:t>
          </w:r>
          <w:r w:rsidR="000A472B">
            <w:rPr>
              <w:rFonts w:ascii="Times New Roman" w:hAnsi="Times New Roman"/>
              <w:sz w:val="20"/>
              <w:szCs w:val="20"/>
              <w:lang w:eastAsia="zh-CN"/>
            </w:rPr>
            <w:fldChar w:fldCharType="end"/>
          </w:r>
        </w:sdtContent>
      </w:sdt>
      <w:r>
        <w:rPr>
          <w:rFonts w:ascii="Times New Roman" w:hAnsi="Times New Roman"/>
          <w:sz w:val="20"/>
          <w:szCs w:val="20"/>
          <w:lang w:eastAsia="zh-CN"/>
        </w:rPr>
        <w:t>, it seems like there was no consensus on some key issues and the rapporteur proposed to delay further discussion to the WI phase. Therefore, i</w:t>
      </w:r>
      <w:r w:rsidR="00B3013F">
        <w:rPr>
          <w:rFonts w:ascii="Times New Roman" w:hAnsi="Times New Roman"/>
          <w:sz w:val="20"/>
          <w:szCs w:val="20"/>
          <w:lang w:eastAsia="zh-CN"/>
        </w:rPr>
        <w:t>n this paper, w</w:t>
      </w:r>
      <w:r w:rsidR="00851FB1">
        <w:rPr>
          <w:rFonts w:ascii="Times New Roman" w:hAnsi="Times New Roman"/>
          <w:sz w:val="20"/>
          <w:szCs w:val="20"/>
          <w:lang w:eastAsia="ja-JP"/>
        </w:rPr>
        <w:t xml:space="preserve">e </w:t>
      </w:r>
      <w:r w:rsidR="00B3013F">
        <w:rPr>
          <w:rFonts w:ascii="Times New Roman" w:hAnsi="Times New Roman"/>
          <w:sz w:val="20"/>
          <w:szCs w:val="20"/>
          <w:lang w:eastAsia="ja-JP"/>
        </w:rPr>
        <w:t xml:space="preserve">discuss </w:t>
      </w:r>
      <w:r>
        <w:rPr>
          <w:rFonts w:ascii="Times New Roman" w:hAnsi="Times New Roman"/>
          <w:sz w:val="20"/>
          <w:szCs w:val="20"/>
          <w:lang w:eastAsia="ja-JP"/>
        </w:rPr>
        <w:t>some of those aspects in an attempt to clarify and make some progress</w:t>
      </w:r>
      <w:r w:rsidR="00BD67D0">
        <w:rPr>
          <w:rFonts w:ascii="Times New Roman" w:hAnsi="Times New Roman"/>
          <w:sz w:val="20"/>
          <w:szCs w:val="20"/>
          <w:lang w:eastAsia="ja-JP"/>
        </w:rPr>
        <w:t>.</w:t>
      </w:r>
    </w:p>
    <w:p w14:paraId="63BA8D55" w14:textId="7D06DBFC" w:rsidR="00100A13" w:rsidRPr="00EA68B2" w:rsidRDefault="000760CC" w:rsidP="00934A52">
      <w:pPr>
        <w:pStyle w:val="Tdoc"/>
      </w:pPr>
      <w:r>
        <w:t>Discussion</w:t>
      </w:r>
    </w:p>
    <w:p w14:paraId="1185CF0F" w14:textId="1FBAF866" w:rsidR="00513956" w:rsidRPr="00100A13" w:rsidRDefault="00934A5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Resource </w:t>
      </w:r>
      <w:r w:rsidR="00100A13">
        <w:rPr>
          <w:rFonts w:ascii="Arial" w:eastAsia="MS Mincho" w:hAnsi="Arial" w:cs="Arial"/>
          <w:bCs/>
          <w:sz w:val="26"/>
          <w:szCs w:val="26"/>
          <w:lang w:val="en-GB" w:eastAsia="en-GB"/>
        </w:rPr>
        <w:t>allocation</w:t>
      </w:r>
      <w:r w:rsidR="00443E40">
        <w:rPr>
          <w:rFonts w:ascii="Arial" w:eastAsia="MS Mincho" w:hAnsi="Arial" w:cs="Arial"/>
          <w:bCs/>
          <w:sz w:val="26"/>
          <w:szCs w:val="26"/>
          <w:lang w:val="en-GB" w:eastAsia="en-GB"/>
        </w:rPr>
        <w:t>/configuration</w:t>
      </w:r>
      <w:r w:rsidR="00100A13">
        <w:rPr>
          <w:rFonts w:ascii="Arial" w:eastAsia="MS Mincho" w:hAnsi="Arial" w:cs="Arial"/>
          <w:bCs/>
          <w:sz w:val="26"/>
          <w:szCs w:val="26"/>
          <w:lang w:val="en-GB" w:eastAsia="en-GB"/>
        </w:rPr>
        <w:t xml:space="preserve"> for unicast operation</w:t>
      </w:r>
    </w:p>
    <w:p w14:paraId="54E46DCD" w14:textId="77777777" w:rsidR="00443607" w:rsidRDefault="00443607" w:rsidP="00305CD5">
      <w:pPr>
        <w:rPr>
          <w:rFonts w:ascii="Times New Roman" w:hAnsi="Times New Roman"/>
          <w:sz w:val="20"/>
          <w:lang w:val="en-GB" w:eastAsia="zh-CN"/>
        </w:rPr>
      </w:pPr>
    </w:p>
    <w:p w14:paraId="5A9412C1" w14:textId="1C9B626C" w:rsidR="00513956" w:rsidRDefault="00B3013F" w:rsidP="00305CD5">
      <w:pPr>
        <w:rPr>
          <w:rFonts w:ascii="Times New Roman" w:hAnsi="Times New Roman"/>
          <w:sz w:val="20"/>
          <w:lang w:val="en-GB" w:eastAsia="zh-CN"/>
        </w:rPr>
      </w:pPr>
      <w:r>
        <w:rPr>
          <w:rFonts w:ascii="Times New Roman" w:hAnsi="Times New Roman"/>
          <w:sz w:val="20"/>
          <w:lang w:val="en-GB" w:eastAsia="zh-CN"/>
        </w:rPr>
        <w:t>Since the fundamental difference between broadcast and unicast/groupcast transmissions is based on whether they are addressed for a specific UE or a set of UE (which have been determined previously during the connection establishment procedure), this gives rise to the question whether the physical resources utilized for V2X transmissions are dedicated or shared with those used for broadcast transmissions. With the advanced use cases and stringent requirements, unicast transmissions are expected to be used for high reliability and low latency cases, e.g. extended sensor sharing and remote driving</w:t>
      </w:r>
      <w:r w:rsidR="0063286E">
        <w:rPr>
          <w:rFonts w:ascii="Times New Roman" w:hAnsi="Times New Roman"/>
          <w:sz w:val="20"/>
          <w:lang w:val="en-GB" w:eastAsia="zh-CN"/>
        </w:rPr>
        <w:t xml:space="preserve"> </w:t>
      </w:r>
      <w:sdt>
        <w:sdtPr>
          <w:rPr>
            <w:rFonts w:ascii="Times New Roman" w:hAnsi="Times New Roman"/>
            <w:sz w:val="20"/>
            <w:lang w:val="en-GB" w:eastAsia="zh-CN"/>
          </w:rPr>
          <w:id w:val="1998300619"/>
          <w:citation/>
        </w:sdtPr>
        <w:sdtEndPr/>
        <w:sdtContent>
          <w:r w:rsidR="0063286E">
            <w:rPr>
              <w:rFonts w:ascii="Times New Roman" w:hAnsi="Times New Roman"/>
              <w:sz w:val="20"/>
              <w:lang w:val="en-GB" w:eastAsia="zh-CN"/>
            </w:rPr>
            <w:fldChar w:fldCharType="begin"/>
          </w:r>
          <w:r w:rsidR="0063286E">
            <w:rPr>
              <w:rFonts w:ascii="Times New Roman" w:hAnsi="Times New Roman"/>
              <w:sz w:val="20"/>
              <w:lang w:eastAsia="zh-CN"/>
            </w:rPr>
            <w:instrText xml:space="preserve"> CITATION 22186 \l 1033 </w:instrText>
          </w:r>
          <w:r w:rsidR="0063286E">
            <w:rPr>
              <w:rFonts w:ascii="Times New Roman" w:hAnsi="Times New Roman"/>
              <w:sz w:val="20"/>
              <w:lang w:val="en-GB" w:eastAsia="zh-CN"/>
            </w:rPr>
            <w:fldChar w:fldCharType="separate"/>
          </w:r>
          <w:r w:rsidR="00EB2A11" w:rsidRPr="00EB2A11">
            <w:rPr>
              <w:rFonts w:ascii="Times New Roman" w:hAnsi="Times New Roman"/>
              <w:noProof/>
              <w:sz w:val="20"/>
              <w:lang w:eastAsia="zh-CN"/>
            </w:rPr>
            <w:t>[2]</w:t>
          </w:r>
          <w:r w:rsidR="0063286E">
            <w:rPr>
              <w:rFonts w:ascii="Times New Roman" w:hAnsi="Times New Roman"/>
              <w:sz w:val="20"/>
              <w:lang w:val="en-GB" w:eastAsia="zh-CN"/>
            </w:rPr>
            <w:fldChar w:fldCharType="end"/>
          </w:r>
        </w:sdtContent>
      </w:sdt>
      <w:r>
        <w:rPr>
          <w:rFonts w:ascii="Times New Roman" w:hAnsi="Times New Roman"/>
          <w:sz w:val="20"/>
          <w:lang w:val="en-GB" w:eastAsia="zh-CN"/>
        </w:rPr>
        <w:t xml:space="preserve">. In such cases, it is imperative that transmissions from UEs for these use cases/V2X services are afforded the appropriate set of resources and QoS necessary for proper operation. </w:t>
      </w:r>
    </w:p>
    <w:p w14:paraId="7C21A3BF" w14:textId="5881F236" w:rsidR="00F22C9F" w:rsidRPr="00F22C9F" w:rsidRDefault="00F22C9F"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773DDF">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For unicast operation, a suitable set of sidelink resources needs to be ensured </w:t>
      </w:r>
      <w:r w:rsidR="0063286E">
        <w:rPr>
          <w:rFonts w:ascii="Times New Roman" w:eastAsia="Times New Roman" w:hAnsi="Times New Roman"/>
          <w:bCs/>
          <w:i/>
          <w:sz w:val="20"/>
          <w:szCs w:val="20"/>
          <w:lang w:val="en-GB" w:eastAsia="zh-CN"/>
        </w:rPr>
        <w:t xml:space="preserve">in order </w:t>
      </w:r>
      <w:r>
        <w:rPr>
          <w:rFonts w:ascii="Times New Roman" w:eastAsia="Times New Roman" w:hAnsi="Times New Roman"/>
          <w:bCs/>
          <w:i/>
          <w:sz w:val="20"/>
          <w:szCs w:val="20"/>
          <w:lang w:val="en-GB" w:eastAsia="zh-CN"/>
        </w:rPr>
        <w:t>to meet the stringent QoS requirements for advanced V2X use cases.</w:t>
      </w:r>
    </w:p>
    <w:p w14:paraId="0B323F92" w14:textId="339BFC49" w:rsidR="00EA68B2" w:rsidRDefault="00F22C9F" w:rsidP="00544AAA">
      <w:pPr>
        <w:rPr>
          <w:rFonts w:ascii="Times New Roman" w:hAnsi="Times New Roman"/>
          <w:sz w:val="20"/>
          <w:lang w:val="en-GB" w:eastAsia="zh-CN"/>
        </w:rPr>
      </w:pPr>
      <w:r>
        <w:rPr>
          <w:rFonts w:ascii="Times New Roman" w:hAnsi="Times New Roman"/>
          <w:sz w:val="20"/>
          <w:lang w:val="en-GB" w:eastAsia="zh-CN"/>
        </w:rPr>
        <w:t xml:space="preserve">In this regard, </w:t>
      </w:r>
      <w:r w:rsidR="00EA68B2">
        <w:rPr>
          <w:rFonts w:ascii="Times New Roman" w:hAnsi="Times New Roman"/>
          <w:sz w:val="20"/>
          <w:lang w:val="en-GB" w:eastAsia="zh-CN"/>
        </w:rPr>
        <w:t xml:space="preserve">the question was raised for </w:t>
      </w:r>
      <w:r w:rsidR="00EA68B2" w:rsidRPr="004114F2">
        <w:rPr>
          <w:rFonts w:ascii="Times New Roman" w:hAnsi="Times New Roman"/>
          <w:b/>
          <w:sz w:val="20"/>
          <w:lang w:val="en-GB" w:eastAsia="zh-CN"/>
        </w:rPr>
        <w:t>mode 2</w:t>
      </w:r>
      <w:r w:rsidR="00EA68B2">
        <w:rPr>
          <w:rFonts w:ascii="Times New Roman" w:hAnsi="Times New Roman"/>
          <w:sz w:val="20"/>
          <w:lang w:val="en-GB" w:eastAsia="zh-CN"/>
        </w:rPr>
        <w:t xml:space="preserve"> operation on whether there is a need to consider </w:t>
      </w:r>
      <w:r w:rsidR="00286CD8">
        <w:rPr>
          <w:rFonts w:ascii="Times New Roman" w:hAnsi="Times New Roman"/>
          <w:sz w:val="20"/>
          <w:lang w:val="en-GB" w:eastAsia="zh-CN"/>
        </w:rPr>
        <w:t xml:space="preserve">separate and/or dedicated resource </w:t>
      </w:r>
      <w:r w:rsidR="00153601">
        <w:rPr>
          <w:rFonts w:ascii="Times New Roman" w:hAnsi="Times New Roman"/>
          <w:sz w:val="20"/>
          <w:lang w:val="en-GB" w:eastAsia="zh-CN"/>
        </w:rPr>
        <w:t>pool</w:t>
      </w:r>
      <w:r w:rsidR="00286CD8">
        <w:rPr>
          <w:rFonts w:ascii="Times New Roman" w:hAnsi="Times New Roman"/>
          <w:sz w:val="20"/>
          <w:lang w:val="en-GB" w:eastAsia="zh-CN"/>
        </w:rPr>
        <w:t>s for unicast, groupcast and broadcast use cases. In our view, we should first have a clear terminology to remove any ambiguity before making further progress. In that vein, we have two following aspects:</w:t>
      </w:r>
    </w:p>
    <w:p w14:paraId="35077878" w14:textId="09B29C1B" w:rsidR="00286CD8" w:rsidRDefault="00286CD8" w:rsidP="006821CE">
      <w:pPr>
        <w:pStyle w:val="ListParagraph"/>
        <w:numPr>
          <w:ilvl w:val="0"/>
          <w:numId w:val="33"/>
        </w:numPr>
        <w:rPr>
          <w:rFonts w:ascii="Times New Roman" w:hAnsi="Times New Roman"/>
          <w:sz w:val="20"/>
          <w:lang w:val="en-GB" w:eastAsia="zh-CN"/>
        </w:rPr>
      </w:pPr>
      <w:r>
        <w:rPr>
          <w:rFonts w:ascii="Times New Roman" w:hAnsi="Times New Roman"/>
          <w:sz w:val="20"/>
          <w:lang w:val="en-GB" w:eastAsia="zh-CN"/>
        </w:rPr>
        <w:t xml:space="preserve">Does NR V2X support configuration of </w:t>
      </w:r>
      <w:r w:rsidRPr="006821CE">
        <w:rPr>
          <w:rFonts w:ascii="Times New Roman" w:hAnsi="Times New Roman"/>
          <w:b/>
          <w:sz w:val="20"/>
          <w:lang w:val="en-GB" w:eastAsia="zh-CN"/>
        </w:rPr>
        <w:t>common</w:t>
      </w:r>
      <w:r>
        <w:rPr>
          <w:rFonts w:ascii="Times New Roman" w:hAnsi="Times New Roman"/>
          <w:sz w:val="20"/>
          <w:lang w:val="en-GB" w:eastAsia="zh-CN"/>
        </w:rPr>
        <w:t xml:space="preserve"> resource pools which are applicable for unicast, groupcast and broadcast? In other words, the gNB can configure a common resource pool for mode 2 UEs and any UE, regardless of whether it intends to perform unicast, groupcast or broadcast operation, can utilize all resources therein?</w:t>
      </w:r>
    </w:p>
    <w:p w14:paraId="241B7733" w14:textId="1DD97A3B" w:rsidR="00286CD8" w:rsidRPr="006821CE" w:rsidRDefault="00286CD8" w:rsidP="006821CE">
      <w:pPr>
        <w:pStyle w:val="ListParagraph"/>
        <w:numPr>
          <w:ilvl w:val="0"/>
          <w:numId w:val="33"/>
        </w:numPr>
        <w:rPr>
          <w:rFonts w:ascii="Times New Roman" w:hAnsi="Times New Roman"/>
          <w:sz w:val="20"/>
          <w:lang w:val="en-GB" w:eastAsia="zh-CN"/>
        </w:rPr>
      </w:pPr>
      <w:r>
        <w:rPr>
          <w:rFonts w:ascii="Times New Roman" w:hAnsi="Times New Roman"/>
          <w:sz w:val="20"/>
          <w:lang w:val="en-GB" w:eastAsia="zh-CN"/>
        </w:rPr>
        <w:t xml:space="preserve">Does NR V2X support configuration of </w:t>
      </w:r>
      <w:r w:rsidRPr="006821CE">
        <w:rPr>
          <w:rFonts w:ascii="Times New Roman" w:hAnsi="Times New Roman"/>
          <w:b/>
          <w:sz w:val="20"/>
          <w:lang w:val="en-GB" w:eastAsia="zh-CN"/>
        </w:rPr>
        <w:t>dedicated</w:t>
      </w:r>
      <w:r>
        <w:rPr>
          <w:rFonts w:ascii="Times New Roman" w:hAnsi="Times New Roman"/>
          <w:b/>
          <w:sz w:val="20"/>
          <w:lang w:val="en-GB" w:eastAsia="zh-CN"/>
        </w:rPr>
        <w:t xml:space="preserve"> </w:t>
      </w:r>
      <w:r>
        <w:rPr>
          <w:rFonts w:ascii="Times New Roman" w:hAnsi="Times New Roman"/>
          <w:sz w:val="20"/>
          <w:lang w:val="en-GB" w:eastAsia="zh-CN"/>
        </w:rPr>
        <w:t xml:space="preserve">resource pools depending on cast type? In other words, can the gNB configure a resource pool for mode 2 operation only to be used by UEs if they are performing unicast transmissions? Note that </w:t>
      </w:r>
      <w:r w:rsidR="009C54C2">
        <w:rPr>
          <w:rFonts w:ascii="Times New Roman" w:hAnsi="Times New Roman"/>
          <w:sz w:val="20"/>
          <w:lang w:val="en-GB" w:eastAsia="zh-CN"/>
        </w:rPr>
        <w:t xml:space="preserve">in general, while </w:t>
      </w:r>
      <w:r>
        <w:rPr>
          <w:rFonts w:ascii="Times New Roman" w:hAnsi="Times New Roman"/>
          <w:sz w:val="20"/>
          <w:lang w:val="en-GB" w:eastAsia="zh-CN"/>
        </w:rPr>
        <w:t xml:space="preserve">groupcast case </w:t>
      </w:r>
      <w:r w:rsidR="009C54C2">
        <w:rPr>
          <w:rFonts w:ascii="Times New Roman" w:hAnsi="Times New Roman"/>
          <w:sz w:val="20"/>
          <w:lang w:val="en-GB" w:eastAsia="zh-CN"/>
        </w:rPr>
        <w:t xml:space="preserve">might be </w:t>
      </w:r>
      <w:r>
        <w:rPr>
          <w:rFonts w:ascii="Times New Roman" w:hAnsi="Times New Roman"/>
          <w:sz w:val="20"/>
          <w:lang w:val="en-GB" w:eastAsia="zh-CN"/>
        </w:rPr>
        <w:t>less motivated due to lower QoS requirements</w:t>
      </w:r>
      <w:r w:rsidR="009C54C2">
        <w:rPr>
          <w:rFonts w:ascii="Times New Roman" w:hAnsi="Times New Roman"/>
          <w:sz w:val="20"/>
          <w:lang w:val="en-GB" w:eastAsia="zh-CN"/>
        </w:rPr>
        <w:t>, it can also be considered</w:t>
      </w:r>
      <w:r>
        <w:rPr>
          <w:rFonts w:ascii="Times New Roman" w:hAnsi="Times New Roman"/>
          <w:sz w:val="20"/>
          <w:lang w:val="en-GB" w:eastAsia="zh-CN"/>
        </w:rPr>
        <w:t>.</w:t>
      </w:r>
    </w:p>
    <w:p w14:paraId="41D8DDCE" w14:textId="042600BA" w:rsidR="00153601" w:rsidRDefault="00153601" w:rsidP="00153601">
      <w:pPr>
        <w:rPr>
          <w:rFonts w:ascii="Times New Roman" w:hAnsi="Times New Roman"/>
          <w:sz w:val="20"/>
          <w:lang w:val="en-GB" w:eastAsia="zh-CN"/>
        </w:rPr>
      </w:pPr>
      <w:r>
        <w:rPr>
          <w:rFonts w:ascii="Times New Roman" w:hAnsi="Times New Roman"/>
          <w:sz w:val="20"/>
          <w:lang w:val="en-GB" w:eastAsia="zh-CN"/>
        </w:rPr>
        <w:t xml:space="preserve">Before attempting to address the questions themselves, a more fundamental question of resource pool configuration has to be addressed. Specifically, the selection of TX parameters </w:t>
      </w:r>
      <w:r w:rsidR="00777B6B">
        <w:rPr>
          <w:rFonts w:ascii="Times New Roman" w:hAnsi="Times New Roman"/>
          <w:sz w:val="20"/>
          <w:lang w:val="en-GB" w:eastAsia="zh-CN"/>
        </w:rPr>
        <w:t>(e.g. MCS ranges, PRB number) for a given resource pool</w:t>
      </w:r>
      <w:r>
        <w:rPr>
          <w:rFonts w:ascii="Times New Roman" w:hAnsi="Times New Roman"/>
          <w:sz w:val="20"/>
          <w:lang w:val="en-GB" w:eastAsia="zh-CN"/>
        </w:rPr>
        <w:t xml:space="preserve"> </w:t>
      </w:r>
      <w:r w:rsidR="00777B6B">
        <w:rPr>
          <w:rFonts w:ascii="Times New Roman" w:hAnsi="Times New Roman"/>
          <w:sz w:val="20"/>
          <w:lang w:val="en-GB" w:eastAsia="zh-CN"/>
        </w:rPr>
        <w:t xml:space="preserve">and the dependence </w:t>
      </w:r>
      <w:r>
        <w:rPr>
          <w:rFonts w:ascii="Times New Roman" w:hAnsi="Times New Roman"/>
          <w:sz w:val="20"/>
          <w:lang w:val="en-GB" w:eastAsia="zh-CN"/>
        </w:rPr>
        <w:t xml:space="preserve">on channel congestion has to be discussed. In LTE, this was based on configured mapping between PSSCH parameters, CBR ranges and PPPP ranges (in </w:t>
      </w:r>
      <w:r w:rsidRPr="00752D0F">
        <w:rPr>
          <w:rFonts w:ascii="Times New Roman" w:eastAsia="Times New Roman" w:hAnsi="Times New Roman"/>
          <w:i/>
          <w:sz w:val="20"/>
          <w:szCs w:val="20"/>
          <w:lang w:val="en-GB" w:eastAsia="zh-CN"/>
        </w:rPr>
        <w:t>SL-CBR-PPPP</w:t>
      </w:r>
      <w:r w:rsidRPr="00752D0F">
        <w:rPr>
          <w:rFonts w:ascii="Times New Roman" w:eastAsia="Times New Roman" w:hAnsi="Times New Roman"/>
          <w:i/>
          <w:sz w:val="20"/>
          <w:szCs w:val="20"/>
          <w:lang w:val="en-GB" w:eastAsia="ja-JP"/>
        </w:rPr>
        <w:t>-TxConfig</w:t>
      </w:r>
      <w:r w:rsidRPr="00752D0F">
        <w:rPr>
          <w:rFonts w:ascii="Times New Roman" w:eastAsia="Times New Roman" w:hAnsi="Times New Roman"/>
          <w:i/>
          <w:sz w:val="20"/>
          <w:szCs w:val="20"/>
          <w:lang w:val="en-GB" w:eastAsia="zh-CN"/>
        </w:rPr>
        <w:t>List</w:t>
      </w:r>
      <w:r>
        <w:rPr>
          <w:rFonts w:ascii="Times New Roman" w:hAnsi="Times New Roman"/>
          <w:sz w:val="20"/>
          <w:lang w:val="en-GB" w:eastAsia="zh-CN"/>
        </w:rPr>
        <w:t>), with the underlying principle that higher priority packets can take precedence for transmission over low priority ones</w:t>
      </w:r>
      <w:r w:rsidR="00777B6B">
        <w:rPr>
          <w:rFonts w:ascii="Times New Roman" w:hAnsi="Times New Roman"/>
          <w:sz w:val="20"/>
          <w:lang w:val="en-GB" w:eastAsia="zh-CN"/>
        </w:rPr>
        <w:t xml:space="preserve"> (through differing applicable CBR ranges)</w:t>
      </w:r>
      <w:r>
        <w:rPr>
          <w:rFonts w:ascii="Times New Roman" w:hAnsi="Times New Roman"/>
          <w:sz w:val="20"/>
          <w:lang w:val="en-GB" w:eastAsia="zh-CN"/>
        </w:rPr>
        <w:t>. The same principle should be applicable for NR as well, with PPPP replaced by the generalized QoS metric derived from PQI (as defined from SA2) and using the RAN1 defined congestion metric</w:t>
      </w:r>
      <w:r w:rsidR="000A472B">
        <w:rPr>
          <w:rFonts w:ascii="Times New Roman" w:hAnsi="Times New Roman"/>
          <w:sz w:val="20"/>
          <w:lang w:val="en-GB" w:eastAsia="zh-CN"/>
        </w:rPr>
        <w:t xml:space="preserve"> </w:t>
      </w:r>
      <w:sdt>
        <w:sdtPr>
          <w:rPr>
            <w:rFonts w:ascii="Times New Roman" w:hAnsi="Times New Roman"/>
            <w:sz w:val="20"/>
            <w:lang w:val="en-GB" w:eastAsia="zh-CN"/>
          </w:rPr>
          <w:id w:val="1694574927"/>
          <w:citation/>
        </w:sdtPr>
        <w:sdtEndPr/>
        <w:sdtContent>
          <w:r w:rsidR="000A472B">
            <w:rPr>
              <w:rFonts w:ascii="Times New Roman" w:hAnsi="Times New Roman"/>
              <w:sz w:val="20"/>
              <w:lang w:val="en-GB" w:eastAsia="zh-CN"/>
            </w:rPr>
            <w:fldChar w:fldCharType="begin"/>
          </w:r>
          <w:r w:rsidR="000A472B">
            <w:rPr>
              <w:rFonts w:ascii="Times New Roman" w:hAnsi="Times New Roman"/>
              <w:sz w:val="20"/>
              <w:lang w:eastAsia="zh-CN"/>
            </w:rPr>
            <w:instrText xml:space="preserve"> CITATION RAN1adhoc \l 1033 </w:instrText>
          </w:r>
          <w:r w:rsidR="000A472B">
            <w:rPr>
              <w:rFonts w:ascii="Times New Roman" w:hAnsi="Times New Roman"/>
              <w:sz w:val="20"/>
              <w:lang w:val="en-GB" w:eastAsia="zh-CN"/>
            </w:rPr>
            <w:fldChar w:fldCharType="separate"/>
          </w:r>
          <w:r w:rsidR="00EB2A11" w:rsidRPr="00EB2A11">
            <w:rPr>
              <w:rFonts w:ascii="Times New Roman" w:hAnsi="Times New Roman"/>
              <w:noProof/>
              <w:sz w:val="20"/>
              <w:lang w:eastAsia="zh-CN"/>
            </w:rPr>
            <w:t>[3]</w:t>
          </w:r>
          <w:r w:rsidR="000A472B">
            <w:rPr>
              <w:rFonts w:ascii="Times New Roman" w:hAnsi="Times New Roman"/>
              <w:sz w:val="20"/>
              <w:lang w:val="en-GB" w:eastAsia="zh-CN"/>
            </w:rPr>
            <w:fldChar w:fldCharType="end"/>
          </w:r>
        </w:sdtContent>
      </w:sdt>
      <w:r>
        <w:rPr>
          <w:rFonts w:ascii="Times New Roman" w:hAnsi="Times New Roman"/>
          <w:sz w:val="20"/>
          <w:lang w:val="en-GB" w:eastAsia="zh-CN"/>
        </w:rPr>
        <w:t>. The detailed design can be left to the WI phase, but RAN2 should at least agree to the general principle of TX</w:t>
      </w:r>
      <w:r w:rsidR="00777B6B">
        <w:rPr>
          <w:rFonts w:ascii="Times New Roman" w:hAnsi="Times New Roman"/>
          <w:sz w:val="20"/>
          <w:lang w:val="en-GB" w:eastAsia="zh-CN"/>
        </w:rPr>
        <w:t xml:space="preserve"> pool</w:t>
      </w:r>
      <w:r>
        <w:rPr>
          <w:rFonts w:ascii="Times New Roman" w:hAnsi="Times New Roman"/>
          <w:sz w:val="20"/>
          <w:lang w:val="en-GB" w:eastAsia="zh-CN"/>
        </w:rPr>
        <w:t xml:space="preserve"> configuration being based on </w:t>
      </w:r>
      <w:r>
        <w:rPr>
          <w:rFonts w:ascii="Times New Roman" w:hAnsi="Times New Roman"/>
          <w:sz w:val="20"/>
          <w:lang w:val="en-GB" w:eastAsia="zh-CN"/>
        </w:rPr>
        <w:lastRenderedPageBreak/>
        <w:t xml:space="preserve">QoS information as well as channel congestion. </w:t>
      </w:r>
      <w:r w:rsidR="00777B6B">
        <w:rPr>
          <w:rFonts w:ascii="Times New Roman" w:hAnsi="Times New Roman"/>
          <w:sz w:val="20"/>
          <w:lang w:val="en-GB" w:eastAsia="zh-CN"/>
        </w:rPr>
        <w:t>T</w:t>
      </w:r>
      <w:r>
        <w:rPr>
          <w:rFonts w:ascii="Times New Roman" w:hAnsi="Times New Roman"/>
          <w:sz w:val="20"/>
          <w:lang w:val="en-GB" w:eastAsia="zh-CN"/>
        </w:rPr>
        <w:t>his associated configuration for a range of QoS para</w:t>
      </w:r>
      <w:r w:rsidR="00777B6B">
        <w:rPr>
          <w:rFonts w:ascii="Times New Roman" w:hAnsi="Times New Roman"/>
          <w:sz w:val="20"/>
          <w:lang w:val="en-GB" w:eastAsia="zh-CN"/>
        </w:rPr>
        <w:t>meters can</w:t>
      </w:r>
      <w:r>
        <w:rPr>
          <w:rFonts w:ascii="Times New Roman" w:hAnsi="Times New Roman"/>
          <w:sz w:val="20"/>
          <w:lang w:val="en-GB" w:eastAsia="zh-CN"/>
        </w:rPr>
        <w:t xml:space="preserve"> either based on or derived from PQI values</w:t>
      </w:r>
      <w:r w:rsidR="00777B6B">
        <w:rPr>
          <w:rFonts w:ascii="Times New Roman" w:hAnsi="Times New Roman"/>
          <w:sz w:val="20"/>
          <w:lang w:val="en-GB" w:eastAsia="zh-CN"/>
        </w:rPr>
        <w:t xml:space="preserve"> (to be defined by SA2)</w:t>
      </w:r>
      <w:r>
        <w:rPr>
          <w:rFonts w:ascii="Times New Roman" w:hAnsi="Times New Roman"/>
          <w:sz w:val="20"/>
          <w:lang w:val="en-GB" w:eastAsia="zh-CN"/>
        </w:rPr>
        <w:t>.</w:t>
      </w:r>
    </w:p>
    <w:p w14:paraId="6B0570FC" w14:textId="4A7C3F7A" w:rsidR="00153601" w:rsidRPr="006821CE" w:rsidRDefault="00BC052F" w:rsidP="006821C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9374DF">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shall discuss and confirm that the resource pool configuration for NR V2X sidelink shall be based on QoS information (such as </w:t>
      </w:r>
      <w:r w:rsidR="004114F2">
        <w:rPr>
          <w:rFonts w:ascii="Times New Roman" w:eastAsia="Times New Roman" w:hAnsi="Times New Roman"/>
          <w:bCs/>
          <w:i/>
          <w:sz w:val="20"/>
          <w:szCs w:val="20"/>
          <w:lang w:val="en-GB" w:eastAsia="zh-CN"/>
        </w:rPr>
        <w:t>PC5 5</w:t>
      </w:r>
      <w:r>
        <w:rPr>
          <w:rFonts w:ascii="Times New Roman" w:eastAsia="Times New Roman" w:hAnsi="Times New Roman"/>
          <w:bCs/>
          <w:i/>
          <w:sz w:val="20"/>
          <w:szCs w:val="20"/>
          <w:lang w:val="en-GB" w:eastAsia="zh-CN"/>
        </w:rPr>
        <w:t>QI) and the congestion metric (as defined by RAN1), using the LTE resource pool configuration design as baseline.</w:t>
      </w:r>
    </w:p>
    <w:p w14:paraId="6C8ABC3B" w14:textId="4A48C4CC" w:rsidR="00544AAA" w:rsidRPr="00544AAA" w:rsidRDefault="00153601" w:rsidP="00286CD8">
      <w:pPr>
        <w:rPr>
          <w:rFonts w:ascii="Times New Roman" w:hAnsi="Times New Roman"/>
          <w:sz w:val="20"/>
          <w:lang w:val="en-GB" w:eastAsia="zh-CN"/>
        </w:rPr>
      </w:pPr>
      <w:r>
        <w:rPr>
          <w:rFonts w:ascii="Times New Roman" w:hAnsi="Times New Roman"/>
          <w:sz w:val="20"/>
          <w:lang w:val="en-GB" w:eastAsia="zh-CN"/>
        </w:rPr>
        <w:t>Coming back to the questions above, i</w:t>
      </w:r>
      <w:r w:rsidR="00286CD8">
        <w:rPr>
          <w:rFonts w:ascii="Times New Roman" w:hAnsi="Times New Roman"/>
          <w:sz w:val="20"/>
          <w:lang w:val="en-GB" w:eastAsia="zh-CN"/>
        </w:rPr>
        <w:t xml:space="preserve">n our view, the answer to question 1 should be yes anyway, since that is a generalized behaviour and is expected for normal NR V2X operation. The critical question then, is whether, </w:t>
      </w:r>
      <w:r w:rsidR="00286CD8">
        <w:rPr>
          <w:rFonts w:ascii="Times New Roman" w:hAnsi="Times New Roman"/>
          <w:b/>
          <w:sz w:val="20"/>
          <w:lang w:val="en-GB" w:eastAsia="zh-CN"/>
        </w:rPr>
        <w:t xml:space="preserve">in addition to </w:t>
      </w:r>
      <w:r w:rsidR="00286CD8">
        <w:rPr>
          <w:rFonts w:ascii="Times New Roman" w:hAnsi="Times New Roman"/>
          <w:sz w:val="20"/>
          <w:lang w:val="en-GB" w:eastAsia="zh-CN"/>
        </w:rPr>
        <w:t>common resource pool configuration, should the case of dedicated resource pool per cast type be considered as well (as in question 2)</w:t>
      </w:r>
      <w:r w:rsidR="00893665">
        <w:rPr>
          <w:rFonts w:ascii="Times New Roman" w:hAnsi="Times New Roman"/>
          <w:sz w:val="20"/>
          <w:lang w:val="en-GB" w:eastAsia="zh-CN"/>
        </w:rPr>
        <w:t>.</w:t>
      </w:r>
      <w:r w:rsidR="00285FD9">
        <w:rPr>
          <w:rFonts w:ascii="Times New Roman" w:hAnsi="Times New Roman"/>
          <w:sz w:val="20"/>
          <w:lang w:val="en-GB" w:eastAsia="zh-CN"/>
        </w:rPr>
        <w:t xml:space="preserve"> </w:t>
      </w:r>
      <w:r w:rsidR="00286CD8">
        <w:rPr>
          <w:rFonts w:ascii="Times New Roman" w:hAnsi="Times New Roman"/>
          <w:sz w:val="20"/>
          <w:lang w:val="en-GB" w:eastAsia="zh-CN"/>
        </w:rPr>
        <w:t xml:space="preserve">Regarding the motivation for question 2, it is based on the assumption </w:t>
      </w:r>
      <w:r w:rsidR="00285FD9">
        <w:rPr>
          <w:rFonts w:ascii="Times New Roman" w:hAnsi="Times New Roman"/>
          <w:sz w:val="20"/>
          <w:lang w:val="en-GB" w:eastAsia="zh-CN"/>
        </w:rPr>
        <w:t xml:space="preserve">that a V2X application’s need for establishing a unicast link is independent of its mode of operation (mode 1 vs mode 2). </w:t>
      </w:r>
      <w:r w:rsidR="00286CD8">
        <w:rPr>
          <w:rFonts w:ascii="Times New Roman" w:hAnsi="Times New Roman"/>
          <w:sz w:val="20"/>
          <w:lang w:val="en-GB" w:eastAsia="zh-CN"/>
        </w:rPr>
        <w:t xml:space="preserve">In other words, </w:t>
      </w:r>
      <w:r w:rsidR="00ED52F8">
        <w:rPr>
          <w:rFonts w:ascii="Times New Roman" w:hAnsi="Times New Roman"/>
          <w:sz w:val="20"/>
          <w:lang w:val="en-GB" w:eastAsia="zh-CN"/>
        </w:rPr>
        <w:t xml:space="preserve">resource configuration design should be such that a UE should have the freedom to use mode </w:t>
      </w:r>
      <w:r w:rsidR="008937A3">
        <w:rPr>
          <w:rFonts w:ascii="Times New Roman" w:hAnsi="Times New Roman"/>
          <w:sz w:val="20"/>
          <w:lang w:val="en-GB" w:eastAsia="zh-CN"/>
        </w:rPr>
        <w:t xml:space="preserve">1 or mode </w:t>
      </w:r>
      <w:r w:rsidR="00ED52F8">
        <w:rPr>
          <w:rFonts w:ascii="Times New Roman" w:hAnsi="Times New Roman"/>
          <w:sz w:val="20"/>
          <w:lang w:val="en-GB" w:eastAsia="zh-CN"/>
        </w:rPr>
        <w:t>2 to meet QoS requirements of any of the advanced V2X</w:t>
      </w:r>
      <w:r w:rsidR="008937A3">
        <w:rPr>
          <w:rFonts w:ascii="Times New Roman" w:hAnsi="Times New Roman"/>
          <w:sz w:val="20"/>
          <w:lang w:val="en-GB" w:eastAsia="zh-CN"/>
        </w:rPr>
        <w:t xml:space="preserve"> services. </w:t>
      </w:r>
      <w:r w:rsidR="00285FD9">
        <w:rPr>
          <w:rFonts w:ascii="Times New Roman" w:hAnsi="Times New Roman"/>
          <w:sz w:val="20"/>
          <w:lang w:val="en-GB" w:eastAsia="zh-CN"/>
        </w:rPr>
        <w:t>Based on this assumption, it can be beneficial for the overall system operation if separate, non-overlapped resources are allocated</w:t>
      </w:r>
      <w:r w:rsidR="00DD1D39">
        <w:rPr>
          <w:rFonts w:ascii="Times New Roman" w:hAnsi="Times New Roman"/>
          <w:sz w:val="20"/>
          <w:lang w:val="en-GB" w:eastAsia="zh-CN"/>
        </w:rPr>
        <w:t xml:space="preserve"> for unicast transmissions</w:t>
      </w:r>
      <w:r w:rsidR="00285FD9">
        <w:rPr>
          <w:rFonts w:ascii="Times New Roman" w:hAnsi="Times New Roman"/>
          <w:sz w:val="20"/>
          <w:lang w:val="en-GB" w:eastAsia="zh-CN"/>
        </w:rPr>
        <w:t xml:space="preserve">. </w:t>
      </w:r>
      <w:r w:rsidR="008937A3">
        <w:rPr>
          <w:rFonts w:ascii="Times New Roman" w:hAnsi="Times New Roman"/>
          <w:sz w:val="20"/>
          <w:lang w:val="en-GB" w:eastAsia="zh-CN"/>
        </w:rPr>
        <w:t xml:space="preserve">The other thing to consider is that even </w:t>
      </w:r>
      <w:r w:rsidR="00285FD9">
        <w:rPr>
          <w:rFonts w:ascii="Times New Roman" w:hAnsi="Times New Roman"/>
          <w:sz w:val="20"/>
          <w:lang w:val="en-GB" w:eastAsia="zh-CN"/>
        </w:rPr>
        <w:t xml:space="preserve">with various sidelink enhancements being considered to target the unicast case (e.g. HARQ feedback, RLC AM, etc.), the underlying set of physical resources </w:t>
      </w:r>
      <w:r w:rsidR="00DD1D39">
        <w:rPr>
          <w:rFonts w:ascii="Times New Roman" w:hAnsi="Times New Roman"/>
          <w:sz w:val="20"/>
          <w:lang w:val="en-GB" w:eastAsia="zh-CN"/>
        </w:rPr>
        <w:t xml:space="preserve">itself </w:t>
      </w:r>
      <w:r w:rsidR="00285FD9">
        <w:rPr>
          <w:rFonts w:ascii="Times New Roman" w:hAnsi="Times New Roman"/>
          <w:sz w:val="20"/>
          <w:lang w:val="en-GB" w:eastAsia="zh-CN"/>
        </w:rPr>
        <w:t>goes a long way in dete</w:t>
      </w:r>
      <w:r w:rsidR="00DD1D39">
        <w:rPr>
          <w:rFonts w:ascii="Times New Roman" w:hAnsi="Times New Roman"/>
          <w:sz w:val="20"/>
          <w:lang w:val="en-GB" w:eastAsia="zh-CN"/>
        </w:rPr>
        <w:t xml:space="preserve">rmining if </w:t>
      </w:r>
      <w:r w:rsidR="00893665">
        <w:rPr>
          <w:rFonts w:ascii="Times New Roman" w:hAnsi="Times New Roman"/>
          <w:sz w:val="20"/>
          <w:lang w:val="en-GB" w:eastAsia="zh-CN"/>
        </w:rPr>
        <w:t xml:space="preserve">the </w:t>
      </w:r>
      <w:r w:rsidR="00DD1D39">
        <w:rPr>
          <w:rFonts w:ascii="Times New Roman" w:hAnsi="Times New Roman"/>
          <w:sz w:val="20"/>
          <w:lang w:val="en-GB" w:eastAsia="zh-CN"/>
        </w:rPr>
        <w:t>QoS requirements can be met. So</w:t>
      </w:r>
      <w:r w:rsidR="00285FD9">
        <w:rPr>
          <w:rFonts w:ascii="Times New Roman" w:hAnsi="Times New Roman"/>
          <w:sz w:val="20"/>
          <w:lang w:val="en-GB" w:eastAsia="zh-CN"/>
        </w:rPr>
        <w:t xml:space="preserve">, we think that at least for unicast operation, </w:t>
      </w:r>
      <w:r w:rsidR="008937A3">
        <w:rPr>
          <w:rFonts w:ascii="Times New Roman" w:hAnsi="Times New Roman"/>
          <w:sz w:val="20"/>
          <w:lang w:val="en-GB" w:eastAsia="zh-CN"/>
        </w:rPr>
        <w:t xml:space="preserve">in addition to common resource pool configuration (i.e. regardless of cast type), </w:t>
      </w:r>
      <w:r w:rsidR="00285FD9">
        <w:rPr>
          <w:rFonts w:ascii="Times New Roman" w:hAnsi="Times New Roman"/>
          <w:sz w:val="20"/>
          <w:lang w:val="en-GB" w:eastAsia="zh-CN"/>
        </w:rPr>
        <w:t xml:space="preserve">it would be useful to consider dedicated resource pools for </w:t>
      </w:r>
      <w:r w:rsidR="008937A3">
        <w:rPr>
          <w:rFonts w:ascii="Times New Roman" w:hAnsi="Times New Roman"/>
          <w:sz w:val="20"/>
          <w:lang w:val="en-GB" w:eastAsia="zh-CN"/>
        </w:rPr>
        <w:t xml:space="preserve">unicast </w:t>
      </w:r>
      <w:r w:rsidR="00285FD9">
        <w:rPr>
          <w:rFonts w:ascii="Times New Roman" w:hAnsi="Times New Roman"/>
          <w:sz w:val="20"/>
          <w:lang w:val="en-GB" w:eastAsia="zh-CN"/>
        </w:rPr>
        <w:t>V2X communication over sidelink</w:t>
      </w:r>
      <w:r w:rsidR="00DD1D39">
        <w:rPr>
          <w:rFonts w:ascii="Times New Roman" w:hAnsi="Times New Roman"/>
          <w:sz w:val="20"/>
          <w:lang w:val="en-GB" w:eastAsia="zh-CN"/>
        </w:rPr>
        <w:t>. This can ensure</w:t>
      </w:r>
      <w:r w:rsidR="00285FD9">
        <w:rPr>
          <w:rFonts w:ascii="Times New Roman" w:hAnsi="Times New Roman"/>
          <w:sz w:val="20"/>
          <w:lang w:val="en-GB" w:eastAsia="zh-CN"/>
        </w:rPr>
        <w:t xml:space="preserve"> reduced contention with broadcast traffic</w:t>
      </w:r>
      <w:r w:rsidR="008937A3">
        <w:rPr>
          <w:rFonts w:ascii="Times New Roman" w:hAnsi="Times New Roman"/>
          <w:sz w:val="20"/>
          <w:lang w:val="en-GB" w:eastAsia="zh-CN"/>
        </w:rPr>
        <w:t xml:space="preserve">. As pointed out by some companies, this can impact the resource usage efficiency adversely, but the gNB can always choose whether or not to configure the dedicated pools. For instance, traffic hotspots can be identified, e.g. on highway ramps where it is expected that a high density of UEs </w:t>
      </w:r>
      <w:r w:rsidR="00F75027">
        <w:rPr>
          <w:rFonts w:ascii="Times New Roman" w:hAnsi="Times New Roman"/>
          <w:sz w:val="20"/>
          <w:lang w:val="en-GB" w:eastAsia="zh-CN"/>
        </w:rPr>
        <w:t>would likely</w:t>
      </w:r>
      <w:r w:rsidR="008937A3">
        <w:rPr>
          <w:rFonts w:ascii="Times New Roman" w:hAnsi="Times New Roman"/>
          <w:sz w:val="20"/>
          <w:lang w:val="en-GB" w:eastAsia="zh-CN"/>
        </w:rPr>
        <w:t xml:space="preserve"> be involved in unicast communication and resource pools configured accordingly.</w:t>
      </w:r>
      <w:r w:rsidR="00285FD9">
        <w:rPr>
          <w:rFonts w:ascii="Times New Roman" w:hAnsi="Times New Roman"/>
          <w:sz w:val="20"/>
          <w:lang w:val="en-GB" w:eastAsia="zh-CN"/>
        </w:rPr>
        <w:t xml:space="preserve"> </w:t>
      </w:r>
      <w:r w:rsidR="008937A3">
        <w:rPr>
          <w:rFonts w:ascii="Times New Roman" w:hAnsi="Times New Roman"/>
          <w:sz w:val="20"/>
          <w:lang w:val="en-GB" w:eastAsia="zh-CN"/>
        </w:rPr>
        <w:t>On the other hand, t</w:t>
      </w:r>
      <w:r w:rsidR="00DD1D39">
        <w:rPr>
          <w:rFonts w:ascii="Times New Roman" w:hAnsi="Times New Roman"/>
          <w:sz w:val="20"/>
          <w:lang w:val="en-GB" w:eastAsia="zh-CN"/>
        </w:rPr>
        <w:t xml:space="preserve">he case of groupcast </w:t>
      </w:r>
      <w:r w:rsidR="008937A3">
        <w:rPr>
          <w:rFonts w:ascii="Times New Roman" w:hAnsi="Times New Roman"/>
          <w:sz w:val="20"/>
          <w:lang w:val="en-GB" w:eastAsia="zh-CN"/>
        </w:rPr>
        <w:t>is less motivated from QoS perspective and</w:t>
      </w:r>
      <w:r w:rsidR="00DD1D39">
        <w:rPr>
          <w:rFonts w:ascii="Times New Roman" w:hAnsi="Times New Roman"/>
          <w:sz w:val="20"/>
          <w:lang w:val="en-GB" w:eastAsia="zh-CN"/>
        </w:rPr>
        <w:t xml:space="preserve"> needs further discussion, based on the dynamicity of the group/platoon formation.</w:t>
      </w:r>
      <w:r w:rsidR="004D12A9">
        <w:rPr>
          <w:rFonts w:ascii="Times New Roman" w:hAnsi="Times New Roman"/>
          <w:sz w:val="20"/>
          <w:lang w:val="en-GB" w:eastAsia="zh-CN"/>
        </w:rPr>
        <w:t xml:space="preserve"> While RAN1 is also discussing this aspect, it would be worthwhile discussing and agreeing to this in RAN2.</w:t>
      </w:r>
    </w:p>
    <w:p w14:paraId="2B67C28C" w14:textId="6DE06C36" w:rsidR="0037540A" w:rsidRDefault="0032490D" w:rsidP="003754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9374DF">
        <w:rPr>
          <w:rFonts w:ascii="Times New Roman" w:eastAsia="Times New Roman" w:hAnsi="Times New Roman"/>
          <w:b/>
          <w:bCs/>
          <w:sz w:val="20"/>
          <w:szCs w:val="20"/>
          <w:u w:val="single"/>
          <w:lang w:val="en-GB" w:eastAsia="zh-CN"/>
        </w:rPr>
        <w:t xml:space="preserve"> 2</w:t>
      </w:r>
      <w:r w:rsidR="0037540A">
        <w:rPr>
          <w:rFonts w:ascii="Times New Roman" w:eastAsia="Times New Roman" w:hAnsi="Times New Roman"/>
          <w:b/>
          <w:bCs/>
          <w:sz w:val="20"/>
          <w:szCs w:val="20"/>
          <w:u w:val="single"/>
          <w:lang w:val="en-GB" w:eastAsia="zh-CN"/>
        </w:rPr>
        <w:t>:</w:t>
      </w:r>
      <w:r w:rsidR="0037540A">
        <w:rPr>
          <w:rFonts w:ascii="Times New Roman" w:eastAsia="Times New Roman" w:hAnsi="Times New Roman"/>
          <w:b/>
          <w:bCs/>
          <w:sz w:val="20"/>
          <w:szCs w:val="20"/>
          <w:lang w:val="en-GB" w:eastAsia="zh-CN"/>
        </w:rPr>
        <w:tab/>
      </w:r>
      <w:r w:rsidR="009C54C2">
        <w:rPr>
          <w:rFonts w:ascii="Times New Roman" w:eastAsia="Times New Roman" w:hAnsi="Times New Roman"/>
          <w:bCs/>
          <w:i/>
          <w:sz w:val="20"/>
          <w:szCs w:val="20"/>
          <w:lang w:val="en-GB" w:eastAsia="zh-CN"/>
        </w:rPr>
        <w:t>Pending RAN1 input, t</w:t>
      </w:r>
      <w:r w:rsidR="00285FD9">
        <w:rPr>
          <w:rFonts w:ascii="Times New Roman" w:eastAsia="Times New Roman" w:hAnsi="Times New Roman"/>
          <w:bCs/>
          <w:i/>
          <w:sz w:val="20"/>
          <w:szCs w:val="20"/>
          <w:lang w:val="en-GB" w:eastAsia="zh-CN"/>
        </w:rPr>
        <w:t xml:space="preserve">he use of separate/dedicated sidelink resources for unicast (FFS groupcast) transmissions should be </w:t>
      </w:r>
      <w:r w:rsidR="00443607">
        <w:rPr>
          <w:rFonts w:ascii="Times New Roman" w:eastAsia="Times New Roman" w:hAnsi="Times New Roman"/>
          <w:bCs/>
          <w:i/>
          <w:sz w:val="20"/>
          <w:szCs w:val="20"/>
          <w:lang w:val="en-GB" w:eastAsia="zh-CN"/>
        </w:rPr>
        <w:t xml:space="preserve">adopted </w:t>
      </w:r>
      <w:r w:rsidR="00285FD9">
        <w:rPr>
          <w:rFonts w:ascii="Times New Roman" w:eastAsia="Times New Roman" w:hAnsi="Times New Roman"/>
          <w:bCs/>
          <w:i/>
          <w:sz w:val="20"/>
          <w:szCs w:val="20"/>
          <w:lang w:val="en-GB" w:eastAsia="zh-CN"/>
        </w:rPr>
        <w:t>for NR V2X.</w:t>
      </w:r>
    </w:p>
    <w:p w14:paraId="3A09012C" w14:textId="5F520E77" w:rsidR="001C479B" w:rsidRDefault="008937A3" w:rsidP="0060381E">
      <w:pPr>
        <w:rPr>
          <w:rFonts w:ascii="Times New Roman" w:hAnsi="Times New Roman"/>
          <w:sz w:val="20"/>
          <w:lang w:val="en-GB" w:eastAsia="zh-CN"/>
        </w:rPr>
      </w:pPr>
      <w:r>
        <w:rPr>
          <w:rFonts w:ascii="Times New Roman" w:hAnsi="Times New Roman"/>
          <w:sz w:val="20"/>
          <w:lang w:val="en-GB" w:eastAsia="zh-CN"/>
        </w:rPr>
        <w:t xml:space="preserve">In the case </w:t>
      </w:r>
      <w:r w:rsidR="00F75027">
        <w:rPr>
          <w:rFonts w:ascii="Times New Roman" w:hAnsi="Times New Roman"/>
          <w:sz w:val="20"/>
          <w:lang w:val="en-GB" w:eastAsia="zh-CN"/>
        </w:rPr>
        <w:t>of</w:t>
      </w:r>
      <w:r>
        <w:rPr>
          <w:rFonts w:ascii="Times New Roman" w:hAnsi="Times New Roman"/>
          <w:sz w:val="20"/>
          <w:lang w:val="en-GB" w:eastAsia="zh-CN"/>
        </w:rPr>
        <w:t xml:space="preserve"> </w:t>
      </w:r>
      <w:r w:rsidR="00FD2574">
        <w:rPr>
          <w:rFonts w:ascii="Times New Roman" w:hAnsi="Times New Roman"/>
          <w:sz w:val="20"/>
          <w:lang w:val="en-GB" w:eastAsia="zh-CN"/>
        </w:rPr>
        <w:t xml:space="preserve">only </w:t>
      </w:r>
      <w:r>
        <w:rPr>
          <w:rFonts w:ascii="Times New Roman" w:hAnsi="Times New Roman"/>
          <w:sz w:val="20"/>
          <w:lang w:val="en-GB" w:eastAsia="zh-CN"/>
        </w:rPr>
        <w:t>common/shared resource po</w:t>
      </w:r>
      <w:r w:rsidR="00752D0F">
        <w:rPr>
          <w:rFonts w:ascii="Times New Roman" w:hAnsi="Times New Roman"/>
          <w:sz w:val="20"/>
          <w:lang w:val="en-GB" w:eastAsia="zh-CN"/>
        </w:rPr>
        <w:t xml:space="preserve">ol </w:t>
      </w:r>
      <w:r w:rsidR="00F75027">
        <w:rPr>
          <w:rFonts w:ascii="Times New Roman" w:hAnsi="Times New Roman"/>
          <w:sz w:val="20"/>
          <w:lang w:val="en-GB" w:eastAsia="zh-CN"/>
        </w:rPr>
        <w:t>being</w:t>
      </w:r>
      <w:r w:rsidR="00752D0F">
        <w:rPr>
          <w:rFonts w:ascii="Times New Roman" w:hAnsi="Times New Roman"/>
          <w:sz w:val="20"/>
          <w:lang w:val="en-GB" w:eastAsia="zh-CN"/>
        </w:rPr>
        <w:t xml:space="preserve"> configured,</w:t>
      </w:r>
      <w:r w:rsidR="00976070">
        <w:rPr>
          <w:rFonts w:ascii="Times New Roman" w:hAnsi="Times New Roman"/>
          <w:sz w:val="20"/>
          <w:lang w:val="en-GB" w:eastAsia="zh-CN"/>
        </w:rPr>
        <w:t xml:space="preserve"> the question is whether unicast traffic should be subject to the same priority rules as broadcast traffic. In our view, </w:t>
      </w:r>
      <w:r w:rsidR="00752D0F">
        <w:rPr>
          <w:rFonts w:ascii="Times New Roman" w:hAnsi="Times New Roman"/>
          <w:sz w:val="20"/>
          <w:lang w:val="en-GB" w:eastAsia="zh-CN"/>
        </w:rPr>
        <w:t xml:space="preserve">one of </w:t>
      </w:r>
      <w:r w:rsidR="00976070">
        <w:rPr>
          <w:rFonts w:ascii="Times New Roman" w:hAnsi="Times New Roman"/>
          <w:sz w:val="20"/>
          <w:lang w:val="en-GB" w:eastAsia="zh-CN"/>
        </w:rPr>
        <w:t>the main reason</w:t>
      </w:r>
      <w:r w:rsidR="00752D0F">
        <w:rPr>
          <w:rFonts w:ascii="Times New Roman" w:hAnsi="Times New Roman"/>
          <w:sz w:val="20"/>
          <w:lang w:val="en-GB" w:eastAsia="zh-CN"/>
        </w:rPr>
        <w:t>s</w:t>
      </w:r>
      <w:r w:rsidR="00976070">
        <w:rPr>
          <w:rFonts w:ascii="Times New Roman" w:hAnsi="Times New Roman"/>
          <w:sz w:val="20"/>
          <w:lang w:val="en-GB" w:eastAsia="zh-CN"/>
        </w:rPr>
        <w:t xml:space="preserve"> why a V2X application at a given UE would set up a unicast connection is to meet specific QoS requirements it is not </w:t>
      </w:r>
      <w:r w:rsidR="00181357">
        <w:rPr>
          <w:rFonts w:ascii="Times New Roman" w:hAnsi="Times New Roman"/>
          <w:sz w:val="20"/>
          <w:lang w:val="en-GB" w:eastAsia="zh-CN"/>
        </w:rPr>
        <w:t xml:space="preserve">expected/able </w:t>
      </w:r>
      <w:r w:rsidR="00976070">
        <w:rPr>
          <w:rFonts w:ascii="Times New Roman" w:hAnsi="Times New Roman"/>
          <w:sz w:val="20"/>
          <w:lang w:val="en-GB" w:eastAsia="zh-CN"/>
        </w:rPr>
        <w:t xml:space="preserve">to </w:t>
      </w:r>
      <w:r w:rsidR="00181357">
        <w:rPr>
          <w:rFonts w:ascii="Times New Roman" w:hAnsi="Times New Roman"/>
          <w:sz w:val="20"/>
          <w:lang w:val="en-GB" w:eastAsia="zh-CN"/>
        </w:rPr>
        <w:t xml:space="preserve">otherwise </w:t>
      </w:r>
      <w:r w:rsidR="00976070">
        <w:rPr>
          <w:rFonts w:ascii="Times New Roman" w:hAnsi="Times New Roman"/>
          <w:sz w:val="20"/>
          <w:lang w:val="en-GB" w:eastAsia="zh-CN"/>
        </w:rPr>
        <w:t xml:space="preserve">meet using broadcast operation. From that sense, unicast traffic inherently corresponds to </w:t>
      </w:r>
      <w:r w:rsidR="00752D0F">
        <w:rPr>
          <w:rFonts w:ascii="Times New Roman" w:hAnsi="Times New Roman"/>
          <w:sz w:val="20"/>
          <w:lang w:val="en-GB" w:eastAsia="zh-CN"/>
        </w:rPr>
        <w:t xml:space="preserve">a </w:t>
      </w:r>
      <w:r w:rsidR="00976070">
        <w:rPr>
          <w:rFonts w:ascii="Times New Roman" w:hAnsi="Times New Roman"/>
          <w:sz w:val="20"/>
          <w:lang w:val="en-GB" w:eastAsia="zh-CN"/>
        </w:rPr>
        <w:t xml:space="preserve">higher overall “priority” than broadcast traffic (note that priority here does not refer to any specific QoS parameter but the general need for this traffic to be </w:t>
      </w:r>
      <w:r w:rsidR="002D2168">
        <w:rPr>
          <w:rFonts w:ascii="Times New Roman" w:hAnsi="Times New Roman"/>
          <w:sz w:val="20"/>
          <w:lang w:val="en-GB" w:eastAsia="zh-CN"/>
        </w:rPr>
        <w:t xml:space="preserve">dealt </w:t>
      </w:r>
      <w:r w:rsidR="00181357">
        <w:rPr>
          <w:rFonts w:ascii="Times New Roman" w:hAnsi="Times New Roman"/>
          <w:sz w:val="20"/>
          <w:lang w:val="en-GB" w:eastAsia="zh-CN"/>
        </w:rPr>
        <w:t xml:space="preserve">with a higher urgency </w:t>
      </w:r>
      <w:r w:rsidR="002D2168">
        <w:rPr>
          <w:rFonts w:ascii="Times New Roman" w:hAnsi="Times New Roman"/>
          <w:sz w:val="20"/>
          <w:lang w:val="en-GB" w:eastAsia="zh-CN"/>
        </w:rPr>
        <w:t xml:space="preserve">compared with broadcast traffic). </w:t>
      </w:r>
      <w:r w:rsidR="00752D0F">
        <w:rPr>
          <w:rFonts w:ascii="Times New Roman" w:hAnsi="Times New Roman"/>
          <w:sz w:val="20"/>
          <w:lang w:val="en-GB" w:eastAsia="zh-CN"/>
        </w:rPr>
        <w:t>In order to accomplish this</w:t>
      </w:r>
      <w:r w:rsidR="002D2168">
        <w:rPr>
          <w:rFonts w:ascii="Times New Roman" w:hAnsi="Times New Roman"/>
          <w:sz w:val="20"/>
          <w:lang w:val="en-GB" w:eastAsia="zh-CN"/>
        </w:rPr>
        <w:t>, the correspond</w:t>
      </w:r>
      <w:r w:rsidR="00181357">
        <w:rPr>
          <w:rFonts w:ascii="Times New Roman" w:hAnsi="Times New Roman"/>
          <w:sz w:val="20"/>
          <w:lang w:val="en-GB" w:eastAsia="zh-CN"/>
        </w:rPr>
        <w:t xml:space="preserve">ing set of rules </w:t>
      </w:r>
      <w:r w:rsidR="00752D0F">
        <w:rPr>
          <w:rFonts w:ascii="Times New Roman" w:hAnsi="Times New Roman"/>
          <w:sz w:val="20"/>
          <w:lang w:val="en-GB" w:eastAsia="zh-CN"/>
        </w:rPr>
        <w:t xml:space="preserve">as discussed earlier for mapping TX parameters to QoS and congestion </w:t>
      </w:r>
      <w:r w:rsidR="00181357">
        <w:rPr>
          <w:rFonts w:ascii="Times New Roman" w:hAnsi="Times New Roman"/>
          <w:sz w:val="20"/>
          <w:lang w:val="en-GB" w:eastAsia="zh-CN"/>
        </w:rPr>
        <w:t>(</w:t>
      </w:r>
      <w:r w:rsidR="00752D0F">
        <w:rPr>
          <w:rFonts w:ascii="Times New Roman" w:hAnsi="Times New Roman"/>
          <w:sz w:val="20"/>
          <w:lang w:val="en-GB" w:eastAsia="zh-CN"/>
        </w:rPr>
        <w:t>similar to</w:t>
      </w:r>
      <w:r w:rsidR="00181357">
        <w:rPr>
          <w:rFonts w:ascii="Times New Roman" w:hAnsi="Times New Roman"/>
          <w:sz w:val="20"/>
          <w:lang w:val="en-GB" w:eastAsia="zh-CN"/>
        </w:rPr>
        <w:t xml:space="preserve"> CBR-PPPP</w:t>
      </w:r>
      <w:r w:rsidR="002D2168">
        <w:rPr>
          <w:rFonts w:ascii="Times New Roman" w:hAnsi="Times New Roman"/>
          <w:sz w:val="20"/>
          <w:lang w:val="en-GB" w:eastAsia="zh-CN"/>
        </w:rPr>
        <w:t xml:space="preserve"> mapping</w:t>
      </w:r>
      <w:r w:rsidR="00752D0F">
        <w:rPr>
          <w:rFonts w:ascii="Times New Roman" w:hAnsi="Times New Roman"/>
          <w:sz w:val="20"/>
          <w:lang w:val="en-GB" w:eastAsia="zh-CN"/>
        </w:rPr>
        <w:t xml:space="preserve"> in LTE</w:t>
      </w:r>
      <w:r w:rsidR="00181357">
        <w:rPr>
          <w:rFonts w:ascii="Times New Roman" w:hAnsi="Times New Roman"/>
          <w:sz w:val="20"/>
          <w:lang w:val="en-GB" w:eastAsia="zh-CN"/>
        </w:rPr>
        <w:t>)</w:t>
      </w:r>
      <w:r w:rsidR="002D2168">
        <w:rPr>
          <w:rFonts w:ascii="Times New Roman" w:hAnsi="Times New Roman"/>
          <w:sz w:val="20"/>
          <w:lang w:val="en-GB" w:eastAsia="zh-CN"/>
        </w:rPr>
        <w:t xml:space="preserve"> for unicast traffic should in general be </w:t>
      </w:r>
      <w:r w:rsidR="00181357">
        <w:rPr>
          <w:rFonts w:ascii="Times New Roman" w:hAnsi="Times New Roman"/>
          <w:sz w:val="20"/>
          <w:lang w:val="en-GB" w:eastAsia="zh-CN"/>
        </w:rPr>
        <w:t xml:space="preserve">configured </w:t>
      </w:r>
      <w:r w:rsidR="002D2168">
        <w:rPr>
          <w:rFonts w:ascii="Times New Roman" w:hAnsi="Times New Roman"/>
          <w:sz w:val="20"/>
          <w:lang w:val="en-GB" w:eastAsia="zh-CN"/>
        </w:rPr>
        <w:t>different</w:t>
      </w:r>
      <w:r w:rsidR="0063286E">
        <w:rPr>
          <w:rFonts w:ascii="Times New Roman" w:hAnsi="Times New Roman"/>
          <w:sz w:val="20"/>
          <w:lang w:val="en-GB" w:eastAsia="zh-CN"/>
        </w:rPr>
        <w:t>ly</w:t>
      </w:r>
      <w:r w:rsidR="002D2168">
        <w:rPr>
          <w:rFonts w:ascii="Times New Roman" w:hAnsi="Times New Roman"/>
          <w:sz w:val="20"/>
          <w:lang w:val="en-GB" w:eastAsia="zh-CN"/>
        </w:rPr>
        <w:t xml:space="preserve"> from broadcast traffic.</w:t>
      </w:r>
      <w:r w:rsidR="00752D0F">
        <w:rPr>
          <w:rFonts w:ascii="Times New Roman" w:hAnsi="Times New Roman"/>
          <w:sz w:val="20"/>
          <w:lang w:val="en-GB" w:eastAsia="zh-CN"/>
        </w:rPr>
        <w:t xml:space="preserve"> For instance, for the same set of resources and a given congestion</w:t>
      </w:r>
      <w:r w:rsidR="00FD2574">
        <w:rPr>
          <w:rFonts w:ascii="Times New Roman" w:hAnsi="Times New Roman"/>
          <w:sz w:val="20"/>
          <w:lang w:val="en-GB" w:eastAsia="zh-CN"/>
        </w:rPr>
        <w:t xml:space="preserve"> level</w:t>
      </w:r>
      <w:r w:rsidR="00752D0F">
        <w:rPr>
          <w:rFonts w:ascii="Times New Roman" w:hAnsi="Times New Roman"/>
          <w:sz w:val="20"/>
          <w:lang w:val="en-GB" w:eastAsia="zh-CN"/>
        </w:rPr>
        <w:t xml:space="preserve">, TX parameters in case of unicast traffic can be configured </w:t>
      </w:r>
      <w:r w:rsidR="00F75027">
        <w:rPr>
          <w:rFonts w:ascii="Times New Roman" w:hAnsi="Times New Roman"/>
          <w:sz w:val="20"/>
          <w:lang w:val="en-GB" w:eastAsia="zh-CN"/>
        </w:rPr>
        <w:t>separately than that for broadcast</w:t>
      </w:r>
      <w:r w:rsidR="00FD2574">
        <w:rPr>
          <w:rFonts w:ascii="Times New Roman" w:hAnsi="Times New Roman"/>
          <w:sz w:val="20"/>
          <w:lang w:val="en-GB" w:eastAsia="zh-CN"/>
        </w:rPr>
        <w:t xml:space="preserve"> to ensure differential treatment</w:t>
      </w:r>
      <w:r w:rsidR="00F75027">
        <w:rPr>
          <w:rFonts w:ascii="Times New Roman" w:hAnsi="Times New Roman"/>
          <w:sz w:val="20"/>
          <w:lang w:val="en-GB" w:eastAsia="zh-CN"/>
        </w:rPr>
        <w:t xml:space="preserve">. </w:t>
      </w:r>
      <w:r w:rsidR="00752D0F">
        <w:rPr>
          <w:rFonts w:ascii="Times New Roman" w:hAnsi="Times New Roman"/>
          <w:sz w:val="20"/>
          <w:lang w:val="en-GB" w:eastAsia="zh-CN"/>
        </w:rPr>
        <w:t xml:space="preserve">  </w:t>
      </w:r>
    </w:p>
    <w:p w14:paraId="221A7E86" w14:textId="3BECD73D" w:rsidR="00443607" w:rsidRDefault="001C479B" w:rsidP="0044360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9374DF">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75027">
        <w:rPr>
          <w:rFonts w:ascii="Times New Roman" w:eastAsia="Times New Roman" w:hAnsi="Times New Roman"/>
          <w:bCs/>
          <w:i/>
          <w:sz w:val="20"/>
          <w:szCs w:val="20"/>
          <w:lang w:val="en-GB" w:eastAsia="zh-CN"/>
        </w:rPr>
        <w:t xml:space="preserve">For the case of common/shared resource pools, </w:t>
      </w:r>
      <w:r w:rsidR="002D2168">
        <w:rPr>
          <w:rFonts w:ascii="Times New Roman" w:eastAsia="Times New Roman" w:hAnsi="Times New Roman"/>
          <w:bCs/>
          <w:i/>
          <w:sz w:val="20"/>
          <w:szCs w:val="20"/>
          <w:lang w:val="en-GB" w:eastAsia="zh-CN"/>
        </w:rPr>
        <w:t xml:space="preserve">separate </w:t>
      </w:r>
      <w:r w:rsidR="00F75027">
        <w:rPr>
          <w:rFonts w:ascii="Times New Roman" w:eastAsia="Times New Roman" w:hAnsi="Times New Roman"/>
          <w:bCs/>
          <w:i/>
          <w:sz w:val="20"/>
          <w:szCs w:val="20"/>
          <w:lang w:val="en-GB" w:eastAsia="zh-CN"/>
        </w:rPr>
        <w:t>TX pool configuration shall</w:t>
      </w:r>
      <w:r w:rsidR="00FF2C09">
        <w:rPr>
          <w:rFonts w:ascii="Times New Roman" w:eastAsia="Times New Roman" w:hAnsi="Times New Roman"/>
          <w:bCs/>
          <w:i/>
          <w:sz w:val="20"/>
          <w:szCs w:val="20"/>
          <w:lang w:val="en-GB" w:eastAsia="zh-CN"/>
        </w:rPr>
        <w:t xml:space="preserve"> be applied for</w:t>
      </w:r>
      <w:r w:rsidR="002D2168">
        <w:rPr>
          <w:rFonts w:ascii="Times New Roman" w:eastAsia="Times New Roman" w:hAnsi="Times New Roman"/>
          <w:bCs/>
          <w:i/>
          <w:sz w:val="20"/>
          <w:szCs w:val="20"/>
          <w:lang w:val="en-GB" w:eastAsia="zh-CN"/>
        </w:rPr>
        <w:t xml:space="preserve"> unicast vs broadcast traffic </w:t>
      </w:r>
      <w:r w:rsidR="00F75027">
        <w:rPr>
          <w:rFonts w:ascii="Times New Roman" w:eastAsia="Times New Roman" w:hAnsi="Times New Roman"/>
          <w:bCs/>
          <w:i/>
          <w:sz w:val="20"/>
          <w:szCs w:val="20"/>
          <w:lang w:val="en-GB" w:eastAsia="zh-CN"/>
        </w:rPr>
        <w:t xml:space="preserve">(for the same TX pool) in </w:t>
      </w:r>
      <w:r w:rsidR="002D2168">
        <w:rPr>
          <w:rFonts w:ascii="Times New Roman" w:eastAsia="Times New Roman" w:hAnsi="Times New Roman"/>
          <w:bCs/>
          <w:i/>
          <w:sz w:val="20"/>
          <w:szCs w:val="20"/>
          <w:lang w:val="en-GB" w:eastAsia="zh-CN"/>
        </w:rPr>
        <w:t>mode 2 operation</w:t>
      </w:r>
      <w:r>
        <w:rPr>
          <w:rFonts w:ascii="Times New Roman" w:eastAsia="Times New Roman" w:hAnsi="Times New Roman"/>
          <w:bCs/>
          <w:i/>
          <w:sz w:val="20"/>
          <w:szCs w:val="20"/>
          <w:lang w:val="en-GB" w:eastAsia="zh-CN"/>
        </w:rPr>
        <w:t>.</w:t>
      </w:r>
    </w:p>
    <w:p w14:paraId="3A79EFF9" w14:textId="77777777" w:rsidR="00443607" w:rsidRPr="00443607" w:rsidRDefault="00443607" w:rsidP="00443607">
      <w:pPr>
        <w:rPr>
          <w:rFonts w:ascii="Times New Roman" w:eastAsia="Times New Roman" w:hAnsi="Times New Roman"/>
          <w:bCs/>
          <w:i/>
          <w:sz w:val="20"/>
          <w:szCs w:val="20"/>
          <w:lang w:val="en-GB" w:eastAsia="zh-CN"/>
        </w:rPr>
      </w:pPr>
    </w:p>
    <w:p w14:paraId="6D749EDD" w14:textId="6A9F4250" w:rsidR="00443607" w:rsidRPr="00100A13" w:rsidRDefault="00443607" w:rsidP="00443607">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System information design</w:t>
      </w:r>
    </w:p>
    <w:p w14:paraId="1FE9D39D" w14:textId="77777777" w:rsidR="00BC068A" w:rsidRDefault="00BC068A" w:rsidP="00BC068A">
      <w:pPr>
        <w:spacing w:line="240" w:lineRule="auto"/>
        <w:rPr>
          <w:rFonts w:ascii="Times New Roman" w:eastAsia="Times New Roman" w:hAnsi="Times New Roman"/>
          <w:bCs/>
          <w:sz w:val="20"/>
          <w:szCs w:val="20"/>
          <w:lang w:val="en-GB" w:eastAsia="zh-CN"/>
        </w:rPr>
      </w:pPr>
    </w:p>
    <w:p w14:paraId="03AB4B64" w14:textId="407ACAB2" w:rsidR="00480D6C" w:rsidRDefault="00BC068A" w:rsidP="00BC068A">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 related aspect to resource pool configuration for unicast, groupcast and broadcast for V2X is the impact on system information design in order to carry such configuration in a cell-specific manner. </w:t>
      </w:r>
      <w:r w:rsidR="00480D6C">
        <w:rPr>
          <w:rFonts w:ascii="Times New Roman" w:eastAsia="Times New Roman" w:hAnsi="Times New Roman"/>
          <w:bCs/>
          <w:sz w:val="20"/>
          <w:szCs w:val="20"/>
          <w:lang w:val="en-GB" w:eastAsia="zh-CN"/>
        </w:rPr>
        <w:t>The following agreement regarding SI design for NR V2X was made in the last RAN2 meeting</w:t>
      </w:r>
      <w:r w:rsidR="00EB2A11">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246569501"/>
          <w:citation/>
        </w:sdtPr>
        <w:sdtEndPr/>
        <w:sdtContent>
          <w:r w:rsidR="00EB2A11">
            <w:rPr>
              <w:rFonts w:ascii="Times New Roman" w:eastAsia="Times New Roman" w:hAnsi="Times New Roman"/>
              <w:bCs/>
              <w:sz w:val="20"/>
              <w:szCs w:val="20"/>
              <w:lang w:val="en-GB" w:eastAsia="zh-CN"/>
            </w:rPr>
            <w:fldChar w:fldCharType="begin"/>
          </w:r>
          <w:r w:rsidR="00EB2A11">
            <w:rPr>
              <w:rFonts w:ascii="Times New Roman" w:eastAsia="Times New Roman" w:hAnsi="Times New Roman"/>
              <w:bCs/>
              <w:sz w:val="20"/>
              <w:szCs w:val="20"/>
              <w:lang w:eastAsia="zh-CN"/>
            </w:rPr>
            <w:instrText xml:space="preserve"> CITATION RAN2104 \l 1033 </w:instrText>
          </w:r>
          <w:r w:rsidR="00EB2A11">
            <w:rPr>
              <w:rFonts w:ascii="Times New Roman" w:eastAsia="Times New Roman" w:hAnsi="Times New Roman"/>
              <w:bCs/>
              <w:sz w:val="20"/>
              <w:szCs w:val="20"/>
              <w:lang w:val="en-GB" w:eastAsia="zh-CN"/>
            </w:rPr>
            <w:fldChar w:fldCharType="separate"/>
          </w:r>
          <w:r w:rsidR="00EB2A11" w:rsidRPr="00EB2A11">
            <w:rPr>
              <w:rFonts w:ascii="Times New Roman" w:eastAsia="Times New Roman" w:hAnsi="Times New Roman"/>
              <w:noProof/>
              <w:sz w:val="20"/>
              <w:szCs w:val="20"/>
              <w:lang w:eastAsia="zh-CN"/>
            </w:rPr>
            <w:t>[4]</w:t>
          </w:r>
          <w:r w:rsidR="00EB2A11">
            <w:rPr>
              <w:rFonts w:ascii="Times New Roman" w:eastAsia="Times New Roman" w:hAnsi="Times New Roman"/>
              <w:bCs/>
              <w:sz w:val="20"/>
              <w:szCs w:val="20"/>
              <w:lang w:val="en-GB" w:eastAsia="zh-CN"/>
            </w:rPr>
            <w:fldChar w:fldCharType="end"/>
          </w:r>
        </w:sdtContent>
      </w:sdt>
      <w:r w:rsidR="00480D6C">
        <w:rPr>
          <w:rFonts w:ascii="Times New Roman" w:eastAsia="Times New Roman" w:hAnsi="Times New Roman"/>
          <w:bCs/>
          <w:sz w:val="20"/>
          <w:szCs w:val="20"/>
          <w:lang w:val="en-GB" w:eastAsia="zh-CN"/>
        </w:rPr>
        <w:t>:</w:t>
      </w:r>
    </w:p>
    <w:p w14:paraId="211D935C" w14:textId="77777777" w:rsidR="00480D6C" w:rsidRDefault="00480D6C" w:rsidP="009374DF">
      <w:pPr>
        <w:pBdr>
          <w:top w:val="single" w:sz="4" w:space="1" w:color="auto"/>
          <w:left w:val="single" w:sz="4" w:space="0" w:color="auto"/>
          <w:bottom w:val="single" w:sz="4" w:space="1" w:color="auto"/>
          <w:right w:val="single" w:sz="4" w:space="4" w:color="auto"/>
        </w:pBdr>
        <w:tabs>
          <w:tab w:val="left" w:pos="1622"/>
        </w:tabs>
        <w:ind w:left="363" w:hanging="363"/>
        <w:rPr>
          <w:noProof/>
        </w:rPr>
      </w:pPr>
      <w:r w:rsidRPr="00C21189">
        <w:t>2</w:t>
      </w:r>
      <w:r>
        <w:t>:</w:t>
      </w:r>
      <w:r w:rsidRPr="00C21189">
        <w:tab/>
      </w:r>
      <w:r>
        <w:rPr>
          <w:noProof/>
        </w:rPr>
        <w:t>As in LTE, V2X-specific SIB(s) is needed for NR V2X. It is FFS by RAN2 whether V2X-specific SI should be on-demand SI or not for a cell supporting V2X sidelink communication in NR.</w:t>
      </w:r>
    </w:p>
    <w:p w14:paraId="4DF8D126" w14:textId="77777777" w:rsidR="009374DF" w:rsidRDefault="009374DF" w:rsidP="00BC068A">
      <w:pPr>
        <w:rPr>
          <w:rFonts w:ascii="Times New Roman" w:eastAsia="Times New Roman" w:hAnsi="Times New Roman"/>
          <w:bCs/>
          <w:sz w:val="20"/>
          <w:szCs w:val="20"/>
          <w:lang w:val="en-GB" w:eastAsia="zh-CN"/>
        </w:rPr>
      </w:pPr>
    </w:p>
    <w:p w14:paraId="3AEA6FE2" w14:textId="7C0BF47C" w:rsidR="00BC068A" w:rsidRDefault="00BC068A" w:rsidP="00BC068A">
      <w:pPr>
        <w:rPr>
          <w:rFonts w:ascii="Times New Roman" w:eastAsia="Times New Roman" w:hAnsi="Times New Roman"/>
          <w:bCs/>
          <w:sz w:val="20"/>
          <w:szCs w:val="20"/>
          <w:lang w:val="en-GB" w:eastAsia="zh-CN"/>
        </w:rPr>
      </w:pPr>
      <w:r w:rsidRPr="00BC068A">
        <w:rPr>
          <w:rFonts w:ascii="Times New Roman" w:eastAsia="Times New Roman" w:hAnsi="Times New Roman"/>
          <w:bCs/>
          <w:sz w:val="20"/>
          <w:szCs w:val="20"/>
          <w:lang w:val="en-GB" w:eastAsia="zh-CN"/>
        </w:rPr>
        <w:t xml:space="preserve">In LTE, during Rel-15 work, new system information block (SIB) had to be defined to carry essential configuration from V2X since the pre-existing SIB21 was already quite bloated. Therefore, SIB26 was defined and contains </w:t>
      </w:r>
      <w:r w:rsidR="009374DF">
        <w:rPr>
          <w:rFonts w:ascii="Times New Roman" w:eastAsia="Times New Roman" w:hAnsi="Times New Roman"/>
          <w:bCs/>
          <w:sz w:val="20"/>
          <w:szCs w:val="20"/>
          <w:lang w:val="en-GB" w:eastAsia="zh-CN"/>
        </w:rPr>
        <w:t xml:space="preserve">further </w:t>
      </w:r>
      <w:r w:rsidRPr="00BC068A">
        <w:rPr>
          <w:rFonts w:ascii="Times New Roman" w:eastAsia="Times New Roman" w:hAnsi="Times New Roman"/>
          <w:bCs/>
          <w:sz w:val="20"/>
          <w:szCs w:val="20"/>
          <w:lang w:val="en-GB" w:eastAsia="zh-CN"/>
        </w:rPr>
        <w:t>V2X sidelink configurations, which are used jointly with those included in SIB21</w:t>
      </w:r>
      <w:r w:rsidR="00C13DB4">
        <w:rPr>
          <w:rFonts w:ascii="Times New Roman" w:eastAsia="Times New Roman" w:hAnsi="Times New Roman"/>
          <w:bCs/>
          <w:sz w:val="20"/>
          <w:szCs w:val="20"/>
          <w:lang w:val="en-GB" w:eastAsia="zh-CN"/>
        </w:rPr>
        <w:t>. For NR</w:t>
      </w:r>
      <w:r w:rsidRPr="00BC068A">
        <w:rPr>
          <w:rFonts w:ascii="Times New Roman" w:eastAsia="Times New Roman" w:hAnsi="Times New Roman"/>
          <w:bCs/>
          <w:sz w:val="20"/>
          <w:szCs w:val="20"/>
          <w:lang w:val="en-GB" w:eastAsia="zh-CN"/>
        </w:rPr>
        <w:t xml:space="preserve">, the same principle might be applicable, i.e. across future releases, considering the number of </w:t>
      </w:r>
      <w:r w:rsidR="00C13DB4">
        <w:rPr>
          <w:rFonts w:ascii="Times New Roman" w:eastAsia="Times New Roman" w:hAnsi="Times New Roman"/>
          <w:bCs/>
          <w:sz w:val="20"/>
          <w:szCs w:val="20"/>
          <w:lang w:val="en-GB" w:eastAsia="zh-CN"/>
        </w:rPr>
        <w:t xml:space="preserve">cast dependent </w:t>
      </w:r>
      <w:r w:rsidRPr="00BC068A">
        <w:rPr>
          <w:rFonts w:ascii="Times New Roman" w:eastAsia="Times New Roman" w:hAnsi="Times New Roman"/>
          <w:bCs/>
          <w:sz w:val="20"/>
          <w:szCs w:val="20"/>
          <w:lang w:val="en-GB" w:eastAsia="zh-CN"/>
        </w:rPr>
        <w:t>features and support of unicast, groupcast and broadcast operation over sidelink, it would be beneficial to have a modular design for system information blocks. While there can be different ways of accomplishing this, the most logical way is to consider dividing up the configuration information based on the cast type. As discussed above, t</w:t>
      </w:r>
      <w:r>
        <w:rPr>
          <w:rFonts w:ascii="Times New Roman" w:eastAsia="Times New Roman" w:hAnsi="Times New Roman"/>
          <w:bCs/>
          <w:sz w:val="20"/>
          <w:szCs w:val="20"/>
          <w:lang w:val="en-GB" w:eastAsia="zh-CN"/>
        </w:rPr>
        <w:t>he following can be considered:</w:t>
      </w:r>
    </w:p>
    <w:p w14:paraId="435BADD6" w14:textId="77777777" w:rsidR="00BC068A" w:rsidRPr="00BC068A" w:rsidRDefault="00BC068A" w:rsidP="00BC068A">
      <w:pPr>
        <w:pStyle w:val="ListParagraph"/>
        <w:numPr>
          <w:ilvl w:val="0"/>
          <w:numId w:val="34"/>
        </w:numPr>
        <w:rPr>
          <w:rFonts w:ascii="Times New Roman" w:eastAsia="Times New Roman" w:hAnsi="Times New Roman"/>
          <w:bCs/>
          <w:sz w:val="20"/>
          <w:szCs w:val="20"/>
          <w:lang w:val="en-GB" w:eastAsia="zh-CN"/>
        </w:rPr>
      </w:pPr>
      <w:r w:rsidRPr="00BC068A">
        <w:rPr>
          <w:rFonts w:ascii="Times New Roman" w:eastAsia="Times New Roman" w:hAnsi="Times New Roman"/>
          <w:bCs/>
          <w:sz w:val="20"/>
          <w:szCs w:val="20"/>
          <w:lang w:val="en-GB" w:eastAsia="zh-CN"/>
        </w:rPr>
        <w:t>A separate SIB containing configuration for V2X sidelink communication specifically using broadcast operation</w:t>
      </w:r>
    </w:p>
    <w:p w14:paraId="17D566E6" w14:textId="2F28D4C4" w:rsidR="00443607" w:rsidRDefault="00BC068A" w:rsidP="00BC068A">
      <w:pPr>
        <w:pStyle w:val="ListParagraph"/>
        <w:numPr>
          <w:ilvl w:val="0"/>
          <w:numId w:val="34"/>
        </w:numPr>
        <w:rPr>
          <w:rFonts w:ascii="Times New Roman" w:eastAsia="Times New Roman" w:hAnsi="Times New Roman"/>
          <w:bCs/>
          <w:sz w:val="20"/>
          <w:szCs w:val="20"/>
          <w:lang w:val="en-GB" w:eastAsia="zh-CN"/>
        </w:rPr>
      </w:pPr>
      <w:r w:rsidRPr="00BC068A">
        <w:rPr>
          <w:rFonts w:ascii="Times New Roman" w:eastAsia="Times New Roman" w:hAnsi="Times New Roman"/>
          <w:bCs/>
          <w:sz w:val="20"/>
          <w:szCs w:val="20"/>
          <w:lang w:val="en-GB" w:eastAsia="zh-CN"/>
        </w:rPr>
        <w:t>A separate SIB which contains configuration for V2X sidelink communication using unicast (and optionally groupcast) operation.</w:t>
      </w:r>
    </w:p>
    <w:p w14:paraId="2F93B2B4" w14:textId="074F4FC8" w:rsidR="00C13DB4" w:rsidRDefault="00C13DB4" w:rsidP="00C13DB4">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Note that this can be done independently of whether separate/dedicate resource pools are configured for unicast vs groupcast/broadcast. </w:t>
      </w:r>
      <w:r w:rsidR="00AE0020">
        <w:rPr>
          <w:rFonts w:ascii="Times New Roman" w:eastAsia="Times New Roman" w:hAnsi="Times New Roman"/>
          <w:bCs/>
          <w:sz w:val="20"/>
          <w:szCs w:val="20"/>
          <w:lang w:val="en-GB" w:eastAsia="zh-CN"/>
        </w:rPr>
        <w:t>For instance, i</w:t>
      </w:r>
      <w:r>
        <w:rPr>
          <w:rFonts w:ascii="Times New Roman" w:eastAsia="Times New Roman" w:hAnsi="Times New Roman"/>
          <w:bCs/>
          <w:sz w:val="20"/>
          <w:szCs w:val="20"/>
          <w:lang w:val="en-GB" w:eastAsia="zh-CN"/>
        </w:rPr>
        <w:t xml:space="preserve">n case of shared resource pools, the configuration itself, e.g. the TX parameter </w:t>
      </w:r>
      <w:r w:rsidR="00060D54">
        <w:rPr>
          <w:rFonts w:ascii="Times New Roman" w:eastAsia="Times New Roman" w:hAnsi="Times New Roman"/>
          <w:bCs/>
          <w:sz w:val="20"/>
          <w:szCs w:val="20"/>
          <w:lang w:val="en-GB" w:eastAsia="zh-CN"/>
        </w:rPr>
        <w:t>configuration</w:t>
      </w:r>
      <w:r w:rsidRPr="00C13DB4">
        <w:rPr>
          <w:rFonts w:ascii="Times New Roman" w:eastAsia="Times New Roman" w:hAnsi="Times New Roman"/>
          <w:bCs/>
          <w:sz w:val="20"/>
          <w:szCs w:val="20"/>
          <w:lang w:val="en-GB" w:eastAsia="zh-CN"/>
        </w:rPr>
        <w:t xml:space="preserve"> (e.g. MCS ranges, PRB number) and the dependence on channel congestion</w:t>
      </w:r>
      <w:r>
        <w:rPr>
          <w:rFonts w:ascii="Times New Roman" w:eastAsia="Times New Roman" w:hAnsi="Times New Roman"/>
          <w:bCs/>
          <w:sz w:val="20"/>
          <w:szCs w:val="20"/>
          <w:lang w:val="en-GB" w:eastAsia="zh-CN"/>
        </w:rPr>
        <w:t xml:space="preserve"> </w:t>
      </w:r>
      <w:r w:rsidR="00A871CB">
        <w:rPr>
          <w:rFonts w:ascii="Times New Roman" w:eastAsia="Times New Roman" w:hAnsi="Times New Roman"/>
          <w:bCs/>
          <w:sz w:val="20"/>
          <w:szCs w:val="20"/>
          <w:lang w:val="en-GB" w:eastAsia="zh-CN"/>
        </w:rPr>
        <w:t xml:space="preserve">for a given cast type can be configured independently in different </w:t>
      </w:r>
      <w:r w:rsidR="00AE0020">
        <w:rPr>
          <w:rFonts w:ascii="Times New Roman" w:eastAsia="Times New Roman" w:hAnsi="Times New Roman"/>
          <w:bCs/>
          <w:sz w:val="20"/>
          <w:szCs w:val="20"/>
          <w:lang w:val="en-GB" w:eastAsia="zh-CN"/>
        </w:rPr>
        <w:t>SIBs. T</w:t>
      </w:r>
      <w:r w:rsidR="00A871CB">
        <w:rPr>
          <w:rFonts w:ascii="Times New Roman" w:eastAsia="Times New Roman" w:hAnsi="Times New Roman"/>
          <w:bCs/>
          <w:sz w:val="20"/>
          <w:szCs w:val="20"/>
          <w:lang w:val="en-GB" w:eastAsia="zh-CN"/>
        </w:rPr>
        <w:t>he UE</w:t>
      </w:r>
      <w:r w:rsidR="00AE0020">
        <w:rPr>
          <w:rFonts w:ascii="Times New Roman" w:eastAsia="Times New Roman" w:hAnsi="Times New Roman"/>
          <w:bCs/>
          <w:sz w:val="20"/>
          <w:szCs w:val="20"/>
          <w:lang w:val="en-GB" w:eastAsia="zh-CN"/>
        </w:rPr>
        <w:t>,</w:t>
      </w:r>
      <w:r w:rsidR="00A871CB">
        <w:rPr>
          <w:rFonts w:ascii="Times New Roman" w:eastAsia="Times New Roman" w:hAnsi="Times New Roman"/>
          <w:bCs/>
          <w:sz w:val="20"/>
          <w:szCs w:val="20"/>
          <w:lang w:val="en-GB" w:eastAsia="zh-CN"/>
        </w:rPr>
        <w:t xml:space="preserve"> depending on whether it intends to perform unicast or broadcast transmission, can select the appropriate configuration by acquiring the relevant SIB. </w:t>
      </w:r>
      <w:r w:rsidR="00C54226">
        <w:rPr>
          <w:rFonts w:ascii="Times New Roman" w:eastAsia="Times New Roman" w:hAnsi="Times New Roman"/>
          <w:bCs/>
          <w:sz w:val="20"/>
          <w:szCs w:val="20"/>
          <w:lang w:val="en-GB" w:eastAsia="zh-CN"/>
        </w:rPr>
        <w:t>This cast</w:t>
      </w:r>
      <w:r w:rsidR="00937013">
        <w:rPr>
          <w:rFonts w:ascii="Times New Roman" w:eastAsia="Times New Roman" w:hAnsi="Times New Roman"/>
          <w:bCs/>
          <w:sz w:val="20"/>
          <w:szCs w:val="20"/>
          <w:lang w:val="en-GB" w:eastAsia="zh-CN"/>
        </w:rPr>
        <w:t>-</w:t>
      </w:r>
      <w:r w:rsidR="00C54226">
        <w:rPr>
          <w:rFonts w:ascii="Times New Roman" w:eastAsia="Times New Roman" w:hAnsi="Times New Roman"/>
          <w:bCs/>
          <w:sz w:val="20"/>
          <w:szCs w:val="20"/>
          <w:lang w:val="en-GB" w:eastAsia="zh-CN"/>
        </w:rPr>
        <w:t xml:space="preserve">dependent configuration has several advantages, including affording resource allocation/configuration flexibility to the gNB, usage of “delta” configuration for shared resource pools (where only the different configuration </w:t>
      </w:r>
      <w:r w:rsidR="00AE0020">
        <w:rPr>
          <w:rFonts w:ascii="Times New Roman" w:eastAsia="Times New Roman" w:hAnsi="Times New Roman"/>
          <w:bCs/>
          <w:sz w:val="20"/>
          <w:szCs w:val="20"/>
          <w:lang w:val="en-GB" w:eastAsia="zh-CN"/>
        </w:rPr>
        <w:t>needs to</w:t>
      </w:r>
      <w:r w:rsidR="00C54226">
        <w:rPr>
          <w:rFonts w:ascii="Times New Roman" w:eastAsia="Times New Roman" w:hAnsi="Times New Roman"/>
          <w:bCs/>
          <w:sz w:val="20"/>
          <w:szCs w:val="20"/>
          <w:lang w:val="en-GB" w:eastAsia="zh-CN"/>
        </w:rPr>
        <w:t xml:space="preserve"> be included in the other SIB), possibility of independent </w:t>
      </w:r>
      <w:r w:rsidR="00C54226" w:rsidRPr="00C54226">
        <w:rPr>
          <w:rFonts w:ascii="Times New Roman" w:eastAsia="Times New Roman" w:hAnsi="Times New Roman"/>
          <w:bCs/>
          <w:sz w:val="20"/>
          <w:szCs w:val="20"/>
          <w:lang w:val="en-GB" w:eastAsia="zh-CN"/>
        </w:rPr>
        <w:t xml:space="preserve">configuration for synchronization frequencies </w:t>
      </w:r>
      <w:r w:rsidR="00C54226">
        <w:rPr>
          <w:rFonts w:ascii="Times New Roman" w:eastAsia="Times New Roman" w:hAnsi="Times New Roman"/>
          <w:bCs/>
          <w:sz w:val="20"/>
          <w:szCs w:val="20"/>
          <w:lang w:val="en-GB" w:eastAsia="zh-CN"/>
        </w:rPr>
        <w:t>and</w:t>
      </w:r>
      <w:r w:rsidR="00C54226" w:rsidRPr="00C54226">
        <w:rPr>
          <w:rFonts w:ascii="Times New Roman" w:eastAsia="Times New Roman" w:hAnsi="Times New Roman"/>
          <w:bCs/>
          <w:sz w:val="20"/>
          <w:szCs w:val="20"/>
          <w:lang w:val="en-GB" w:eastAsia="zh-CN"/>
        </w:rPr>
        <w:t xml:space="preserve"> packet duplication for UEs in unicast and broadcast</w:t>
      </w:r>
      <w:r w:rsidR="00C54226">
        <w:rPr>
          <w:rFonts w:ascii="Times New Roman" w:eastAsia="Times New Roman" w:hAnsi="Times New Roman"/>
          <w:bCs/>
          <w:sz w:val="20"/>
          <w:szCs w:val="20"/>
          <w:lang w:val="en-GB" w:eastAsia="zh-CN"/>
        </w:rPr>
        <w:t xml:space="preserve">. </w:t>
      </w:r>
    </w:p>
    <w:p w14:paraId="7BFDE5A2" w14:textId="0800C8F8" w:rsidR="00C54226" w:rsidRDefault="00C54226" w:rsidP="00C13DB4">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Another important factor for defining separate SIBs for unicast vs broadcast traffic depends on the perceived availability of the broadcasted system information within a cell. O</w:t>
      </w:r>
      <w:r w:rsidRPr="00C54226">
        <w:rPr>
          <w:rFonts w:ascii="Times New Roman" w:eastAsia="Times New Roman" w:hAnsi="Times New Roman"/>
          <w:bCs/>
          <w:sz w:val="20"/>
          <w:szCs w:val="20"/>
          <w:lang w:val="en-GB" w:eastAsia="zh-CN"/>
        </w:rPr>
        <w:t>ne attractive feature in NR is the notion of on-demand SI, whereby instead of broadcasting all SIBs, the gNB only transmits certain SI</w:t>
      </w:r>
      <w:r>
        <w:rPr>
          <w:rFonts w:ascii="Times New Roman" w:eastAsia="Times New Roman" w:hAnsi="Times New Roman"/>
          <w:bCs/>
          <w:sz w:val="20"/>
          <w:szCs w:val="20"/>
          <w:lang w:val="en-GB" w:eastAsia="zh-CN"/>
        </w:rPr>
        <w:t>s</w:t>
      </w:r>
      <w:r w:rsidRPr="00C54226">
        <w:rPr>
          <w:rFonts w:ascii="Times New Roman" w:eastAsia="Times New Roman" w:hAnsi="Times New Roman"/>
          <w:bCs/>
          <w:sz w:val="20"/>
          <w:szCs w:val="20"/>
          <w:lang w:val="en-GB" w:eastAsia="zh-CN"/>
        </w:rPr>
        <w:t xml:space="preserve"> after reception of a SI request from a </w:t>
      </w:r>
      <w:r>
        <w:rPr>
          <w:rFonts w:ascii="Times New Roman" w:eastAsia="Times New Roman" w:hAnsi="Times New Roman"/>
          <w:bCs/>
          <w:sz w:val="20"/>
          <w:szCs w:val="20"/>
          <w:lang w:val="en-GB" w:eastAsia="zh-CN"/>
        </w:rPr>
        <w:t xml:space="preserve">particular </w:t>
      </w:r>
      <w:r w:rsidRPr="00C54226">
        <w:rPr>
          <w:rFonts w:ascii="Times New Roman" w:eastAsia="Times New Roman" w:hAnsi="Times New Roman"/>
          <w:bCs/>
          <w:sz w:val="20"/>
          <w:szCs w:val="20"/>
          <w:lang w:val="en-GB" w:eastAsia="zh-CN"/>
        </w:rPr>
        <w:t xml:space="preserve">UE. For </w:t>
      </w:r>
      <w:r>
        <w:rPr>
          <w:rFonts w:ascii="Times New Roman" w:eastAsia="Times New Roman" w:hAnsi="Times New Roman"/>
          <w:bCs/>
          <w:sz w:val="20"/>
          <w:szCs w:val="20"/>
          <w:lang w:val="en-GB" w:eastAsia="zh-CN"/>
        </w:rPr>
        <w:t>an IDLE mode UE</w:t>
      </w:r>
      <w:r w:rsidRPr="00C54226">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it </w:t>
      </w:r>
      <w:r w:rsidRPr="00C54226">
        <w:rPr>
          <w:rFonts w:ascii="Times New Roman" w:eastAsia="Times New Roman" w:hAnsi="Times New Roman"/>
          <w:bCs/>
          <w:sz w:val="20"/>
          <w:szCs w:val="20"/>
          <w:lang w:val="en-GB" w:eastAsia="zh-CN"/>
        </w:rPr>
        <w:t xml:space="preserve">can use specific RACH resource and/or preambles to send a request to the gNB, which </w:t>
      </w:r>
      <w:r>
        <w:rPr>
          <w:rFonts w:ascii="Times New Roman" w:eastAsia="Times New Roman" w:hAnsi="Times New Roman"/>
          <w:bCs/>
          <w:sz w:val="20"/>
          <w:szCs w:val="20"/>
          <w:lang w:val="en-GB" w:eastAsia="zh-CN"/>
        </w:rPr>
        <w:t xml:space="preserve">can </w:t>
      </w:r>
      <w:r w:rsidRPr="00C54226">
        <w:rPr>
          <w:rFonts w:ascii="Times New Roman" w:eastAsia="Times New Roman" w:hAnsi="Times New Roman"/>
          <w:bCs/>
          <w:sz w:val="20"/>
          <w:szCs w:val="20"/>
          <w:lang w:val="en-GB" w:eastAsia="zh-CN"/>
        </w:rPr>
        <w:t>th</w:t>
      </w:r>
      <w:r>
        <w:rPr>
          <w:rFonts w:ascii="Times New Roman" w:eastAsia="Times New Roman" w:hAnsi="Times New Roman"/>
          <w:bCs/>
          <w:sz w:val="20"/>
          <w:szCs w:val="20"/>
          <w:lang w:val="en-GB" w:eastAsia="zh-CN"/>
        </w:rPr>
        <w:t>en acknowledge and transmit</w:t>
      </w:r>
      <w:r w:rsidRPr="00C54226">
        <w:rPr>
          <w:rFonts w:ascii="Times New Roman" w:eastAsia="Times New Roman" w:hAnsi="Times New Roman"/>
          <w:bCs/>
          <w:sz w:val="20"/>
          <w:szCs w:val="20"/>
          <w:lang w:val="en-GB" w:eastAsia="zh-CN"/>
        </w:rPr>
        <w:t xml:space="preserve"> the requested SIB. This framework is already in place for NR and is ideally suited for the V2X case. Using the above method of divi</w:t>
      </w:r>
      <w:r>
        <w:rPr>
          <w:rFonts w:ascii="Times New Roman" w:eastAsia="Times New Roman" w:hAnsi="Times New Roman"/>
          <w:bCs/>
          <w:sz w:val="20"/>
          <w:szCs w:val="20"/>
          <w:lang w:val="en-GB" w:eastAsia="zh-CN"/>
        </w:rPr>
        <w:t>di</w:t>
      </w:r>
      <w:r w:rsidRPr="00C54226">
        <w:rPr>
          <w:rFonts w:ascii="Times New Roman" w:eastAsia="Times New Roman" w:hAnsi="Times New Roman"/>
          <w:bCs/>
          <w:sz w:val="20"/>
          <w:szCs w:val="20"/>
          <w:lang w:val="en-GB" w:eastAsia="zh-CN"/>
        </w:rPr>
        <w:t xml:space="preserve">ng system information for V2X configuration into </w:t>
      </w:r>
      <w:r>
        <w:rPr>
          <w:rFonts w:ascii="Times New Roman" w:eastAsia="Times New Roman" w:hAnsi="Times New Roman"/>
          <w:bCs/>
          <w:sz w:val="20"/>
          <w:szCs w:val="20"/>
          <w:lang w:val="en-GB" w:eastAsia="zh-CN"/>
        </w:rPr>
        <w:t xml:space="preserve">separate </w:t>
      </w:r>
      <w:r w:rsidRPr="00C54226">
        <w:rPr>
          <w:rFonts w:ascii="Times New Roman" w:eastAsia="Times New Roman" w:hAnsi="Times New Roman"/>
          <w:bCs/>
          <w:sz w:val="20"/>
          <w:szCs w:val="20"/>
          <w:lang w:val="en-GB" w:eastAsia="zh-CN"/>
        </w:rPr>
        <w:t xml:space="preserve">blocks for unicast and broadcast operation, the SIB containing configuration for unicast operation can be transmitted on demand (rather than always broadcast). This also reduces the signalling overhead at the gNB side and ultimately, it can choose whether to include this SIB in the list of SIBs to be indicated as on-demand in the </w:t>
      </w:r>
      <w:r w:rsidRPr="00060D54">
        <w:rPr>
          <w:rFonts w:ascii="Times New Roman" w:eastAsia="Times New Roman" w:hAnsi="Times New Roman"/>
          <w:bCs/>
          <w:i/>
          <w:sz w:val="20"/>
          <w:szCs w:val="20"/>
          <w:lang w:val="en-GB" w:eastAsia="zh-CN"/>
        </w:rPr>
        <w:t>SI-SchedulingInfo</w:t>
      </w:r>
      <w:r w:rsidRPr="00C54226">
        <w:rPr>
          <w:rFonts w:ascii="Times New Roman" w:eastAsia="Times New Roman" w:hAnsi="Times New Roman"/>
          <w:bCs/>
          <w:sz w:val="20"/>
          <w:szCs w:val="20"/>
          <w:lang w:val="en-GB" w:eastAsia="zh-CN"/>
        </w:rPr>
        <w:t xml:space="preserve"> IE</w:t>
      </w:r>
      <w:r w:rsidR="00060D54">
        <w:rPr>
          <w:rFonts w:ascii="Times New Roman" w:eastAsia="Times New Roman" w:hAnsi="Times New Roman"/>
          <w:bCs/>
          <w:sz w:val="20"/>
          <w:szCs w:val="20"/>
          <w:lang w:val="en-GB" w:eastAsia="zh-CN"/>
        </w:rPr>
        <w:t>.</w:t>
      </w:r>
    </w:p>
    <w:p w14:paraId="4A5D2F0D" w14:textId="080A0599" w:rsidR="00C54226" w:rsidRDefault="00C54226" w:rsidP="00C5422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9374DF">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shall consider defining separate SIBs to carry separate configuration applicable for unicast</w:t>
      </w:r>
      <w:r w:rsidR="00FF2C09">
        <w:rPr>
          <w:rFonts w:ascii="Times New Roman" w:eastAsia="Times New Roman" w:hAnsi="Times New Roman"/>
          <w:bCs/>
          <w:i/>
          <w:sz w:val="20"/>
          <w:szCs w:val="20"/>
          <w:lang w:val="en-GB" w:eastAsia="zh-CN"/>
        </w:rPr>
        <w:t xml:space="preserve"> vs </w:t>
      </w:r>
      <w:r>
        <w:rPr>
          <w:rFonts w:ascii="Times New Roman" w:eastAsia="Times New Roman" w:hAnsi="Times New Roman"/>
          <w:bCs/>
          <w:i/>
          <w:sz w:val="20"/>
          <w:szCs w:val="20"/>
          <w:lang w:val="en-GB" w:eastAsia="zh-CN"/>
        </w:rPr>
        <w:t>broadcast communication for NR V2X over sidelink.</w:t>
      </w:r>
    </w:p>
    <w:p w14:paraId="4336FAE7" w14:textId="6A171B63" w:rsidR="00C54226" w:rsidRPr="00C13DB4" w:rsidRDefault="00060D54" w:rsidP="003E250C">
      <w:pPr>
        <w:ind w:left="1170" w:hanging="1170"/>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w:t>
      </w:r>
      <w:r w:rsidR="009374DF">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AE0020">
        <w:rPr>
          <w:rFonts w:ascii="Times New Roman" w:eastAsia="Times New Roman" w:hAnsi="Times New Roman"/>
          <w:bCs/>
          <w:i/>
          <w:sz w:val="20"/>
          <w:szCs w:val="20"/>
          <w:lang w:val="en-GB" w:eastAsia="zh-CN"/>
        </w:rPr>
        <w:t>The use of o</w:t>
      </w:r>
      <w:r>
        <w:rPr>
          <w:rFonts w:ascii="Times New Roman" w:eastAsia="Times New Roman" w:hAnsi="Times New Roman"/>
          <w:bCs/>
          <w:i/>
          <w:sz w:val="20"/>
          <w:szCs w:val="20"/>
          <w:lang w:val="en-GB" w:eastAsia="zh-CN"/>
        </w:rPr>
        <w:t xml:space="preserve">n-demand SI </w:t>
      </w:r>
      <w:r w:rsidR="00AE0020">
        <w:rPr>
          <w:rFonts w:ascii="Times New Roman" w:eastAsia="Times New Roman" w:hAnsi="Times New Roman"/>
          <w:bCs/>
          <w:i/>
          <w:sz w:val="20"/>
          <w:szCs w:val="20"/>
          <w:lang w:val="en-GB" w:eastAsia="zh-CN"/>
        </w:rPr>
        <w:t>shall</w:t>
      </w:r>
      <w:r>
        <w:rPr>
          <w:rFonts w:ascii="Times New Roman" w:eastAsia="Times New Roman" w:hAnsi="Times New Roman"/>
          <w:bCs/>
          <w:i/>
          <w:sz w:val="20"/>
          <w:szCs w:val="20"/>
          <w:lang w:val="en-GB" w:eastAsia="zh-CN"/>
        </w:rPr>
        <w:t xml:space="preserve"> be </w:t>
      </w:r>
      <w:r w:rsidR="009374DF">
        <w:rPr>
          <w:rFonts w:ascii="Times New Roman" w:eastAsia="Times New Roman" w:hAnsi="Times New Roman"/>
          <w:bCs/>
          <w:i/>
          <w:sz w:val="20"/>
          <w:szCs w:val="20"/>
          <w:lang w:val="en-GB" w:eastAsia="zh-CN"/>
        </w:rPr>
        <w:t>supported</w:t>
      </w:r>
      <w:r w:rsidR="00AE0020">
        <w:rPr>
          <w:rFonts w:ascii="Times New Roman" w:eastAsia="Times New Roman" w:hAnsi="Times New Roman"/>
          <w:bCs/>
          <w:i/>
          <w:sz w:val="20"/>
          <w:szCs w:val="20"/>
          <w:lang w:val="en-GB" w:eastAsia="zh-CN"/>
        </w:rPr>
        <w:t xml:space="preserve"> </w:t>
      </w:r>
      <w:r>
        <w:rPr>
          <w:rFonts w:ascii="Times New Roman" w:eastAsia="Times New Roman" w:hAnsi="Times New Roman"/>
          <w:bCs/>
          <w:i/>
          <w:sz w:val="20"/>
          <w:szCs w:val="20"/>
          <w:lang w:val="en-GB" w:eastAsia="zh-CN"/>
        </w:rPr>
        <w:t>to carry delta configuration for NR V2X</w:t>
      </w:r>
      <w:r w:rsidR="00AE0020">
        <w:rPr>
          <w:rFonts w:ascii="Times New Roman" w:eastAsia="Times New Roman" w:hAnsi="Times New Roman"/>
          <w:bCs/>
          <w:i/>
          <w:sz w:val="20"/>
          <w:szCs w:val="20"/>
          <w:lang w:val="en-GB" w:eastAsia="zh-CN"/>
        </w:rPr>
        <w:t>, e.g. depending on cast type.</w:t>
      </w:r>
    </w:p>
    <w:p w14:paraId="50A28EC3" w14:textId="77777777" w:rsidR="008669B1" w:rsidRPr="00E0063E" w:rsidRDefault="008669B1" w:rsidP="008669B1">
      <w:pPr>
        <w:pStyle w:val="Tdoc"/>
      </w:pPr>
      <w:r w:rsidRPr="00E0063E">
        <w:t>Conclusion</w:t>
      </w:r>
    </w:p>
    <w:p w14:paraId="50A28EC4" w14:textId="09EC271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181357">
        <w:rPr>
          <w:rFonts w:ascii="Times New Roman" w:eastAsia="Times New Roman" w:hAnsi="Times New Roman"/>
          <w:bCs/>
          <w:sz w:val="20"/>
          <w:szCs w:val="20"/>
          <w:lang w:val="en-GB" w:eastAsia="zh-CN"/>
        </w:rPr>
        <w:t xml:space="preserve">resource allocation and configuration for both broadcast and unicast communication over sidelink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E25B532" w14:textId="77777777" w:rsidR="009374DF" w:rsidRPr="00F22C9F" w:rsidRDefault="009374DF" w:rsidP="009374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unicast operation, a suitable set of sidelink resources needs to be ensured in order to meet the stringent QoS requirements for advanced V2X use cases.</w:t>
      </w:r>
    </w:p>
    <w:p w14:paraId="5C070AAC" w14:textId="77777777" w:rsidR="00613A40" w:rsidRPr="006821CE" w:rsidRDefault="00613A40" w:rsidP="00613A4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shall discuss and confirm that the resource pool configuration for NR V2X sidelink shall be based on QoS information (such as PC5 5QI) and the congestion metric (as defined by RAN1), using the LTE resource pool configuration design as baseline.</w:t>
      </w:r>
    </w:p>
    <w:p w14:paraId="15314DA4" w14:textId="77777777" w:rsidR="00613A40" w:rsidRDefault="00613A40" w:rsidP="00613A4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Pending RAN1 input, the use of separate/dedicated sidelink resources for unicast (FFS groupcast) transmissions should be adopted for NR V2X.</w:t>
      </w:r>
    </w:p>
    <w:p w14:paraId="1F7C484C" w14:textId="77777777" w:rsidR="00613A40" w:rsidRDefault="00613A40" w:rsidP="00613A4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the case of common/shared resource pools, separate TX pool configuration shall be applied for unicast vs broadcast traffic (for the same TX pool) in mode 2 operation.</w:t>
      </w:r>
    </w:p>
    <w:p w14:paraId="7DEE5C87" w14:textId="77777777" w:rsidR="00613A40" w:rsidRDefault="00613A40" w:rsidP="00613A4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shall consider defining separate SIBs to carry separate configuration applicable for unicast vs broadcast communication for NR V2X over sidelink.</w:t>
      </w:r>
      <w:bookmarkStart w:id="1" w:name="_GoBack"/>
      <w:bookmarkEnd w:id="1"/>
    </w:p>
    <w:p w14:paraId="3C60ADD7" w14:textId="77777777" w:rsidR="00613A40" w:rsidRPr="00C13DB4" w:rsidRDefault="00613A40" w:rsidP="00613A40">
      <w:pPr>
        <w:ind w:left="1170" w:hanging="1170"/>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use of on-demand SI shall be supported to carry delta configuration for NR V2X, e.g. depending on cast type.</w:t>
      </w: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5A18A3CC" w14:textId="77777777" w:rsidR="00EB2A11" w:rsidRDefault="000A472B" w:rsidP="00EB2A11">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B2A11" w14:paraId="24312E49" w14:textId="77777777" w:rsidTr="00EB2A11">
            <w:trPr>
              <w:divId w:val="1131898881"/>
              <w:tblCellSpacing w:w="15" w:type="dxa"/>
            </w:trPr>
            <w:tc>
              <w:tcPr>
                <w:tcW w:w="50" w:type="pct"/>
                <w:hideMark/>
              </w:tcPr>
              <w:p w14:paraId="51F8A6C9" w14:textId="77777777" w:rsidR="00EB2A11" w:rsidRDefault="00EB2A11">
                <w:pPr>
                  <w:pStyle w:val="Bibliography"/>
                  <w:rPr>
                    <w:noProof/>
                    <w:sz w:val="24"/>
                    <w:szCs w:val="24"/>
                  </w:rPr>
                </w:pPr>
                <w:r>
                  <w:rPr>
                    <w:noProof/>
                  </w:rPr>
                  <w:t xml:space="preserve">[1] </w:t>
                </w:r>
              </w:p>
            </w:tc>
            <w:tc>
              <w:tcPr>
                <w:tcW w:w="0" w:type="auto"/>
                <w:hideMark/>
              </w:tcPr>
              <w:p w14:paraId="4B234C41" w14:textId="77777777" w:rsidR="00EB2A11" w:rsidRDefault="00EB2A11">
                <w:pPr>
                  <w:pStyle w:val="Bibliography"/>
                  <w:rPr>
                    <w:noProof/>
                  </w:rPr>
                </w:pPr>
                <w:r>
                  <w:rPr>
                    <w:noProof/>
                  </w:rPr>
                  <w:t xml:space="preserve">"R2-19xxxxx, Report of [104#59][NR/V2X] Resource allocation (LG)". </w:t>
                </w:r>
              </w:p>
            </w:tc>
          </w:tr>
          <w:tr w:rsidR="00EB2A11" w14:paraId="70603EDF" w14:textId="77777777" w:rsidTr="00EB2A11">
            <w:trPr>
              <w:divId w:val="1131898881"/>
              <w:tblCellSpacing w:w="15" w:type="dxa"/>
            </w:trPr>
            <w:tc>
              <w:tcPr>
                <w:tcW w:w="50" w:type="pct"/>
                <w:hideMark/>
              </w:tcPr>
              <w:p w14:paraId="0DC963BD" w14:textId="77777777" w:rsidR="00EB2A11" w:rsidRDefault="00EB2A11">
                <w:pPr>
                  <w:pStyle w:val="Bibliography"/>
                  <w:rPr>
                    <w:noProof/>
                  </w:rPr>
                </w:pPr>
                <w:r>
                  <w:rPr>
                    <w:noProof/>
                  </w:rPr>
                  <w:t xml:space="preserve">[2] </w:t>
                </w:r>
              </w:p>
            </w:tc>
            <w:tc>
              <w:tcPr>
                <w:tcW w:w="0" w:type="auto"/>
                <w:hideMark/>
              </w:tcPr>
              <w:p w14:paraId="02040C80" w14:textId="77777777" w:rsidR="00EB2A11" w:rsidRDefault="00EB2A11">
                <w:pPr>
                  <w:pStyle w:val="Bibliography"/>
                  <w:rPr>
                    <w:noProof/>
                  </w:rPr>
                </w:pPr>
                <w:r>
                  <w:rPr>
                    <w:noProof/>
                  </w:rPr>
                  <w:t xml:space="preserve">"TR 22.186, Enhancement of 3GPP support for V2X scenarios; Stage 1". </w:t>
                </w:r>
              </w:p>
            </w:tc>
          </w:tr>
          <w:tr w:rsidR="00EB2A11" w14:paraId="3090DC16" w14:textId="77777777" w:rsidTr="00EB2A11">
            <w:trPr>
              <w:divId w:val="1131898881"/>
              <w:tblCellSpacing w:w="15" w:type="dxa"/>
            </w:trPr>
            <w:tc>
              <w:tcPr>
                <w:tcW w:w="50" w:type="pct"/>
                <w:hideMark/>
              </w:tcPr>
              <w:p w14:paraId="3758EFF2" w14:textId="77777777" w:rsidR="00EB2A11" w:rsidRDefault="00EB2A11">
                <w:pPr>
                  <w:pStyle w:val="Bibliography"/>
                  <w:rPr>
                    <w:noProof/>
                  </w:rPr>
                </w:pPr>
                <w:r>
                  <w:rPr>
                    <w:noProof/>
                  </w:rPr>
                  <w:t xml:space="preserve">[3] </w:t>
                </w:r>
              </w:p>
            </w:tc>
            <w:tc>
              <w:tcPr>
                <w:tcW w:w="0" w:type="auto"/>
                <w:hideMark/>
              </w:tcPr>
              <w:p w14:paraId="69F9D5ED" w14:textId="77777777" w:rsidR="00EB2A11" w:rsidRDefault="00EB2A11">
                <w:pPr>
                  <w:pStyle w:val="Bibliography"/>
                  <w:rPr>
                    <w:noProof/>
                  </w:rPr>
                </w:pPr>
                <w:r>
                  <w:rPr>
                    <w:noProof/>
                  </w:rPr>
                  <w:t xml:space="preserve">"RAN1 AdHoc 1901, Chairman Notes". </w:t>
                </w:r>
              </w:p>
            </w:tc>
          </w:tr>
          <w:tr w:rsidR="00EB2A11" w14:paraId="00F2552B" w14:textId="77777777" w:rsidTr="00EB2A11">
            <w:trPr>
              <w:divId w:val="1131898881"/>
              <w:tblCellSpacing w:w="15" w:type="dxa"/>
            </w:trPr>
            <w:tc>
              <w:tcPr>
                <w:tcW w:w="50" w:type="pct"/>
                <w:hideMark/>
              </w:tcPr>
              <w:p w14:paraId="4057FC8D" w14:textId="77777777" w:rsidR="00EB2A11" w:rsidRDefault="00EB2A11">
                <w:pPr>
                  <w:pStyle w:val="Bibliography"/>
                  <w:rPr>
                    <w:noProof/>
                  </w:rPr>
                </w:pPr>
                <w:r>
                  <w:rPr>
                    <w:noProof/>
                  </w:rPr>
                  <w:t xml:space="preserve">[4] </w:t>
                </w:r>
              </w:p>
            </w:tc>
            <w:tc>
              <w:tcPr>
                <w:tcW w:w="0" w:type="auto"/>
                <w:hideMark/>
              </w:tcPr>
              <w:p w14:paraId="0A808EC8" w14:textId="77777777" w:rsidR="00EB2A11" w:rsidRDefault="00EB2A11">
                <w:pPr>
                  <w:pStyle w:val="Bibliography"/>
                  <w:rPr>
                    <w:noProof/>
                  </w:rPr>
                </w:pPr>
                <w:r>
                  <w:rPr>
                    <w:noProof/>
                  </w:rPr>
                  <w:t xml:space="preserve">"RAN2#104, Chairman Notes". </w:t>
                </w:r>
              </w:p>
            </w:tc>
          </w:tr>
        </w:tbl>
        <w:p w14:paraId="6BBA032C" w14:textId="77777777" w:rsidR="00EB2A11" w:rsidRDefault="00EB2A11" w:rsidP="00EB2A11">
          <w:pPr>
            <w:divId w:val="1131898881"/>
            <w:rPr>
              <w:rFonts w:eastAsia="Times New Roman"/>
              <w:noProof/>
            </w:rPr>
          </w:pPr>
        </w:p>
        <w:p w14:paraId="3B293168" w14:textId="42F460DC" w:rsidR="00E43B63" w:rsidRDefault="000A472B" w:rsidP="00EB2A11">
          <w:pPr>
            <w:divId w:val="1131898881"/>
            <w:rPr>
              <w:rFonts w:eastAsia="Times New Roman"/>
              <w:noProof/>
            </w:rPr>
          </w:pPr>
          <w:r>
            <w:rPr>
              <w:rFonts w:eastAsia="Times New Roman"/>
              <w:noProof/>
            </w:rPr>
            <w:fldChar w:fldCharType="end"/>
          </w:r>
        </w:p>
        <w:p w14:paraId="50A28EEF" w14:textId="41D9B9E6" w:rsidR="00E0063E" w:rsidRPr="00E43B63" w:rsidRDefault="00613A40" w:rsidP="00E43B63"/>
      </w:sdtContent>
    </w:sdt>
    <w:bookmarkEnd w:id="0"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A40">
      <w:rPr>
        <w:rFonts w:ascii="Arial" w:hAnsi="Arial" w:cs="Arial"/>
        <w:b/>
        <w:noProof/>
        <w:sz w:val="18"/>
        <w:szCs w:val="18"/>
      </w:rPr>
      <w:t>1</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0"/>
  </w:num>
  <w:num w:numId="3">
    <w:abstractNumId w:val="15"/>
  </w:num>
  <w:num w:numId="4">
    <w:abstractNumId w:val="14"/>
  </w:num>
  <w:num w:numId="5">
    <w:abstractNumId w:val="5"/>
    <w:lvlOverride w:ilvl="0">
      <w:startOverride w:val="1"/>
    </w:lvlOverride>
  </w:num>
  <w:num w:numId="6">
    <w:abstractNumId w:val="7"/>
    <w:lvlOverride w:ilvl="0">
      <w:startOverride w:val="2"/>
    </w:lvlOverride>
  </w:num>
  <w:num w:numId="7">
    <w:abstractNumId w:val="29"/>
  </w:num>
  <w:num w:numId="8">
    <w:abstractNumId w:val="11"/>
  </w:num>
  <w:num w:numId="9">
    <w:abstractNumId w:val="8"/>
  </w:num>
  <w:num w:numId="10">
    <w:abstractNumId w:val="24"/>
  </w:num>
  <w:num w:numId="11">
    <w:abstractNumId w:val="31"/>
  </w:num>
  <w:num w:numId="12">
    <w:abstractNumId w:val="6"/>
  </w:num>
  <w:num w:numId="13">
    <w:abstractNumId w:val="9"/>
  </w:num>
  <w:num w:numId="14">
    <w:abstractNumId w:val="3"/>
  </w:num>
  <w:num w:numId="15">
    <w:abstractNumId w:val="4"/>
  </w:num>
  <w:num w:numId="16">
    <w:abstractNumId w:val="13"/>
  </w:num>
  <w:num w:numId="17">
    <w:abstractNumId w:val="28"/>
  </w:num>
  <w:num w:numId="18">
    <w:abstractNumId w:val="12"/>
  </w:num>
  <w:num w:numId="19">
    <w:abstractNumId w:val="25"/>
  </w:num>
  <w:num w:numId="20">
    <w:abstractNumId w:val="2"/>
  </w:num>
  <w:num w:numId="21">
    <w:abstractNumId w:val="30"/>
  </w:num>
  <w:num w:numId="22">
    <w:abstractNumId w:val="1"/>
  </w:num>
  <w:num w:numId="23">
    <w:abstractNumId w:val="23"/>
  </w:num>
  <w:num w:numId="24">
    <w:abstractNumId w:val="33"/>
  </w:num>
  <w:num w:numId="25">
    <w:abstractNumId w:val="21"/>
  </w:num>
  <w:num w:numId="26">
    <w:abstractNumId w:val="18"/>
  </w:num>
  <w:num w:numId="27">
    <w:abstractNumId w:val="16"/>
  </w:num>
  <w:num w:numId="28">
    <w:abstractNumId w:val="32"/>
  </w:num>
  <w:num w:numId="29">
    <w:abstractNumId w:val="0"/>
  </w:num>
  <w:num w:numId="30">
    <w:abstractNumId w:val="10"/>
  </w:num>
  <w:num w:numId="31">
    <w:abstractNumId w:val="26"/>
  </w:num>
  <w:num w:numId="32">
    <w:abstractNumId w:val="17"/>
  </w:num>
  <w:num w:numId="33">
    <w:abstractNumId w:val="2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0D54"/>
    <w:rsid w:val="00061F84"/>
    <w:rsid w:val="000632AE"/>
    <w:rsid w:val="00066057"/>
    <w:rsid w:val="00071BD0"/>
    <w:rsid w:val="000760CC"/>
    <w:rsid w:val="0007638E"/>
    <w:rsid w:val="00077473"/>
    <w:rsid w:val="00081766"/>
    <w:rsid w:val="0008197A"/>
    <w:rsid w:val="00096596"/>
    <w:rsid w:val="000A09E6"/>
    <w:rsid w:val="000A13E8"/>
    <w:rsid w:val="000A472B"/>
    <w:rsid w:val="000A7E1C"/>
    <w:rsid w:val="000A7FE2"/>
    <w:rsid w:val="000E4761"/>
    <w:rsid w:val="000E493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71180"/>
    <w:rsid w:val="00175B7F"/>
    <w:rsid w:val="00175DCB"/>
    <w:rsid w:val="00181357"/>
    <w:rsid w:val="00195430"/>
    <w:rsid w:val="00197B45"/>
    <w:rsid w:val="001A793C"/>
    <w:rsid w:val="001B7098"/>
    <w:rsid w:val="001C137C"/>
    <w:rsid w:val="001C479B"/>
    <w:rsid w:val="001C6E8B"/>
    <w:rsid w:val="001D28A0"/>
    <w:rsid w:val="001D5499"/>
    <w:rsid w:val="001E221E"/>
    <w:rsid w:val="001E251D"/>
    <w:rsid w:val="001E54F9"/>
    <w:rsid w:val="001F03C4"/>
    <w:rsid w:val="001F221E"/>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E0020"/>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78E3"/>
    <w:rsid w:val="00C10CE1"/>
    <w:rsid w:val="00C13538"/>
    <w:rsid w:val="00C13DB4"/>
    <w:rsid w:val="00C16A65"/>
    <w:rsid w:val="00C27475"/>
    <w:rsid w:val="00C348A8"/>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2</b:RefOrder>
  </b:Source>
  <b:Source>
    <b:Tag>emailno59</b:Tag>
    <b:SourceType>ConferenceProceedings</b:SourceType>
    <b:Guid>{E5C51C51-AAB3-4EAB-978D-C68736FE7D7F}</b:Guid>
    <b:Title>R2-19xxxxx, Report of [104#59][NR/V2X] Resource allocation (LG)</b:Title>
    <b:RefOrder>1</b:RefOrder>
  </b:Source>
  <b:Source>
    <b:Tag>RAN1adhoc</b:Tag>
    <b:SourceType>ConferenceProceedings</b:SourceType>
    <b:Guid>{BAC3E448-D8B6-4115-9A6B-1532E99686CB}</b:Guid>
    <b:Title>RAN1 AdHoc 1901, Chairman Notes</b:Title>
    <b:RefOrder>3</b:RefOrder>
  </b:Source>
  <b:Source>
    <b:Tag>RAN2104</b:Tag>
    <b:SourceType>ConferenceProceedings</b:SourceType>
    <b:Guid>{0C98C561-2607-4720-8D02-343A57368AEB}</b:Guid>
    <b:Title>RAN2#104, Chairman Notes</b:Title>
    <b:RefOrder>4</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8DF1D23-8A41-4EEA-B21E-226D02D5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9371</TotalTime>
  <Pages>4</Pages>
  <Words>2064</Words>
  <Characters>11136</Characters>
  <Application>Microsoft Office Word</Application>
  <DocSecurity>0</DocSecurity>
  <Lines>156</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337</cp:revision>
  <dcterms:created xsi:type="dcterms:W3CDTF">2017-08-12T02:26:00Z</dcterms:created>
  <dcterms:modified xsi:type="dcterms:W3CDTF">2019-02-15T02:20:00Z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2019-02-15 02:20:26Z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