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508593" w14:textId="77777777" w:rsidR="00A03757" w:rsidRDefault="00A03757" w:rsidP="003F2C30">
      <w:pPr>
        <w:pStyle w:val="Header"/>
        <w:tabs>
          <w:tab w:val="right" w:pos="9639"/>
        </w:tabs>
        <w:rPr>
          <w:rFonts w:cstheme="minorBidi"/>
          <w:noProof w:val="0"/>
          <w:color w:val="auto"/>
          <w:kern w:val="0"/>
          <w:sz w:val="24"/>
          <w:szCs w:val="22"/>
          <w:lang w:val="en-US"/>
        </w:rPr>
      </w:pPr>
    </w:p>
    <w:p w14:paraId="6C2125A7" w14:textId="77777777" w:rsidR="00A03757" w:rsidRDefault="00A03757" w:rsidP="003F2C30">
      <w:pPr>
        <w:pStyle w:val="Header"/>
        <w:tabs>
          <w:tab w:val="right" w:pos="9639"/>
        </w:tabs>
        <w:rPr>
          <w:rFonts w:cstheme="minorBidi"/>
          <w:noProof w:val="0"/>
          <w:color w:val="auto"/>
          <w:kern w:val="0"/>
          <w:sz w:val="24"/>
          <w:szCs w:val="22"/>
          <w:lang w:val="en-US"/>
        </w:rPr>
      </w:pPr>
    </w:p>
    <w:p w14:paraId="4EAE5BEC" w14:textId="77777777" w:rsidR="00A03757" w:rsidRDefault="00A03757" w:rsidP="003F2C30">
      <w:pPr>
        <w:pStyle w:val="Header"/>
        <w:tabs>
          <w:tab w:val="right" w:pos="9639"/>
        </w:tabs>
        <w:rPr>
          <w:rFonts w:cstheme="minorBidi"/>
          <w:noProof w:val="0"/>
          <w:color w:val="auto"/>
          <w:kern w:val="0"/>
          <w:sz w:val="24"/>
          <w:szCs w:val="22"/>
          <w:lang w:val="en-US"/>
        </w:rPr>
      </w:pPr>
    </w:p>
    <w:p w14:paraId="2AFC4085" w14:textId="069E947D" w:rsidR="003F2C30" w:rsidRPr="003F2C30" w:rsidRDefault="003F2C30" w:rsidP="003F2C30">
      <w:pPr>
        <w:pStyle w:val="Header"/>
        <w:tabs>
          <w:tab w:val="right" w:pos="9639"/>
        </w:tabs>
        <w:rPr>
          <w:rFonts w:cstheme="minorBidi"/>
          <w:noProof w:val="0"/>
          <w:color w:val="auto"/>
          <w:kern w:val="0"/>
          <w:sz w:val="24"/>
          <w:szCs w:val="22"/>
          <w:lang w:val="en-US"/>
        </w:rPr>
      </w:pPr>
      <w:r w:rsidRPr="003F2C30">
        <w:rPr>
          <w:rFonts w:cstheme="minorBidi"/>
          <w:noProof w:val="0"/>
          <w:color w:val="auto"/>
          <w:kern w:val="0"/>
          <w:sz w:val="24"/>
          <w:szCs w:val="22"/>
          <w:lang w:val="en-US"/>
        </w:rPr>
        <w:t>3GPP TSG-RAN WG2 Meeting #105</w:t>
      </w:r>
      <w:r w:rsidRPr="003F2C30">
        <w:rPr>
          <w:rFonts w:cstheme="minorBidi"/>
          <w:noProof w:val="0"/>
          <w:color w:val="auto"/>
          <w:kern w:val="0"/>
          <w:sz w:val="24"/>
          <w:szCs w:val="22"/>
          <w:lang w:val="en-US"/>
        </w:rPr>
        <w:tab/>
      </w:r>
      <w:r w:rsidRPr="003F2C30">
        <w:rPr>
          <w:rFonts w:cstheme="minorBidi" w:hint="eastAsia"/>
          <w:noProof w:val="0"/>
          <w:color w:val="auto"/>
          <w:kern w:val="0"/>
          <w:sz w:val="24"/>
          <w:szCs w:val="22"/>
          <w:lang w:val="en-US"/>
        </w:rPr>
        <w:t>R</w:t>
      </w:r>
      <w:r w:rsidRPr="003F2C30">
        <w:rPr>
          <w:rFonts w:cstheme="minorBidi"/>
          <w:noProof w:val="0"/>
          <w:color w:val="auto"/>
          <w:kern w:val="0"/>
          <w:sz w:val="24"/>
          <w:szCs w:val="22"/>
          <w:lang w:val="en-US"/>
        </w:rPr>
        <w:t>2</w:t>
      </w:r>
      <w:r w:rsidRPr="003F2C30">
        <w:rPr>
          <w:rFonts w:cstheme="minorBidi" w:hint="eastAsia"/>
          <w:noProof w:val="0"/>
          <w:color w:val="auto"/>
          <w:kern w:val="0"/>
          <w:sz w:val="24"/>
          <w:szCs w:val="22"/>
          <w:lang w:val="en-US"/>
        </w:rPr>
        <w:t>-</w:t>
      </w:r>
      <w:r w:rsidRPr="003F2C30">
        <w:rPr>
          <w:rFonts w:cstheme="minorBidi"/>
          <w:noProof w:val="0"/>
          <w:color w:val="auto"/>
          <w:kern w:val="0"/>
          <w:sz w:val="24"/>
          <w:szCs w:val="22"/>
          <w:lang w:val="en-US"/>
        </w:rPr>
        <w:t>19</w:t>
      </w:r>
      <w:r w:rsidR="00172C08">
        <w:rPr>
          <w:rFonts w:cstheme="minorBidi"/>
          <w:noProof w:val="0"/>
          <w:color w:val="auto"/>
          <w:kern w:val="0"/>
          <w:sz w:val="24"/>
          <w:szCs w:val="22"/>
          <w:lang w:val="en-US"/>
        </w:rPr>
        <w:t>00771</w:t>
      </w:r>
    </w:p>
    <w:p w14:paraId="2A43EF6E" w14:textId="77777777" w:rsidR="003F2C30" w:rsidRPr="003F2C30" w:rsidRDefault="003F2C30" w:rsidP="003F2C30">
      <w:pPr>
        <w:pStyle w:val="Header"/>
        <w:tabs>
          <w:tab w:val="right" w:pos="9639"/>
        </w:tabs>
        <w:rPr>
          <w:rFonts w:cstheme="minorBidi"/>
          <w:noProof w:val="0"/>
          <w:color w:val="auto"/>
          <w:kern w:val="0"/>
          <w:sz w:val="24"/>
          <w:szCs w:val="22"/>
          <w:lang w:val="en-US"/>
        </w:rPr>
      </w:pPr>
      <w:r w:rsidRPr="003F2C30">
        <w:rPr>
          <w:rFonts w:cstheme="minorBidi"/>
          <w:noProof w:val="0"/>
          <w:color w:val="auto"/>
          <w:kern w:val="0"/>
          <w:sz w:val="24"/>
          <w:szCs w:val="22"/>
          <w:lang w:val="en-US"/>
        </w:rPr>
        <w:t>Athens, Greece, 25 Feb - 01 Mar 2019</w:t>
      </w:r>
      <w:r w:rsidRPr="003F2C30">
        <w:rPr>
          <w:rFonts w:cstheme="minorBidi"/>
          <w:noProof w:val="0"/>
          <w:color w:val="auto"/>
          <w:kern w:val="0"/>
          <w:sz w:val="24"/>
          <w:szCs w:val="22"/>
          <w:lang w:val="en-US"/>
        </w:rPr>
        <w:tab/>
      </w:r>
    </w:p>
    <w:p w14:paraId="28794178" w14:textId="77777777" w:rsidR="003F2C30" w:rsidRDefault="003F2C30" w:rsidP="007E1DEE">
      <w:pPr>
        <w:rPr>
          <w:rFonts w:ascii="Arial" w:hAnsi="Arial"/>
          <w:b/>
          <w:sz w:val="24"/>
          <w:lang w:val="en-US"/>
        </w:rPr>
      </w:pPr>
    </w:p>
    <w:p w14:paraId="2AE6D985" w14:textId="513B67F6"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CC3E27">
        <w:rPr>
          <w:rFonts w:ascii="Arial" w:hAnsi="Arial"/>
          <w:b/>
          <w:sz w:val="24"/>
          <w:lang w:val="en-US" w:eastAsia="zh-CN"/>
        </w:rPr>
        <w:t>11.10.3</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4315458D" w:rsidR="007E1DEE" w:rsidRDefault="007E1DEE" w:rsidP="00042FC3">
      <w:pPr>
        <w:tabs>
          <w:tab w:val="left" w:pos="1985"/>
        </w:tabs>
        <w:spacing w:afterLines="100" w:after="240"/>
        <w:ind w:left="2160" w:hanging="216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225B31">
        <w:rPr>
          <w:rFonts w:ascii="Arial" w:hAnsi="Arial"/>
          <w:b/>
          <w:sz w:val="24"/>
          <w:lang w:val="en-US"/>
        </w:rPr>
        <w:t xml:space="preserve">Discussion on </w:t>
      </w:r>
      <w:r w:rsidR="006A4CE6">
        <w:rPr>
          <w:rFonts w:ascii="Arial" w:hAnsi="Arial"/>
          <w:b/>
          <w:sz w:val="24"/>
          <w:lang w:val="en-US"/>
        </w:rPr>
        <w:t xml:space="preserve">RAN2 </w:t>
      </w:r>
      <w:r w:rsidR="003F2C30">
        <w:rPr>
          <w:rFonts w:ascii="Arial" w:hAnsi="Arial"/>
          <w:b/>
          <w:sz w:val="24"/>
          <w:lang w:val="en-US"/>
        </w:rPr>
        <w:t xml:space="preserve">scoping </w:t>
      </w:r>
      <w:r w:rsidR="006A4CE6">
        <w:rPr>
          <w:rFonts w:ascii="Arial" w:hAnsi="Arial"/>
          <w:b/>
          <w:sz w:val="24"/>
          <w:lang w:val="en-US"/>
        </w:rPr>
        <w:t xml:space="preserve">of </w:t>
      </w:r>
      <w:r w:rsidR="003F2C30">
        <w:rPr>
          <w:rFonts w:ascii="Arial" w:hAnsi="Arial"/>
          <w:b/>
          <w:sz w:val="24"/>
          <w:lang w:val="en-US"/>
        </w:rPr>
        <w:t>the DC/CA enhancements for NR and MR-DC</w:t>
      </w:r>
    </w:p>
    <w:p w14:paraId="4B266358" w14:textId="589A2F77" w:rsidR="003F2C30" w:rsidRPr="00B266B0" w:rsidRDefault="003F2C30" w:rsidP="003F2C3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Pr>
          <w:rFonts w:ascii="Arial" w:hAnsi="Arial" w:cs="Arial"/>
          <w:b/>
          <w:bCs/>
          <w:sz w:val="24"/>
        </w:rPr>
        <w:tab/>
      </w:r>
      <w:r w:rsidRPr="003F2C30">
        <w:rPr>
          <w:rFonts w:ascii="Arial" w:hAnsi="Arial" w:cs="Arial"/>
          <w:b/>
          <w:bCs/>
          <w:sz w:val="24"/>
        </w:rPr>
        <w:t>NR_DCCA_Enh</w:t>
      </w:r>
      <w:r w:rsidRPr="00112F1A">
        <w:rPr>
          <w:rFonts w:ascii="Arial" w:hAnsi="Arial" w:cs="Arial"/>
          <w:b/>
          <w:bCs/>
          <w:sz w:val="24"/>
        </w:rPr>
        <w:t xml:space="preserve"> </w:t>
      </w:r>
      <w:r>
        <w:rPr>
          <w:rFonts w:ascii="Arial" w:hAnsi="Arial" w:cs="Arial"/>
          <w:b/>
          <w:bCs/>
          <w:sz w:val="24"/>
        </w:rPr>
        <w:t>- Release 16</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179101C9" w14:textId="4A460B06" w:rsidR="00D047FA" w:rsidRDefault="001F017F" w:rsidP="00FD0302">
      <w:r>
        <w:t xml:space="preserve">In </w:t>
      </w:r>
      <w:r w:rsidR="00BD63B0">
        <w:t>RAN#80</w:t>
      </w:r>
      <w:r w:rsidR="0085779B">
        <w:t xml:space="preserve"> </w:t>
      </w:r>
      <w:r w:rsidR="00BD63B0">
        <w:t xml:space="preserve">the WI on DC and CA enhancements was agreed in [1] with RAN2 as the primary responsible workgroup. </w:t>
      </w:r>
      <w:r w:rsidR="00D047FA">
        <w:t xml:space="preserve">This documents </w:t>
      </w:r>
      <w:r w:rsidR="002C10AA">
        <w:t xml:space="preserve">analyses and </w:t>
      </w:r>
      <w:r w:rsidR="00D047FA">
        <w:t xml:space="preserve">discusses </w:t>
      </w:r>
      <w:r w:rsidR="002C10AA">
        <w:t xml:space="preserve">the impact from some of </w:t>
      </w:r>
      <w:r w:rsidR="00D047FA">
        <w:t>the objectives of the WI and proposes the initial steps in categorizing the work-item that sets the stage for stage-2/stage-3 work in this area.</w:t>
      </w:r>
    </w:p>
    <w:p w14:paraId="4CF5DB91" w14:textId="65F2D752" w:rsidR="00D8251D" w:rsidRDefault="00D047FA" w:rsidP="00D8251D">
      <w:pPr>
        <w:pStyle w:val="Heading1"/>
      </w:pPr>
      <w:r>
        <w:t>WI objective</w:t>
      </w:r>
      <w:r w:rsidR="00D8251D">
        <w:t>s</w:t>
      </w:r>
    </w:p>
    <w:p w14:paraId="14344E3D" w14:textId="3AA36B44" w:rsidR="00D047FA" w:rsidRDefault="00D047FA" w:rsidP="00D8251D">
      <w:r>
        <w:t>.</w:t>
      </w:r>
    </w:p>
    <w:p w14:paraId="3AAEFA5F" w14:textId="77777777" w:rsidR="003877F9" w:rsidRDefault="003877F9" w:rsidP="003877F9">
      <w:pPr>
        <w:numPr>
          <w:ilvl w:val="0"/>
          <w:numId w:val="13"/>
        </w:numPr>
        <w:overflowPunct w:val="0"/>
        <w:autoSpaceDE w:val="0"/>
        <w:autoSpaceDN w:val="0"/>
        <w:adjustRightInd w:val="0"/>
        <w:spacing w:after="0" w:line="240" w:lineRule="auto"/>
        <w:jc w:val="both"/>
        <w:textAlignment w:val="baseline"/>
        <w:rPr>
          <w:bCs/>
          <w:lang w:val="en-US"/>
        </w:rPr>
      </w:pPr>
      <w:bookmarkStart w:id="2" w:name="_Hlk516787901"/>
      <w:r w:rsidRPr="005B237C">
        <w:rPr>
          <w:b/>
          <w:bCs/>
          <w:lang w:val="en-US"/>
        </w:rPr>
        <w:t xml:space="preserve">Support of asynchronous and synchronous NR-NR Dual Connectivity </w:t>
      </w:r>
      <w:r>
        <w:rPr>
          <w:bCs/>
          <w:lang w:val="en-US"/>
        </w:rPr>
        <w:t>[RAN1, RAN2, RAN4]</w:t>
      </w:r>
    </w:p>
    <w:bookmarkEnd w:id="2"/>
    <w:p w14:paraId="4A86F4C0" w14:textId="4A15192F" w:rsidR="003877F9" w:rsidRPr="004D2E54" w:rsidRDefault="003877F9" w:rsidP="00EE4D82">
      <w:pPr>
        <w:numPr>
          <w:ilvl w:val="0"/>
          <w:numId w:val="13"/>
        </w:numPr>
        <w:overflowPunct w:val="0"/>
        <w:autoSpaceDE w:val="0"/>
        <w:autoSpaceDN w:val="0"/>
        <w:adjustRightInd w:val="0"/>
        <w:spacing w:after="0" w:line="240" w:lineRule="auto"/>
        <w:jc w:val="both"/>
        <w:textAlignment w:val="baseline"/>
        <w:rPr>
          <w:bCs/>
          <w:lang w:val="en-US"/>
        </w:rPr>
      </w:pPr>
      <w:r>
        <w:rPr>
          <w:b/>
          <w:bCs/>
          <w:lang w:val="en-US"/>
        </w:rPr>
        <w:t xml:space="preserve">Early </w:t>
      </w:r>
      <w:r w:rsidRPr="004D2E54">
        <w:rPr>
          <w:b/>
          <w:bCs/>
          <w:lang w:val="en-US"/>
        </w:rPr>
        <w:t>Measurement reporting</w:t>
      </w:r>
    </w:p>
    <w:p w14:paraId="3E6E9EF2" w14:textId="2673EF46" w:rsidR="003877F9" w:rsidRPr="00CA2E4C" w:rsidRDefault="003877F9" w:rsidP="00EE4D82">
      <w:pPr>
        <w:numPr>
          <w:ilvl w:val="0"/>
          <w:numId w:val="13"/>
        </w:numPr>
        <w:overflowPunct w:val="0"/>
        <w:autoSpaceDE w:val="0"/>
        <w:autoSpaceDN w:val="0"/>
        <w:adjustRightInd w:val="0"/>
        <w:spacing w:after="0" w:line="240" w:lineRule="auto"/>
        <w:jc w:val="both"/>
        <w:textAlignment w:val="baseline"/>
        <w:rPr>
          <w:bCs/>
          <w:lang w:val="en-US"/>
        </w:rPr>
      </w:pPr>
      <w:r w:rsidRPr="004D2E54">
        <w:rPr>
          <w:b/>
          <w:bCs/>
          <w:lang w:val="en-US"/>
        </w:rPr>
        <w:t>Efficient and low latency serving cell configuration/activation/setup</w:t>
      </w:r>
    </w:p>
    <w:p w14:paraId="67581F20" w14:textId="34B67276" w:rsidR="003877F9" w:rsidRPr="00EE4D82" w:rsidRDefault="00EE4D82" w:rsidP="00EE4D82">
      <w:pPr>
        <w:numPr>
          <w:ilvl w:val="0"/>
          <w:numId w:val="13"/>
        </w:numPr>
        <w:overflowPunct w:val="0"/>
        <w:autoSpaceDE w:val="0"/>
        <w:autoSpaceDN w:val="0"/>
        <w:adjustRightInd w:val="0"/>
        <w:spacing w:after="0" w:line="240" w:lineRule="auto"/>
        <w:jc w:val="both"/>
        <w:textAlignment w:val="baseline"/>
      </w:pPr>
      <w:r>
        <w:rPr>
          <w:b/>
          <w:lang w:val="en-US"/>
        </w:rPr>
        <w:t>Fast recovery</w:t>
      </w:r>
    </w:p>
    <w:p w14:paraId="409524ED" w14:textId="77777777" w:rsidR="00EE4D82" w:rsidRDefault="00EE4D82" w:rsidP="00EE4D82">
      <w:pPr>
        <w:overflowPunct w:val="0"/>
        <w:autoSpaceDE w:val="0"/>
        <w:autoSpaceDN w:val="0"/>
        <w:adjustRightInd w:val="0"/>
        <w:spacing w:after="0" w:line="240" w:lineRule="auto"/>
        <w:ind w:left="720"/>
        <w:jc w:val="both"/>
        <w:textAlignment w:val="baseline"/>
      </w:pPr>
    </w:p>
    <w:p w14:paraId="162C97D6" w14:textId="2A56D517" w:rsidR="00B25DC8" w:rsidRDefault="00B40D3D" w:rsidP="00D8251D">
      <w:r>
        <w:t xml:space="preserve">For </w:t>
      </w:r>
      <w:r w:rsidR="00B25DC8">
        <w:t xml:space="preserve">objectives </w:t>
      </w:r>
      <w:r>
        <w:t xml:space="preserve">#2 and #3, </w:t>
      </w:r>
      <w:r w:rsidR="00B25DC8">
        <w:t>if we were to use the</w:t>
      </w:r>
      <w:r>
        <w:t xml:space="preserve"> LTE release-15 euCA </w:t>
      </w:r>
      <w:r w:rsidR="00B25DC8">
        <w:t xml:space="preserve">as the starting point, it is important to </w:t>
      </w:r>
      <w:r w:rsidR="00EE4D82">
        <w:t xml:space="preserve">assess the similarities and </w:t>
      </w:r>
      <w:r w:rsidR="00B25DC8">
        <w:t>differences in conditions that exist between the LTE CA scenario and the NR CA/MR-DC scenarios that the WI addresses.</w:t>
      </w:r>
    </w:p>
    <w:p w14:paraId="240C15C2" w14:textId="77777777" w:rsidR="00AB3735" w:rsidRDefault="00AB3735" w:rsidP="00280722"/>
    <w:p w14:paraId="65DCCB86" w14:textId="1553B0E8" w:rsidR="00AB3735" w:rsidRDefault="00911D8B" w:rsidP="00AB3735">
      <w:pPr>
        <w:pStyle w:val="Heading1"/>
      </w:pPr>
      <w:r>
        <w:t>RAN2 work-scope of CA/DC enhancements with NR</w:t>
      </w:r>
    </w:p>
    <w:p w14:paraId="7EAB77BC" w14:textId="77777777" w:rsidR="00AB3735" w:rsidRDefault="00AB3735" w:rsidP="00280722"/>
    <w:p w14:paraId="6370728D" w14:textId="1D94203F" w:rsidR="00AB3735" w:rsidRDefault="00AB3735" w:rsidP="00AB3735">
      <w:pPr>
        <w:pStyle w:val="Heading2"/>
      </w:pPr>
      <w:r>
        <w:t xml:space="preserve">Idle mode </w:t>
      </w:r>
      <w:r w:rsidR="00226D6E">
        <w:t xml:space="preserve">measurement </w:t>
      </w:r>
      <w:r>
        <w:t>related activities</w:t>
      </w:r>
      <w:r w:rsidR="00A43F61">
        <w:t xml:space="preserve"> for NR CA</w:t>
      </w:r>
    </w:p>
    <w:p w14:paraId="4E54EE37" w14:textId="0CABE863" w:rsidR="00A43F61" w:rsidRDefault="00A43F61" w:rsidP="00A43F61">
      <w:r>
        <w:t>The concepts of mobility in NR idle mode are pretty similar to that in LTE.  So is the deployment of NR cells (including small cells with mm-wave).  In this perspective, we think that the LTE euCA enhancements for idle mode measurements can be re-used for the most part, with NR and MR-DC specific enhancements and exclusions.</w:t>
      </w:r>
      <w:r w:rsidR="00BB36BF">
        <w:t xml:space="preserve"> Figure 1 below provides more details on the LTE euCA and NR similarities.</w:t>
      </w:r>
    </w:p>
    <w:tbl>
      <w:tblPr>
        <w:tblStyle w:val="TableGrid"/>
        <w:tblW w:w="0" w:type="auto"/>
        <w:tblLook w:val="04A0" w:firstRow="1" w:lastRow="0" w:firstColumn="1" w:lastColumn="0" w:noHBand="0" w:noVBand="1"/>
      </w:tblPr>
      <w:tblGrid>
        <w:gridCol w:w="9016"/>
      </w:tblGrid>
      <w:tr w:rsidR="00BB36BF" w14:paraId="4ADB9DB5" w14:textId="77777777" w:rsidTr="00BB36BF">
        <w:trPr>
          <w:trHeight w:val="2899"/>
        </w:trPr>
        <w:tc>
          <w:tcPr>
            <w:tcW w:w="8912" w:type="dxa"/>
          </w:tcPr>
          <w:p w14:paraId="6E18DCCD" w14:textId="5ECEFCDF" w:rsidR="00BB36BF" w:rsidRDefault="00BB36BF" w:rsidP="00A43F61">
            <w:r>
              <w:object w:dxaOrig="9031" w:dyaOrig="9406" w14:anchorId="0D7E6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469.45pt" o:ole="">
                  <v:imagedata r:id="rId12" o:title=""/>
                </v:shape>
                <o:OLEObject Type="Embed" ProgID="Visio.Drawing.15" ShapeID="_x0000_i1025" DrawAspect="Content" ObjectID="_1611674487" r:id="rId13"/>
              </w:object>
            </w:r>
          </w:p>
        </w:tc>
      </w:tr>
    </w:tbl>
    <w:p w14:paraId="6F9D9D64" w14:textId="23B4F906" w:rsidR="00BB36BF" w:rsidRPr="00AE10AA" w:rsidRDefault="00AE10AA" w:rsidP="00AE10AA">
      <w:pPr>
        <w:jc w:val="center"/>
        <w:rPr>
          <w:b/>
        </w:rPr>
      </w:pPr>
      <w:r>
        <w:rPr>
          <w:b/>
        </w:rPr>
        <w:t>Figure 1: Overview of idle measurements</w:t>
      </w:r>
      <w:r w:rsidR="0050194D">
        <w:rPr>
          <w:b/>
        </w:rPr>
        <w:t>/reporting</w:t>
      </w:r>
      <w:r>
        <w:rPr>
          <w:b/>
        </w:rPr>
        <w:t xml:space="preserve"> for euCA and the applicability to NR</w:t>
      </w:r>
    </w:p>
    <w:p w14:paraId="5BE928D6" w14:textId="424D9DD2" w:rsidR="00A43F61" w:rsidRDefault="00A43F61" w:rsidP="00A43F61">
      <w:r>
        <w:t xml:space="preserve">We see that for NR CA, the NW </w:t>
      </w:r>
      <w:r w:rsidR="00113D1F">
        <w:t xml:space="preserve">can broadcast </w:t>
      </w:r>
      <w:r>
        <w:t>a list of potential SCell frequencies (and potentially</w:t>
      </w:r>
      <w:r w:rsidR="00224EEA">
        <w:t>,</w:t>
      </w:r>
      <w:r>
        <w:t xml:space="preserve"> cells i</w:t>
      </w:r>
      <w:r w:rsidR="00113D1F">
        <w:t>n these frequencies) with NR specific enhancements (like on-demand SI for eg., to reduce the NW load on broadcast resources). And UE can reports the measurement results (including NR specific enhancements like reporting the gNB Tx beam etc..) which can be used to setup CA.</w:t>
      </w:r>
    </w:p>
    <w:p w14:paraId="47C77F5B" w14:textId="77777777" w:rsidR="006A5249" w:rsidRDefault="006A5249" w:rsidP="006A5249">
      <w:r>
        <w:t>In euCA, the power hit the UE takes for measuring the LTE frequencies in idle mode is controlled by allowing the NW to configure a timer which inform the UE for how long it needs to perform these measurements when coming out of connected mode. Same logic can be used for NR as well.</w:t>
      </w:r>
    </w:p>
    <w:p w14:paraId="3ECB0505" w14:textId="15213FDB" w:rsidR="00871229" w:rsidRPr="00871229" w:rsidRDefault="009B148C" w:rsidP="00871229">
      <w:pPr>
        <w:rPr>
          <w:b/>
        </w:rPr>
      </w:pPr>
      <w:r w:rsidRPr="00871229">
        <w:rPr>
          <w:b/>
        </w:rPr>
        <w:t>Observation</w:t>
      </w:r>
      <w:r w:rsidR="005D38A4">
        <w:rPr>
          <w:b/>
        </w:rPr>
        <w:t xml:space="preserve"> 1</w:t>
      </w:r>
      <w:r w:rsidRPr="00871229">
        <w:rPr>
          <w:b/>
        </w:rPr>
        <w:t>:</w:t>
      </w:r>
      <w:r w:rsidR="00871229" w:rsidRPr="00871229">
        <w:rPr>
          <w:b/>
        </w:rPr>
        <w:t xml:space="preserve"> The LTE euCA enhancements for idle mode measurements can be re-used for the most part</w:t>
      </w:r>
      <w:r w:rsidR="007E63B8">
        <w:rPr>
          <w:b/>
        </w:rPr>
        <w:t xml:space="preserve"> such as configuration of early measurement reporting in RRC connection release, indication of measurement availability in RRC connection setup procedure and </w:t>
      </w:r>
      <w:r w:rsidR="00CF04CB">
        <w:rPr>
          <w:b/>
        </w:rPr>
        <w:t>measurement results request/reporting over UE information procedure</w:t>
      </w:r>
      <w:r w:rsidR="00871229" w:rsidRPr="00871229">
        <w:rPr>
          <w:b/>
        </w:rPr>
        <w:t>, with NR and MR-DC specific enhancements and exclusions.</w:t>
      </w:r>
    </w:p>
    <w:p w14:paraId="0CA0DA03" w14:textId="4492621E" w:rsidR="00871229" w:rsidRDefault="00871229" w:rsidP="006A5249"/>
    <w:p w14:paraId="31E99EEA" w14:textId="6F02DE08" w:rsidR="00A43F61" w:rsidRDefault="00A43F61" w:rsidP="00A43F61">
      <w:pPr>
        <w:rPr>
          <w:b/>
        </w:rPr>
      </w:pPr>
      <w:r w:rsidRPr="006A5249">
        <w:rPr>
          <w:b/>
        </w:rPr>
        <w:t>Proposal</w:t>
      </w:r>
      <w:r w:rsidR="006A5249">
        <w:rPr>
          <w:b/>
        </w:rPr>
        <w:t xml:space="preserve"> 1</w:t>
      </w:r>
      <w:r w:rsidRPr="006A5249">
        <w:rPr>
          <w:b/>
        </w:rPr>
        <w:t>:</w:t>
      </w:r>
      <w:r w:rsidR="00001C3A" w:rsidRPr="006A5249">
        <w:rPr>
          <w:b/>
        </w:rPr>
        <w:t xml:space="preserve"> </w:t>
      </w:r>
      <w:r w:rsidR="00A7716C">
        <w:rPr>
          <w:b/>
        </w:rPr>
        <w:t>NW provides</w:t>
      </w:r>
      <w:r w:rsidR="006A5249">
        <w:rPr>
          <w:b/>
        </w:rPr>
        <w:t xml:space="preserve"> </w:t>
      </w:r>
      <w:r w:rsidR="00001C3A" w:rsidRPr="006A5249">
        <w:rPr>
          <w:b/>
        </w:rPr>
        <w:t>NR frequencies</w:t>
      </w:r>
      <w:r w:rsidR="00CF04CB">
        <w:rPr>
          <w:b/>
        </w:rPr>
        <w:t xml:space="preserve"> for early measurement reporting </w:t>
      </w:r>
      <w:r w:rsidR="00A7716C">
        <w:rPr>
          <w:b/>
        </w:rPr>
        <w:t xml:space="preserve">in idle mode </w:t>
      </w:r>
      <w:r w:rsidR="00CF04CB">
        <w:rPr>
          <w:b/>
        </w:rPr>
        <w:t xml:space="preserve">in RRC connection release. </w:t>
      </w:r>
      <w:r w:rsidR="006A5249">
        <w:rPr>
          <w:b/>
        </w:rPr>
        <w:t xml:space="preserve">Details </w:t>
      </w:r>
      <w:r w:rsidR="0083442F">
        <w:rPr>
          <w:b/>
        </w:rPr>
        <w:t xml:space="preserve">on </w:t>
      </w:r>
      <w:r w:rsidR="00CF04CB">
        <w:rPr>
          <w:b/>
        </w:rPr>
        <w:t xml:space="preserve">measurement configurations are </w:t>
      </w:r>
      <w:r w:rsidR="006A5249">
        <w:rPr>
          <w:b/>
        </w:rPr>
        <w:t>FFS.</w:t>
      </w:r>
    </w:p>
    <w:p w14:paraId="47AE142D" w14:textId="5C0CD7C2" w:rsidR="00001C3A" w:rsidRPr="006A5249" w:rsidRDefault="00001C3A" w:rsidP="00A43F61">
      <w:pPr>
        <w:rPr>
          <w:b/>
        </w:rPr>
      </w:pPr>
      <w:r w:rsidRPr="006A5249">
        <w:rPr>
          <w:b/>
        </w:rPr>
        <w:t>Proposal</w:t>
      </w:r>
      <w:r w:rsidR="006A5249">
        <w:rPr>
          <w:b/>
        </w:rPr>
        <w:t xml:space="preserve"> 2</w:t>
      </w:r>
      <w:r w:rsidRPr="006A5249">
        <w:rPr>
          <w:b/>
        </w:rPr>
        <w:t xml:space="preserve">:  </w:t>
      </w:r>
      <w:r w:rsidR="00A7716C">
        <w:rPr>
          <w:b/>
        </w:rPr>
        <w:t>A</w:t>
      </w:r>
      <w:r w:rsidR="00CF04CB">
        <w:rPr>
          <w:b/>
        </w:rPr>
        <w:t xml:space="preserve"> timer </w:t>
      </w:r>
      <w:r w:rsidR="00A7716C">
        <w:rPr>
          <w:b/>
        </w:rPr>
        <w:t xml:space="preserve">is supported </w:t>
      </w:r>
      <w:r w:rsidR="00CF04CB">
        <w:rPr>
          <w:b/>
        </w:rPr>
        <w:t xml:space="preserve">to indicate </w:t>
      </w:r>
      <w:r w:rsidRPr="006A5249">
        <w:rPr>
          <w:b/>
        </w:rPr>
        <w:t>how long in time the UE should measure the NR frequencies while in NR idle.</w:t>
      </w:r>
      <w:r w:rsidR="006A5249">
        <w:rPr>
          <w:b/>
        </w:rPr>
        <w:t xml:space="preserve"> </w:t>
      </w:r>
      <w:r w:rsidR="00CF04CB">
        <w:rPr>
          <w:b/>
        </w:rPr>
        <w:t xml:space="preserve">It is configured by NW as in LTE euCA. </w:t>
      </w:r>
      <w:r w:rsidR="006A5249">
        <w:rPr>
          <w:b/>
        </w:rPr>
        <w:t>Details on the timer are FFS.</w:t>
      </w:r>
    </w:p>
    <w:p w14:paraId="4A421C5A" w14:textId="19ABF27F" w:rsidR="00A43F61" w:rsidRDefault="00A43F61" w:rsidP="00A43F61">
      <w:pPr>
        <w:pStyle w:val="Heading2"/>
      </w:pPr>
      <w:r>
        <w:t>Idle mode related activities for MR-DC and NR-NR DC</w:t>
      </w:r>
    </w:p>
    <w:p w14:paraId="259EE000" w14:textId="7BB527B6" w:rsidR="00A43F61" w:rsidRDefault="00A43F61" w:rsidP="00A43F61">
      <w:r>
        <w:t xml:space="preserve">The UE idle mode measurements of potential </w:t>
      </w:r>
      <w:r w:rsidR="00113D1F">
        <w:t>frequencies/</w:t>
      </w:r>
      <w:r>
        <w:t>cells that can be added as MR-DC</w:t>
      </w:r>
      <w:r w:rsidR="00A03439">
        <w:t>/NR-NR DC</w:t>
      </w:r>
      <w:r>
        <w:t xml:space="preserve"> configuration </w:t>
      </w:r>
      <w:r w:rsidR="00A03439">
        <w:t xml:space="preserve">may require </w:t>
      </w:r>
      <w:r>
        <w:t xml:space="preserve">the UE </w:t>
      </w:r>
      <w:r w:rsidR="00A03439">
        <w:t xml:space="preserve">to </w:t>
      </w:r>
      <w:r>
        <w:t>measure frequencies in other RAT (</w:t>
      </w:r>
      <w:r w:rsidR="00A03439">
        <w:t>a</w:t>
      </w:r>
      <w:r>
        <w:t>s inter-RAT measurements</w:t>
      </w:r>
      <w:r w:rsidR="00A03439">
        <w:t>, esp in MR-DC</w:t>
      </w:r>
      <w:r>
        <w:t xml:space="preserve">) and this can require turning ON the other RAT HW (could be FR2 RFIC </w:t>
      </w:r>
      <w:r w:rsidR="004753D5">
        <w:t>as an example, and t</w:t>
      </w:r>
      <w:r>
        <w:t>his is applicable even in NR-NR DC where the measurement of other FR frequencies)</w:t>
      </w:r>
      <w:r w:rsidR="004753D5">
        <w:t>.</w:t>
      </w:r>
    </w:p>
    <w:p w14:paraId="53FEA6AE" w14:textId="6BDA15E7" w:rsidR="00871229" w:rsidRDefault="00871229" w:rsidP="00871229">
      <w:pPr>
        <w:rPr>
          <w:b/>
        </w:rPr>
      </w:pPr>
      <w:r>
        <w:t>However, we see advantages in deployments where MR-DC or NR-NR DC is used where the SCG is used primarily for data-transfers while the MCG is used to anchor mobility.  Current release-15 specification already allows configuration for EN-DC directly (blind NR SCG addition) when the UE goes from LTE IDLE to LTE CONNECTED. Adding inter-RAT measurements would make this work without blind addition.</w:t>
      </w:r>
    </w:p>
    <w:p w14:paraId="2ABAFD9B" w14:textId="30F8A9B2" w:rsidR="00224EEA" w:rsidRDefault="00871229" w:rsidP="00871229">
      <w:pPr>
        <w:rPr>
          <w:b/>
        </w:rPr>
      </w:pPr>
      <w:r w:rsidRPr="006A5249">
        <w:rPr>
          <w:b/>
        </w:rPr>
        <w:t>Proposal</w:t>
      </w:r>
      <w:r>
        <w:rPr>
          <w:b/>
        </w:rPr>
        <w:t xml:space="preserve"> 3</w:t>
      </w:r>
      <w:r w:rsidRPr="006A5249">
        <w:rPr>
          <w:b/>
        </w:rPr>
        <w:t xml:space="preserve">: </w:t>
      </w:r>
      <w:r>
        <w:rPr>
          <w:b/>
        </w:rPr>
        <w:t>NW configure</w:t>
      </w:r>
      <w:r w:rsidR="00A7716C">
        <w:rPr>
          <w:b/>
        </w:rPr>
        <w:t>s</w:t>
      </w:r>
      <w:r>
        <w:rPr>
          <w:b/>
        </w:rPr>
        <w:t xml:space="preserve"> the UE to measure inter-RAT frequencies in UE idle </w:t>
      </w:r>
      <w:r w:rsidR="00A2273B">
        <w:rPr>
          <w:b/>
        </w:rPr>
        <w:t>for</w:t>
      </w:r>
      <w:r>
        <w:rPr>
          <w:b/>
        </w:rPr>
        <w:t xml:space="preserve"> both LTE and NR, as part of the enhanced NR CA/MR-DC.</w:t>
      </w:r>
      <w:r w:rsidRPr="006A5249">
        <w:rPr>
          <w:b/>
        </w:rPr>
        <w:t xml:space="preserve"> </w:t>
      </w:r>
    </w:p>
    <w:p w14:paraId="4CB8924F" w14:textId="11C5C90B" w:rsidR="00871229" w:rsidRDefault="00224EEA" w:rsidP="00871229">
      <w:pPr>
        <w:rPr>
          <w:b/>
        </w:rPr>
      </w:pPr>
      <w:r>
        <w:rPr>
          <w:b/>
        </w:rPr>
        <w:t xml:space="preserve">Proposal 4: </w:t>
      </w:r>
      <w:r w:rsidR="00BB36BF" w:rsidRPr="00BB36BF">
        <w:rPr>
          <w:b/>
        </w:rPr>
        <w:t xml:space="preserve">RAN4 to </w:t>
      </w:r>
      <w:r>
        <w:rPr>
          <w:b/>
        </w:rPr>
        <w:t>decide on</w:t>
      </w:r>
      <w:r w:rsidR="00BB36BF" w:rsidRPr="00BB36BF">
        <w:rPr>
          <w:b/>
        </w:rPr>
        <w:t xml:space="preserve"> the </w:t>
      </w:r>
      <w:r w:rsidR="00A7716C">
        <w:rPr>
          <w:b/>
        </w:rPr>
        <w:t xml:space="preserve">measurement requirement </w:t>
      </w:r>
      <w:r w:rsidR="0083442F">
        <w:rPr>
          <w:b/>
        </w:rPr>
        <w:t>for</w:t>
      </w:r>
      <w:r w:rsidR="00A7716C">
        <w:rPr>
          <w:b/>
        </w:rPr>
        <w:t xml:space="preserve"> </w:t>
      </w:r>
      <w:r w:rsidR="00BB36BF">
        <w:rPr>
          <w:b/>
        </w:rPr>
        <w:t xml:space="preserve">NR </w:t>
      </w:r>
      <w:r w:rsidR="00871229" w:rsidRPr="00BB36BF">
        <w:rPr>
          <w:b/>
        </w:rPr>
        <w:t>UE</w:t>
      </w:r>
      <w:r w:rsidR="00871229">
        <w:rPr>
          <w:b/>
        </w:rPr>
        <w:t xml:space="preserve"> </w:t>
      </w:r>
      <w:r w:rsidR="00BB36BF">
        <w:rPr>
          <w:b/>
        </w:rPr>
        <w:t>inter-frequency</w:t>
      </w:r>
      <w:r w:rsidR="00871229">
        <w:rPr>
          <w:b/>
        </w:rPr>
        <w:t xml:space="preserve"> </w:t>
      </w:r>
      <w:r w:rsidR="00BB36BF">
        <w:rPr>
          <w:b/>
        </w:rPr>
        <w:t xml:space="preserve">and </w:t>
      </w:r>
      <w:r w:rsidR="0083442F">
        <w:rPr>
          <w:b/>
        </w:rPr>
        <w:t xml:space="preserve">NR and LTE </w:t>
      </w:r>
      <w:r w:rsidR="00BB36BF">
        <w:rPr>
          <w:b/>
        </w:rPr>
        <w:t>inter-RAT</w:t>
      </w:r>
      <w:r w:rsidR="00A7716C">
        <w:rPr>
          <w:b/>
        </w:rPr>
        <w:t xml:space="preserve"> frequencies for early measurement reporting in idle mode.</w:t>
      </w:r>
      <w:r w:rsidR="00871229">
        <w:rPr>
          <w:b/>
        </w:rPr>
        <w:t>.</w:t>
      </w:r>
    </w:p>
    <w:p w14:paraId="10C37417" w14:textId="77777777" w:rsidR="00871229" w:rsidRPr="006A5249" w:rsidRDefault="00871229" w:rsidP="00A43F61">
      <w:pPr>
        <w:rPr>
          <w:b/>
        </w:rPr>
      </w:pPr>
    </w:p>
    <w:p w14:paraId="227D45F4" w14:textId="14838860" w:rsidR="00332A3A" w:rsidRDefault="00332A3A" w:rsidP="00332A3A">
      <w:pPr>
        <w:pStyle w:val="Heading2"/>
      </w:pPr>
      <w:r>
        <w:t>Validity Area concept for NR-NR and MR-DC</w:t>
      </w:r>
    </w:p>
    <w:p w14:paraId="3AF15677" w14:textId="43712381" w:rsidR="00332A3A" w:rsidRDefault="00332A3A" w:rsidP="00332A3A">
      <w:r>
        <w:t>The LTE euCA usage of validity area is also applicable to NR CA</w:t>
      </w:r>
      <w:r w:rsidR="002826DA">
        <w:t xml:space="preserve">, and </w:t>
      </w:r>
      <w:r w:rsidR="00AE10AA">
        <w:t xml:space="preserve">Figure 2 </w:t>
      </w:r>
      <w:r w:rsidR="002826DA">
        <w:t xml:space="preserve">below captures the validity area usage logic. With </w:t>
      </w:r>
      <w:r w:rsidR="00001C3A">
        <w:t>mm-wave small cell deployment</w:t>
      </w:r>
      <w:r w:rsidR="002826DA">
        <w:t xml:space="preserve"> where the scope of multiple cells from different operators, increases for NR</w:t>
      </w:r>
      <w:r w:rsidR="00001C3A">
        <w:t>, there could be further fine-tuning needed</w:t>
      </w:r>
      <w:r>
        <w:t xml:space="preserve"> </w:t>
      </w:r>
      <w:r w:rsidR="002826DA">
        <w:t>but we can start with similar concept</w:t>
      </w:r>
      <w:r>
        <w:t xml:space="preserve"> in NR CA.</w:t>
      </w:r>
    </w:p>
    <w:tbl>
      <w:tblPr>
        <w:tblStyle w:val="TableGrid"/>
        <w:tblW w:w="9106" w:type="dxa"/>
        <w:tblLook w:val="04A0" w:firstRow="1" w:lastRow="0" w:firstColumn="1" w:lastColumn="0" w:noHBand="0" w:noVBand="1"/>
      </w:tblPr>
      <w:tblGrid>
        <w:gridCol w:w="9106"/>
      </w:tblGrid>
      <w:tr w:rsidR="008A5CD7" w14:paraId="1055572D" w14:textId="77777777" w:rsidTr="008A5CD7">
        <w:trPr>
          <w:trHeight w:val="9404"/>
        </w:trPr>
        <w:tc>
          <w:tcPr>
            <w:tcW w:w="9106" w:type="dxa"/>
          </w:tcPr>
          <w:p w14:paraId="03668DAA" w14:textId="441FE56E" w:rsidR="008A5CD7" w:rsidRDefault="008A5CD7" w:rsidP="008A5CD7">
            <w:pPr>
              <w:jc w:val="center"/>
              <w:rPr>
                <w:b/>
              </w:rPr>
            </w:pPr>
            <w:r>
              <w:object w:dxaOrig="5806" w:dyaOrig="9135" w14:anchorId="42F4CB16">
                <v:shape id="_x0000_i1026" type="#_x0000_t75" style="width:290.3pt;height:456.75pt" o:ole="">
                  <v:imagedata r:id="rId14" o:title=""/>
                </v:shape>
                <o:OLEObject Type="Embed" ProgID="Visio.Drawing.15" ShapeID="_x0000_i1026" DrawAspect="Content" ObjectID="_1611674488" r:id="rId15"/>
              </w:object>
            </w:r>
          </w:p>
        </w:tc>
      </w:tr>
    </w:tbl>
    <w:p w14:paraId="087897F1" w14:textId="0B8192E3" w:rsidR="005C1FB5" w:rsidRDefault="00AE10AA" w:rsidP="00AE10AA">
      <w:pPr>
        <w:jc w:val="center"/>
        <w:rPr>
          <w:b/>
        </w:rPr>
      </w:pPr>
      <w:r>
        <w:rPr>
          <w:b/>
        </w:rPr>
        <w:t>Figure 2 : Overview of the usage of validity area in euCA</w:t>
      </w:r>
    </w:p>
    <w:p w14:paraId="7F1AEC83" w14:textId="77777777" w:rsidR="002826DA" w:rsidRDefault="002826DA" w:rsidP="002826DA">
      <w:pPr>
        <w:rPr>
          <w:b/>
        </w:rPr>
      </w:pPr>
      <w:r w:rsidRPr="006A5249">
        <w:rPr>
          <w:b/>
        </w:rPr>
        <w:t>Proposal</w:t>
      </w:r>
      <w:r>
        <w:rPr>
          <w:b/>
        </w:rPr>
        <w:t xml:space="preserve"> 5</w:t>
      </w:r>
      <w:r w:rsidRPr="006A5249">
        <w:rPr>
          <w:b/>
        </w:rPr>
        <w:t xml:space="preserve">: NR CA and NR-NR/MR-DC uses the concept of validity area that is configured by the NW when </w:t>
      </w:r>
      <w:r>
        <w:rPr>
          <w:b/>
        </w:rPr>
        <w:t>the UE goes t</w:t>
      </w:r>
      <w:r w:rsidRPr="006A5249">
        <w:rPr>
          <w:b/>
        </w:rPr>
        <w:t xml:space="preserve">o idle. UE performs the idle mode measurements only when it is in the validity area. Details are FFS. </w:t>
      </w:r>
    </w:p>
    <w:p w14:paraId="1C9E471D" w14:textId="77777777" w:rsidR="002826DA" w:rsidRPr="006A5249" w:rsidRDefault="002826DA" w:rsidP="00332A3A">
      <w:pPr>
        <w:rPr>
          <w:b/>
        </w:rPr>
      </w:pPr>
    </w:p>
    <w:p w14:paraId="0302C472" w14:textId="63CE60F2" w:rsidR="00D9219C" w:rsidRDefault="00AB3735" w:rsidP="005C1FB5">
      <w:pPr>
        <w:pStyle w:val="Heading2"/>
      </w:pPr>
      <w:r>
        <w:t>Enhancements in INACTIVE mode</w:t>
      </w:r>
    </w:p>
    <w:p w14:paraId="10756726" w14:textId="0A8A8E53" w:rsidR="00D9219C" w:rsidRDefault="00D9219C" w:rsidP="00D9219C">
      <w:pPr>
        <w:pStyle w:val="Heading3"/>
      </w:pPr>
      <w:r>
        <w:t>Enhancements in NR RRC_INACTIVE state</w:t>
      </w:r>
    </w:p>
    <w:p w14:paraId="6A0CE226" w14:textId="6BBE5ACC" w:rsidR="00332A3A" w:rsidRDefault="009C6DDA" w:rsidP="005C1FB5">
      <w:r>
        <w:t xml:space="preserve">In current </w:t>
      </w:r>
      <w:r w:rsidR="003E162A">
        <w:t>NR specification</w:t>
      </w:r>
      <w:r>
        <w:t xml:space="preserve">, the UE </w:t>
      </w:r>
      <w:r w:rsidR="003E162A">
        <w:t xml:space="preserve">preserves the MCG configuration while transitioning </w:t>
      </w:r>
      <w:r>
        <w:t>fro</w:t>
      </w:r>
      <w:r w:rsidR="003E162A">
        <w:t xml:space="preserve">m RRC_CONNECTED to RRC_INACTIVE, where this configuration can be used along with the NW provided configuration at resumption time. From this aspect, release-15 already provides the framework for restoring the MCG in NR. If the measurement of NR and LTE frequencies are possible while the UE is in RRC_INACTIVE state, it should be possible to </w:t>
      </w:r>
      <w:r w:rsidR="005C1FB5">
        <w:t>resume with</w:t>
      </w:r>
      <w:r w:rsidR="003E162A">
        <w:t xml:space="preserve"> NR-NR DC or NE-DC at the resumption time based on the save</w:t>
      </w:r>
      <w:r w:rsidR="00BF7B6B">
        <w:t>d</w:t>
      </w:r>
      <w:r w:rsidR="003E162A">
        <w:t xml:space="preserve"> configuration of the UE. </w:t>
      </w:r>
      <w:r>
        <w:t xml:space="preserve"> </w:t>
      </w:r>
      <w:r w:rsidR="003E162A">
        <w:t>We</w:t>
      </w:r>
      <w:r w:rsidR="006B10CB">
        <w:t xml:space="preserve"> see the </w:t>
      </w:r>
      <w:r w:rsidR="00332A3A">
        <w:t xml:space="preserve">usefulness of </w:t>
      </w:r>
      <w:r w:rsidR="00332A3A">
        <w:lastRenderedPageBreak/>
        <w:t xml:space="preserve">measuring the potential frequencies/RATs in </w:t>
      </w:r>
      <w:r w:rsidR="003E162A">
        <w:t>NR RRC_INACTIVE state</w:t>
      </w:r>
      <w:r w:rsidR="00332A3A">
        <w:t xml:space="preserve"> to see if these measurements can be used to form NR-NR or MR-DC at resumption. </w:t>
      </w:r>
    </w:p>
    <w:p w14:paraId="2C152A60" w14:textId="47326FD6" w:rsidR="004370FF" w:rsidRDefault="004370FF" w:rsidP="005C1FB5">
      <w:pPr>
        <w:rPr>
          <w:b/>
        </w:rPr>
      </w:pPr>
      <w:r w:rsidRPr="004370FF">
        <w:rPr>
          <w:b/>
        </w:rPr>
        <w:t>Observation</w:t>
      </w:r>
      <w:r>
        <w:rPr>
          <w:b/>
        </w:rPr>
        <w:t xml:space="preserve"> </w:t>
      </w:r>
      <w:r w:rsidR="005D38A4">
        <w:rPr>
          <w:b/>
        </w:rPr>
        <w:t>2</w:t>
      </w:r>
      <w:r w:rsidRPr="004370FF">
        <w:rPr>
          <w:b/>
        </w:rPr>
        <w:t>: Providing both LTE and NR measurements at the transition from RRC INACTIVE to RRC CONNECTED can help with setting up of MR-DC or NR-DC/CA faster.</w:t>
      </w:r>
    </w:p>
    <w:p w14:paraId="26698AF6" w14:textId="12D621E7" w:rsidR="009C4030" w:rsidRPr="006A5249" w:rsidRDefault="009C4030" w:rsidP="009C4030">
      <w:pPr>
        <w:rPr>
          <w:b/>
        </w:rPr>
      </w:pPr>
      <w:r w:rsidRPr="006A5249">
        <w:rPr>
          <w:b/>
        </w:rPr>
        <w:t>Proposal</w:t>
      </w:r>
      <w:r>
        <w:rPr>
          <w:b/>
        </w:rPr>
        <w:t xml:space="preserve"> </w:t>
      </w:r>
      <w:r w:rsidR="005D38A4">
        <w:rPr>
          <w:b/>
        </w:rPr>
        <w:t>6</w:t>
      </w:r>
      <w:r w:rsidRPr="006A5249">
        <w:rPr>
          <w:b/>
        </w:rPr>
        <w:t>:</w:t>
      </w:r>
      <w:r>
        <w:rPr>
          <w:b/>
        </w:rPr>
        <w:t xml:space="preserve"> NR and LTE measurements can be configured by the NW when moving the UE</w:t>
      </w:r>
      <w:r w:rsidR="008D3847">
        <w:rPr>
          <w:b/>
        </w:rPr>
        <w:t xml:space="preserve"> from RRC_CONNECTED</w:t>
      </w:r>
      <w:r>
        <w:rPr>
          <w:b/>
        </w:rPr>
        <w:t xml:space="preserve"> to NR RRC_INACTIVE state</w:t>
      </w:r>
      <w:r w:rsidR="008D3847">
        <w:rPr>
          <w:b/>
        </w:rPr>
        <w:t xml:space="preserve"> (</w:t>
      </w:r>
      <w:r w:rsidR="00A87E7B">
        <w:rPr>
          <w:b/>
        </w:rPr>
        <w:t>FFS if the</w:t>
      </w:r>
      <w:r>
        <w:rPr>
          <w:b/>
        </w:rPr>
        <w:t xml:space="preserve"> duration of the measurement </w:t>
      </w:r>
      <w:r w:rsidR="008D3847">
        <w:rPr>
          <w:b/>
        </w:rPr>
        <w:t>will</w:t>
      </w:r>
      <w:r>
        <w:rPr>
          <w:b/>
        </w:rPr>
        <w:t xml:space="preserve"> be different from transition to NR RRC_IDLE</w:t>
      </w:r>
      <w:r w:rsidR="008D3847">
        <w:rPr>
          <w:b/>
        </w:rPr>
        <w:t>)</w:t>
      </w:r>
      <w:r>
        <w:rPr>
          <w:b/>
        </w:rPr>
        <w:t xml:space="preserve">. </w:t>
      </w:r>
      <w:r w:rsidR="00A87E7B">
        <w:rPr>
          <w:b/>
        </w:rPr>
        <w:t xml:space="preserve"> The UE provides these measurements after the transition to RRC_CONNECTED.</w:t>
      </w:r>
    </w:p>
    <w:p w14:paraId="6E108E88" w14:textId="1066F925" w:rsidR="00D9219C" w:rsidRDefault="00D9219C" w:rsidP="00D9219C">
      <w:pPr>
        <w:pStyle w:val="Heading3"/>
      </w:pPr>
      <w:r>
        <w:t>Enhancements in LTE RRC_INACTIVE state for EN-DC</w:t>
      </w:r>
    </w:p>
    <w:p w14:paraId="0C38F570" w14:textId="02A99507" w:rsidR="00D9219C" w:rsidRDefault="00D9219C" w:rsidP="00D9219C">
      <w:r>
        <w:t xml:space="preserve">In </w:t>
      </w:r>
      <w:r w:rsidR="005C1FB5">
        <w:t xml:space="preserve">LTE </w:t>
      </w:r>
      <w:r w:rsidR="009C4030">
        <w:t>release-15</w:t>
      </w:r>
      <w:r>
        <w:t xml:space="preserve">, the UE releases the physical layer configuration of all the serving </w:t>
      </w:r>
      <w:r w:rsidR="009C4030">
        <w:t>c</w:t>
      </w:r>
      <w:r>
        <w:t xml:space="preserve">ells except for </w:t>
      </w:r>
      <w:r w:rsidR="009C4030">
        <w:t xml:space="preserve">the </w:t>
      </w:r>
      <w:r>
        <w:t xml:space="preserve">PCell while going from LTE RRC_CONNECTED to LTE RRC_INACTIVE. </w:t>
      </w:r>
      <w:r w:rsidR="005C1FB5">
        <w:t xml:space="preserve"> Similar to NR resumption optimizations, w</w:t>
      </w:r>
      <w:r>
        <w:t xml:space="preserve">e do see the usefulness of measuring the potential NR frequencies in LTE INACTIVE state along with the LTE measurements, so that EN-DC can be </w:t>
      </w:r>
      <w:r w:rsidR="009C4030">
        <w:t>resumed</w:t>
      </w:r>
      <w:r>
        <w:t xml:space="preserve"> right away when coming out of LTE INACTIVE state. </w:t>
      </w:r>
    </w:p>
    <w:p w14:paraId="41A2E057" w14:textId="16F8D90C" w:rsidR="009C4030" w:rsidRPr="006A5249" w:rsidRDefault="009C4030" w:rsidP="009C4030">
      <w:pPr>
        <w:rPr>
          <w:b/>
        </w:rPr>
      </w:pPr>
      <w:r w:rsidRPr="006A5249">
        <w:rPr>
          <w:b/>
        </w:rPr>
        <w:t>Proposal</w:t>
      </w:r>
      <w:r>
        <w:rPr>
          <w:b/>
        </w:rPr>
        <w:t xml:space="preserve"> 7</w:t>
      </w:r>
      <w:r w:rsidRPr="006A5249">
        <w:rPr>
          <w:b/>
        </w:rPr>
        <w:t>:</w:t>
      </w:r>
      <w:r>
        <w:rPr>
          <w:b/>
        </w:rPr>
        <w:t xml:space="preserve"> LTE measurements can be configured by the NW when moving the UE </w:t>
      </w:r>
      <w:r w:rsidR="008D3847">
        <w:rPr>
          <w:b/>
        </w:rPr>
        <w:t xml:space="preserve">from RRC_CONNECTED </w:t>
      </w:r>
      <w:r>
        <w:rPr>
          <w:b/>
        </w:rPr>
        <w:t>to LTE RRC_INACTIVE state for setting up of LTE CA at resumption</w:t>
      </w:r>
      <w:r w:rsidR="008D3847">
        <w:rPr>
          <w:b/>
        </w:rPr>
        <w:t xml:space="preserve"> (</w:t>
      </w:r>
      <w:r w:rsidR="00A87E7B">
        <w:rPr>
          <w:b/>
        </w:rPr>
        <w:t>FFS</w:t>
      </w:r>
      <w:r>
        <w:rPr>
          <w:b/>
        </w:rPr>
        <w:t xml:space="preserve"> </w:t>
      </w:r>
      <w:r w:rsidR="00A87E7B">
        <w:rPr>
          <w:b/>
        </w:rPr>
        <w:t xml:space="preserve">if </w:t>
      </w:r>
      <w:r>
        <w:rPr>
          <w:b/>
        </w:rPr>
        <w:t xml:space="preserve">the duration </w:t>
      </w:r>
      <w:r w:rsidR="00A87E7B">
        <w:rPr>
          <w:b/>
        </w:rPr>
        <w:t xml:space="preserve">of the measurement </w:t>
      </w:r>
      <w:r w:rsidR="008D3847">
        <w:rPr>
          <w:b/>
        </w:rPr>
        <w:t>will</w:t>
      </w:r>
      <w:r w:rsidR="00A87E7B">
        <w:rPr>
          <w:b/>
        </w:rPr>
        <w:t xml:space="preserve"> be different from transition to LTE RRC_IDLE</w:t>
      </w:r>
      <w:r w:rsidR="008D3847">
        <w:rPr>
          <w:b/>
        </w:rPr>
        <w:t>)</w:t>
      </w:r>
      <w:r>
        <w:rPr>
          <w:b/>
        </w:rPr>
        <w:t>.</w:t>
      </w:r>
      <w:r w:rsidR="00A87E7B">
        <w:rPr>
          <w:b/>
        </w:rPr>
        <w:t xml:space="preserve"> The UE provides these measurements after transition to RRC_CONNECTED.</w:t>
      </w:r>
    </w:p>
    <w:p w14:paraId="35AAE0AA" w14:textId="559F7204" w:rsidR="00D9219C" w:rsidRDefault="00D9219C" w:rsidP="00D9219C">
      <w:r>
        <w:t>Since EN-DC can be setup including the NR SCG in RRCConnectio</w:t>
      </w:r>
      <w:r w:rsidR="005C1FB5">
        <w:t>n</w:t>
      </w:r>
      <w:r>
        <w:t>Setup message in rel-15 itself</w:t>
      </w:r>
      <w:r w:rsidR="005C1FB5">
        <w:t xml:space="preserve"> (while transitioning from LTE IDLE to LTE CONNECTED)</w:t>
      </w:r>
      <w:r>
        <w:t>, we think this improvement of setting up EN-DC at resumption from LTE RRC_INACTIVE can be useful.</w:t>
      </w:r>
      <w:r w:rsidR="00A87E7B">
        <w:t xml:space="preserve"> And so we would like to also allow NR measurements in LTE_INACTIVE state.</w:t>
      </w:r>
    </w:p>
    <w:p w14:paraId="236BA59D" w14:textId="25CBFD12" w:rsidR="009C4030" w:rsidRPr="006A5249" w:rsidRDefault="009C4030" w:rsidP="009C4030">
      <w:pPr>
        <w:rPr>
          <w:b/>
        </w:rPr>
      </w:pPr>
      <w:r w:rsidRPr="006A5249">
        <w:rPr>
          <w:b/>
        </w:rPr>
        <w:t>Proposal</w:t>
      </w:r>
      <w:r>
        <w:rPr>
          <w:b/>
        </w:rPr>
        <w:t xml:space="preserve"> </w:t>
      </w:r>
      <w:r w:rsidR="00A87E7B">
        <w:rPr>
          <w:b/>
        </w:rPr>
        <w:t>8</w:t>
      </w:r>
      <w:r w:rsidRPr="006A5249">
        <w:rPr>
          <w:b/>
        </w:rPr>
        <w:t>:</w:t>
      </w:r>
      <w:r>
        <w:rPr>
          <w:b/>
        </w:rPr>
        <w:t xml:space="preserve"> NR measurements can be configured by the NW when moving the UE </w:t>
      </w:r>
      <w:r w:rsidR="008D3847">
        <w:rPr>
          <w:b/>
        </w:rPr>
        <w:t xml:space="preserve">from RRC_CONNECTED </w:t>
      </w:r>
      <w:r>
        <w:rPr>
          <w:b/>
        </w:rPr>
        <w:t>to LTE RRC_INACTIVE state</w:t>
      </w:r>
      <w:r w:rsidR="008D3847">
        <w:rPr>
          <w:b/>
        </w:rPr>
        <w:t xml:space="preserve"> (</w:t>
      </w:r>
      <w:r w:rsidR="00A87E7B">
        <w:rPr>
          <w:b/>
        </w:rPr>
        <w:t xml:space="preserve">FFS if the duration of the measurement </w:t>
      </w:r>
      <w:r w:rsidR="0083442F">
        <w:rPr>
          <w:b/>
        </w:rPr>
        <w:t xml:space="preserve">will </w:t>
      </w:r>
      <w:r w:rsidR="00A87E7B">
        <w:rPr>
          <w:b/>
        </w:rPr>
        <w:t>be different from transition to LTE RRC_IDLE</w:t>
      </w:r>
      <w:r w:rsidR="008D3847">
        <w:rPr>
          <w:b/>
        </w:rPr>
        <w:t>)</w:t>
      </w:r>
      <w:r w:rsidR="00A87E7B">
        <w:rPr>
          <w:b/>
        </w:rPr>
        <w:t>. The UE provides these measurements after transition to RRC_CONNECTED.</w:t>
      </w:r>
    </w:p>
    <w:p w14:paraId="3A5390D3" w14:textId="77777777" w:rsidR="004B76A4" w:rsidRPr="00756E10" w:rsidRDefault="004B76A4" w:rsidP="00756E10">
      <w:pPr>
        <w:rPr>
          <w:b/>
        </w:rPr>
      </w:pPr>
    </w:p>
    <w:p w14:paraId="44E000F2" w14:textId="0C0EAE27" w:rsidR="001F049A" w:rsidRDefault="001F049A" w:rsidP="001F049A">
      <w:pPr>
        <w:pStyle w:val="Heading2"/>
      </w:pPr>
      <w:r>
        <w:t>Activation of CA/DC setup at configuration and resumption</w:t>
      </w:r>
    </w:p>
    <w:p w14:paraId="60911908" w14:textId="414169ED" w:rsidR="001F049A" w:rsidRDefault="001F049A" w:rsidP="001F049A">
      <w:r>
        <w:t xml:space="preserve">Following the LTE euCA principle, where the NW can activate the configured SCells, NR CA enhancements can also add the activation of configured NR or LTE SCells in both MCG and SCG at configuration time. </w:t>
      </w:r>
      <w:r w:rsidR="0083442F">
        <w:t xml:space="preserve">In LTE euCA, n+20 frames were specified for the UE to be ready to receive PDCCH on the activated SCell. </w:t>
      </w:r>
      <w:r>
        <w:t xml:space="preserve">Obviously, the timing requirements for activating the </w:t>
      </w:r>
      <w:r w:rsidR="0083442F">
        <w:t xml:space="preserve">NR </w:t>
      </w:r>
      <w:r>
        <w:t>SCells</w:t>
      </w:r>
      <w:r w:rsidR="0083442F">
        <w:t xml:space="preserve"> at the RRC configuration</w:t>
      </w:r>
      <w:r>
        <w:t xml:space="preserve"> </w:t>
      </w:r>
      <w:r w:rsidR="0083442F">
        <w:t xml:space="preserve">time </w:t>
      </w:r>
      <w:r>
        <w:t>would require RAN4 input, but functionally this should be possible.</w:t>
      </w:r>
    </w:p>
    <w:p w14:paraId="7E400771" w14:textId="5BD8236F" w:rsidR="001F049A" w:rsidRPr="001F049A" w:rsidRDefault="001F049A" w:rsidP="001F049A">
      <w:pPr>
        <w:rPr>
          <w:b/>
        </w:rPr>
      </w:pPr>
      <w:r w:rsidRPr="001F049A">
        <w:rPr>
          <w:b/>
        </w:rPr>
        <w:t>Proposal</w:t>
      </w:r>
      <w:r w:rsidR="009C4030">
        <w:rPr>
          <w:b/>
        </w:rPr>
        <w:t xml:space="preserve"> </w:t>
      </w:r>
      <w:r w:rsidR="00A87E7B">
        <w:rPr>
          <w:b/>
        </w:rPr>
        <w:t>9</w:t>
      </w:r>
      <w:r w:rsidRPr="001F049A">
        <w:rPr>
          <w:b/>
        </w:rPr>
        <w:t xml:space="preserve">: Direct activation of LTE and NR SCells in </w:t>
      </w:r>
      <w:r w:rsidR="00A87E7B">
        <w:rPr>
          <w:b/>
        </w:rPr>
        <w:t>EN-DC and NE-DC</w:t>
      </w:r>
      <w:r w:rsidRPr="001F049A">
        <w:rPr>
          <w:b/>
        </w:rPr>
        <w:t xml:space="preserve"> and NR CA/DC </w:t>
      </w:r>
      <w:r>
        <w:rPr>
          <w:b/>
        </w:rPr>
        <w:t xml:space="preserve">at </w:t>
      </w:r>
      <w:r w:rsidR="009C4030">
        <w:rPr>
          <w:b/>
        </w:rPr>
        <w:t xml:space="preserve">RRC </w:t>
      </w:r>
      <w:r>
        <w:rPr>
          <w:b/>
        </w:rPr>
        <w:t xml:space="preserve">configuration </w:t>
      </w:r>
      <w:r w:rsidRPr="001F049A">
        <w:rPr>
          <w:b/>
        </w:rPr>
        <w:t>by the NW is allowed, unless RAN4 objects. The timing requirements for activation are to be specified by RAN4.</w:t>
      </w:r>
    </w:p>
    <w:p w14:paraId="3CDD7604" w14:textId="411B06C8" w:rsidR="001F049A" w:rsidRPr="001F049A" w:rsidRDefault="001F049A" w:rsidP="001F049A"/>
    <w:p w14:paraId="346BBFFE" w14:textId="5A44301D" w:rsidR="00406483" w:rsidRDefault="00406483" w:rsidP="00406483">
      <w:pPr>
        <w:pStyle w:val="Heading2"/>
      </w:pPr>
      <w:r>
        <w:t>Signalling Reduction in CA/DC setup involving NR</w:t>
      </w:r>
    </w:p>
    <w:p w14:paraId="04F6A500" w14:textId="78906A1B" w:rsidR="00406483" w:rsidRDefault="00406483" w:rsidP="00406483">
      <w:r>
        <w:t xml:space="preserve">Compared to LTE, in NR we may have lower number maximum configurable carriers (16), but the amount of configuration each carrier can be associated with (esp with upto four dedicated BWP </w:t>
      </w:r>
      <w:r>
        <w:lastRenderedPageBreak/>
        <w:t>configurations within each carrier</w:t>
      </w:r>
      <w:r w:rsidR="00816064">
        <w:t>)</w:t>
      </w:r>
      <w:r>
        <w:t xml:space="preserve"> in setting up of NR configuration for NR CA or NR-NR/MR-DC is quite large. </w:t>
      </w:r>
    </w:p>
    <w:p w14:paraId="43260B07" w14:textId="7B33A04E" w:rsidR="00406483" w:rsidRDefault="00406483" w:rsidP="00406483">
      <w:r>
        <w:t>If we examine the NR control configuration for each carrier, other than the frequency configuration from Downlink/UplinkConfigCommon the rest of the parameters from physical layer configuration can be reused in every serving cell/BWP. Even the locationandBandWidth from BWP-ConfigCommon provides a bandwidth start and width relative the serving cell in which the BWP is configured, and so is not absolute value.</w:t>
      </w:r>
    </w:p>
    <w:p w14:paraId="0699C9A6" w14:textId="32308AD9" w:rsidR="00406483" w:rsidRDefault="00406483" w:rsidP="00406483">
      <w:r>
        <w:t>This provides a nice platform to provide the same configuration across different serving cells which are deployed with different PCIs and frequency locations. NR also allows grouping of serving cells that carry same configuration.</w:t>
      </w:r>
    </w:p>
    <w:p w14:paraId="0A1A8F2D" w14:textId="1B8AA54B" w:rsidR="00406483" w:rsidRPr="006A5249" w:rsidRDefault="00406483" w:rsidP="00406483">
      <w:pPr>
        <w:rPr>
          <w:b/>
        </w:rPr>
      </w:pPr>
      <w:r w:rsidRPr="006A5249">
        <w:rPr>
          <w:b/>
        </w:rPr>
        <w:t>Proposal</w:t>
      </w:r>
      <w:r w:rsidR="009C4030">
        <w:rPr>
          <w:b/>
        </w:rPr>
        <w:t xml:space="preserve"> 1</w:t>
      </w:r>
      <w:r w:rsidR="005D38A4">
        <w:rPr>
          <w:b/>
        </w:rPr>
        <w:t>0</w:t>
      </w:r>
      <w:r w:rsidRPr="006A5249">
        <w:rPr>
          <w:b/>
        </w:rPr>
        <w:t>: NR serving cell configuration</w:t>
      </w:r>
      <w:r w:rsidR="003A10FA" w:rsidRPr="006A5249">
        <w:rPr>
          <w:b/>
        </w:rPr>
        <w:t xml:space="preserve"> can be grouped</w:t>
      </w:r>
      <w:r w:rsidRPr="006A5249">
        <w:rPr>
          <w:b/>
        </w:rPr>
        <w:t xml:space="preserve"> for NR CA and NR-NR/MR-DC </w:t>
      </w:r>
      <w:r w:rsidR="003A10FA" w:rsidRPr="006A5249">
        <w:rPr>
          <w:b/>
        </w:rPr>
        <w:t>such that multiple cells in the same group can have the same configuration applied. The number of cells in a group is FFS</w:t>
      </w:r>
      <w:r w:rsidR="00120AA2">
        <w:rPr>
          <w:b/>
        </w:rPr>
        <w:t>.</w:t>
      </w:r>
    </w:p>
    <w:p w14:paraId="31556761" w14:textId="77777777" w:rsidR="00406483" w:rsidRPr="00406483" w:rsidRDefault="00406483" w:rsidP="00406483"/>
    <w:p w14:paraId="4F90A058" w14:textId="53DFB6B2" w:rsidR="00AB3735" w:rsidRDefault="0097258A" w:rsidP="00AB3735">
      <w:pPr>
        <w:pStyle w:val="Heading2"/>
      </w:pPr>
      <w:r>
        <w:t>Reduction in activation latency of SCell</w:t>
      </w:r>
    </w:p>
    <w:p w14:paraId="6E36B348" w14:textId="08E5CC3A" w:rsidR="001C678C" w:rsidRDefault="001C678C" w:rsidP="00280722">
      <w:r>
        <w:t>In LTE, the time for the UE to be ready to receive PDCCH on the SCell after activation (8 ms) is shorte</w:t>
      </w:r>
      <w:r w:rsidR="0076296B">
        <w:t>r</w:t>
      </w:r>
      <w:r>
        <w:t xml:space="preserve"> than the time the UE needs to derive and report the CQI (16-24ms), and so LTE euCA focused on reducing/eliminating the CQI reporting time to reduce the activation delay.</w:t>
      </w:r>
    </w:p>
    <w:p w14:paraId="71A0F5EE" w14:textId="246D38F8" w:rsidR="001C678C" w:rsidRDefault="001C678C" w:rsidP="00280722">
      <w:r>
        <w:t>In NR, the time for the UE to be ready to receive the PDCCH on the SCell is dependent the duration of the SMTC period (and the variability on when the SCell is activated during this period), along with other aspects like whether the UE has recently made a measurement on the SSB, whether there are any active serving cells using the same band as the SCell in FR2.  The minimum time is 15ms, while the actual time is usually much larger</w:t>
      </w:r>
      <w:r w:rsidR="00736FC3">
        <w:t xml:space="preserve"> (could be upto ~80ms)</w:t>
      </w:r>
      <w:r>
        <w:t xml:space="preserve">. </w:t>
      </w:r>
    </w:p>
    <w:p w14:paraId="15EC02BA" w14:textId="24720247" w:rsidR="00990D29" w:rsidRDefault="00990D29" w:rsidP="00280722">
      <w:r>
        <w:t xml:space="preserve">Compared to this, the CSI measurement and reporting time in NR is much shorter (esp with FAST CSI), and in many cases is less than 3ms (based on the numerology). It can be seen that the main aspect to consider in reducing the activation latency is not the CSI acquisition, but rather the UE ready time to receive PDCCH. </w:t>
      </w:r>
    </w:p>
    <w:p w14:paraId="7CDF7075" w14:textId="27CE101F" w:rsidR="00F57270" w:rsidRPr="00F57270" w:rsidRDefault="00F57270" w:rsidP="00280722">
      <w:pPr>
        <w:rPr>
          <w:b/>
        </w:rPr>
      </w:pPr>
      <w:r w:rsidRPr="00F57270">
        <w:rPr>
          <w:b/>
        </w:rPr>
        <w:t xml:space="preserve">Observation </w:t>
      </w:r>
      <w:r w:rsidR="005D38A4">
        <w:rPr>
          <w:b/>
        </w:rPr>
        <w:t>3</w:t>
      </w:r>
      <w:r w:rsidRPr="00F57270">
        <w:rPr>
          <w:b/>
        </w:rPr>
        <w:t xml:space="preserve">:  The </w:t>
      </w:r>
      <w:r>
        <w:rPr>
          <w:b/>
        </w:rPr>
        <w:t xml:space="preserve">CSI measurement/reporting delay in NR is much shorter than the delay the UE needs in getting itself ready to receive PDCCH on the activated SCell in NR. So compared to euCA, the main </w:t>
      </w:r>
      <w:r w:rsidRPr="00F57270">
        <w:rPr>
          <w:b/>
        </w:rPr>
        <w:t>factor</w:t>
      </w:r>
      <w:r>
        <w:rPr>
          <w:b/>
        </w:rPr>
        <w:t xml:space="preserve"> to consider</w:t>
      </w:r>
      <w:r w:rsidRPr="00F57270">
        <w:rPr>
          <w:b/>
        </w:rPr>
        <w:t xml:space="preserve"> in reducing the activation latency </w:t>
      </w:r>
      <w:r>
        <w:rPr>
          <w:b/>
        </w:rPr>
        <w:t xml:space="preserve">of the SCell in NR, </w:t>
      </w:r>
      <w:r w:rsidRPr="00F57270">
        <w:rPr>
          <w:b/>
        </w:rPr>
        <w:t>is not the CSI acquisition, but rather the UE ready time to receive PDCCH.</w:t>
      </w:r>
    </w:p>
    <w:p w14:paraId="3FFB267F" w14:textId="47FD619A" w:rsidR="003B0162" w:rsidRDefault="00845CE2" w:rsidP="00280722">
      <w:r>
        <w:t>T</w:t>
      </w:r>
      <w:r w:rsidR="00990D29">
        <w:t>here are cases where this can be reduced. As an example, recall that NR allows very wide bandwidth cells and the UE can realize the wider BW with multiple carriers that are contiguous or non-contiguous in the same cell band</w:t>
      </w:r>
      <w:r>
        <w:t xml:space="preserve">. </w:t>
      </w:r>
      <w:r w:rsidR="003B0162">
        <w:t>In cases like these, the UE is expected to use the same beam information for transmit and receive beam forming as well as the SSB timing information, and in some cases where the SCells do not have SSB, the PCell SSB can be used for PDCCH reception ready procedure.</w:t>
      </w:r>
    </w:p>
    <w:p w14:paraId="6F88F328" w14:textId="6725C6A0" w:rsidR="00845CE2" w:rsidRDefault="003B0162" w:rsidP="00280722">
      <w:r>
        <w:t xml:space="preserve">Based on the above, we see some benefits and potential in reduction of activation time </w:t>
      </w:r>
      <w:r w:rsidR="00845CE2">
        <w:t>but also note that in NR, any reduction in the PDCCH reception ready time and CSI reporting time requires input from RAN4 and RAN1.</w:t>
      </w:r>
    </w:p>
    <w:p w14:paraId="343C4A6A" w14:textId="570981DB" w:rsidR="00990D29" w:rsidRPr="00845CE2" w:rsidRDefault="00736FC3" w:rsidP="00280722">
      <w:pPr>
        <w:rPr>
          <w:b/>
        </w:rPr>
      </w:pPr>
      <w:r w:rsidRPr="00845CE2">
        <w:rPr>
          <w:b/>
        </w:rPr>
        <w:lastRenderedPageBreak/>
        <w:t>Proposal</w:t>
      </w:r>
      <w:r w:rsidR="005D38A4">
        <w:rPr>
          <w:b/>
        </w:rPr>
        <w:t xml:space="preserve"> 11</w:t>
      </w:r>
      <w:r w:rsidRPr="00845CE2">
        <w:rPr>
          <w:b/>
        </w:rPr>
        <w:t xml:space="preserve">: </w:t>
      </w:r>
      <w:r w:rsidR="00845CE2" w:rsidRPr="00845CE2">
        <w:rPr>
          <w:b/>
        </w:rPr>
        <w:t>RAN2 to agree to monitor the RAN1 progress on latency reduction in SCell activation time for NR SCells.</w:t>
      </w:r>
    </w:p>
    <w:p w14:paraId="3A46806B" w14:textId="10A03708" w:rsidR="00155BA2" w:rsidRDefault="00155BA2" w:rsidP="00155B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lang w:val="en-US"/>
        </w:rPr>
      </w:pPr>
    </w:p>
    <w:p w14:paraId="2AE6D99F" w14:textId="77777777" w:rsidR="00FB082B" w:rsidRDefault="00FB082B" w:rsidP="006D66EA">
      <w:pPr>
        <w:pStyle w:val="Heading1"/>
      </w:pPr>
      <w:r w:rsidRPr="003A28F3">
        <w:t xml:space="preserve">Conclusion and </w:t>
      </w:r>
      <w:r w:rsidRPr="006D66EA">
        <w:t>proposals</w:t>
      </w:r>
    </w:p>
    <w:p w14:paraId="4E05A016" w14:textId="77777777" w:rsidR="00272ADB" w:rsidRDefault="00272ADB" w:rsidP="00272ADB"/>
    <w:p w14:paraId="3DC5C082" w14:textId="77777777" w:rsidR="0083442F" w:rsidRPr="00871229" w:rsidRDefault="0083442F" w:rsidP="0083442F">
      <w:pPr>
        <w:rPr>
          <w:b/>
        </w:rPr>
      </w:pPr>
      <w:r w:rsidRPr="00871229">
        <w:rPr>
          <w:b/>
        </w:rPr>
        <w:t>Observation</w:t>
      </w:r>
      <w:r>
        <w:rPr>
          <w:b/>
        </w:rPr>
        <w:t xml:space="preserve"> 1</w:t>
      </w:r>
      <w:r w:rsidRPr="00871229">
        <w:rPr>
          <w:b/>
        </w:rPr>
        <w:t>: The LTE euCA enhancements for idle mode measurements can be re-used for the most part</w:t>
      </w:r>
      <w:r>
        <w:rPr>
          <w:b/>
        </w:rPr>
        <w:t xml:space="preserve"> such as configuration of early measurement reporting in RRC connection release, indication of measurement availability in RRC connection setup procedure and measurement results request/reporting over UE information procedure</w:t>
      </w:r>
      <w:r w:rsidRPr="00871229">
        <w:rPr>
          <w:b/>
        </w:rPr>
        <w:t>, with NR and MR-DC specific enhancements and exclusions.</w:t>
      </w:r>
    </w:p>
    <w:p w14:paraId="667712D1" w14:textId="77777777" w:rsidR="0083442F" w:rsidRDefault="0083442F" w:rsidP="0083442F"/>
    <w:p w14:paraId="0119C2BB" w14:textId="77777777" w:rsidR="0083442F" w:rsidRDefault="0083442F" w:rsidP="0083442F">
      <w:pPr>
        <w:rPr>
          <w:b/>
        </w:rPr>
      </w:pPr>
      <w:r w:rsidRPr="006A5249">
        <w:rPr>
          <w:b/>
        </w:rPr>
        <w:t>Proposal</w:t>
      </w:r>
      <w:r>
        <w:rPr>
          <w:b/>
        </w:rPr>
        <w:t xml:space="preserve"> 1</w:t>
      </w:r>
      <w:r w:rsidRPr="006A5249">
        <w:rPr>
          <w:b/>
        </w:rPr>
        <w:t xml:space="preserve">: </w:t>
      </w:r>
      <w:r>
        <w:rPr>
          <w:b/>
        </w:rPr>
        <w:t xml:space="preserve">NW provides </w:t>
      </w:r>
      <w:r w:rsidRPr="006A5249">
        <w:rPr>
          <w:b/>
        </w:rPr>
        <w:t>NR frequencies</w:t>
      </w:r>
      <w:r>
        <w:rPr>
          <w:b/>
        </w:rPr>
        <w:t xml:space="preserve"> for early measurement reporting in idle mode in RRC connection release. Details on measurement configurations are FFS.</w:t>
      </w:r>
    </w:p>
    <w:p w14:paraId="54503B80" w14:textId="77777777" w:rsidR="0083442F" w:rsidRPr="006A5249" w:rsidRDefault="0083442F" w:rsidP="0083442F">
      <w:pPr>
        <w:rPr>
          <w:b/>
        </w:rPr>
      </w:pPr>
      <w:r w:rsidRPr="006A5249">
        <w:rPr>
          <w:b/>
        </w:rPr>
        <w:t>Proposal</w:t>
      </w:r>
      <w:r>
        <w:rPr>
          <w:b/>
        </w:rPr>
        <w:t xml:space="preserve"> 2</w:t>
      </w:r>
      <w:r w:rsidRPr="006A5249">
        <w:rPr>
          <w:b/>
        </w:rPr>
        <w:t xml:space="preserve">:  </w:t>
      </w:r>
      <w:r>
        <w:rPr>
          <w:b/>
        </w:rPr>
        <w:t xml:space="preserve">A timer is supported to indicate </w:t>
      </w:r>
      <w:r w:rsidRPr="006A5249">
        <w:rPr>
          <w:b/>
        </w:rPr>
        <w:t>how long in time the UE should measure the NR frequencies while in NR idle.</w:t>
      </w:r>
      <w:r>
        <w:rPr>
          <w:b/>
        </w:rPr>
        <w:t xml:space="preserve"> It is configured by NW as in LTE euCA. Details on the timer are FFS.</w:t>
      </w:r>
    </w:p>
    <w:p w14:paraId="4759DC9B" w14:textId="77777777" w:rsidR="0083442F" w:rsidRDefault="0083442F" w:rsidP="0083442F">
      <w:pPr>
        <w:rPr>
          <w:b/>
        </w:rPr>
      </w:pPr>
      <w:r w:rsidRPr="006A5249">
        <w:rPr>
          <w:b/>
        </w:rPr>
        <w:t>Proposal</w:t>
      </w:r>
      <w:r>
        <w:rPr>
          <w:b/>
        </w:rPr>
        <w:t xml:space="preserve"> 3</w:t>
      </w:r>
      <w:r w:rsidRPr="006A5249">
        <w:rPr>
          <w:b/>
        </w:rPr>
        <w:t xml:space="preserve">: </w:t>
      </w:r>
      <w:r>
        <w:rPr>
          <w:b/>
        </w:rPr>
        <w:t>NW configures the UE to measure inter-RAT frequencies in UE idle for both LTE and NR, as part of the enhanced NR CA/MR-DC.</w:t>
      </w:r>
      <w:r w:rsidRPr="006A5249">
        <w:rPr>
          <w:b/>
        </w:rPr>
        <w:t xml:space="preserve"> </w:t>
      </w:r>
    </w:p>
    <w:p w14:paraId="5D70EEEA" w14:textId="77777777" w:rsidR="0083442F" w:rsidRDefault="0083442F" w:rsidP="0083442F">
      <w:pPr>
        <w:rPr>
          <w:b/>
        </w:rPr>
      </w:pPr>
      <w:r>
        <w:rPr>
          <w:b/>
        </w:rPr>
        <w:t xml:space="preserve">Proposal 4: </w:t>
      </w:r>
      <w:r w:rsidRPr="00BB36BF">
        <w:rPr>
          <w:b/>
        </w:rPr>
        <w:t xml:space="preserve">RAN4 to </w:t>
      </w:r>
      <w:r>
        <w:rPr>
          <w:b/>
        </w:rPr>
        <w:t>decide on</w:t>
      </w:r>
      <w:r w:rsidRPr="00BB36BF">
        <w:rPr>
          <w:b/>
        </w:rPr>
        <w:t xml:space="preserve"> the </w:t>
      </w:r>
      <w:r>
        <w:rPr>
          <w:b/>
        </w:rPr>
        <w:t xml:space="preserve">measurement requirement for NR </w:t>
      </w:r>
      <w:r w:rsidRPr="00BB36BF">
        <w:rPr>
          <w:b/>
        </w:rPr>
        <w:t>UE</w:t>
      </w:r>
      <w:r>
        <w:rPr>
          <w:b/>
        </w:rPr>
        <w:t xml:space="preserve"> inter-frequency and NR and LTE inter-RAT frequencies for early measurement reporting in idle mode..</w:t>
      </w:r>
    </w:p>
    <w:p w14:paraId="0F08E3B5" w14:textId="77777777" w:rsidR="0083442F" w:rsidRDefault="0083442F" w:rsidP="0083442F">
      <w:pPr>
        <w:rPr>
          <w:b/>
        </w:rPr>
      </w:pPr>
      <w:r w:rsidRPr="006A5249">
        <w:rPr>
          <w:b/>
        </w:rPr>
        <w:t>Proposal</w:t>
      </w:r>
      <w:r>
        <w:rPr>
          <w:b/>
        </w:rPr>
        <w:t xml:space="preserve"> 5</w:t>
      </w:r>
      <w:r w:rsidRPr="006A5249">
        <w:rPr>
          <w:b/>
        </w:rPr>
        <w:t xml:space="preserve">: NR CA and NR-NR/MR-DC uses the concept of validity area that is configured by the NW when </w:t>
      </w:r>
      <w:r>
        <w:rPr>
          <w:b/>
        </w:rPr>
        <w:t>the UE goes t</w:t>
      </w:r>
      <w:r w:rsidRPr="006A5249">
        <w:rPr>
          <w:b/>
        </w:rPr>
        <w:t xml:space="preserve">o idle. UE performs the idle mode measurements only when it is in the validity area. Details are FFS. </w:t>
      </w:r>
    </w:p>
    <w:p w14:paraId="09552515" w14:textId="77777777" w:rsidR="0083442F" w:rsidRDefault="0083442F" w:rsidP="0083442F">
      <w:pPr>
        <w:rPr>
          <w:b/>
        </w:rPr>
      </w:pPr>
      <w:r w:rsidRPr="004370FF">
        <w:rPr>
          <w:b/>
        </w:rPr>
        <w:t>Observation</w:t>
      </w:r>
      <w:r>
        <w:rPr>
          <w:b/>
        </w:rPr>
        <w:t xml:space="preserve"> 2</w:t>
      </w:r>
      <w:r w:rsidRPr="004370FF">
        <w:rPr>
          <w:b/>
        </w:rPr>
        <w:t>: Providing both LTE and NR measurements at the transition from RRC INACTIVE to RRC CONNECTED can help with setting up of MR-DC or NR-DC/CA faster.</w:t>
      </w:r>
    </w:p>
    <w:p w14:paraId="227C39C6" w14:textId="77777777" w:rsidR="0083442F" w:rsidRPr="006A5249" w:rsidRDefault="0083442F" w:rsidP="0083442F">
      <w:pPr>
        <w:rPr>
          <w:b/>
        </w:rPr>
      </w:pPr>
      <w:r w:rsidRPr="006A5249">
        <w:rPr>
          <w:b/>
        </w:rPr>
        <w:t>Proposal</w:t>
      </w:r>
      <w:r>
        <w:rPr>
          <w:b/>
        </w:rPr>
        <w:t xml:space="preserve"> 6</w:t>
      </w:r>
      <w:r w:rsidRPr="006A5249">
        <w:rPr>
          <w:b/>
        </w:rPr>
        <w:t>:</w:t>
      </w:r>
      <w:r>
        <w:rPr>
          <w:b/>
        </w:rPr>
        <w:t xml:space="preserve"> NR and LTE measurements can be configured by the NW when moving the UE from RRC_CONNECTED to NR RRC_INACTIVE state (FFS if the duration of the measurement will be different from transition to NR RRC_IDLE).  The UE provides these measurements after the transition to RRC_CONNECTED.</w:t>
      </w:r>
    </w:p>
    <w:p w14:paraId="12C4ACC9" w14:textId="77777777" w:rsidR="0083442F" w:rsidRPr="006A5249" w:rsidRDefault="0083442F" w:rsidP="0083442F">
      <w:pPr>
        <w:rPr>
          <w:b/>
        </w:rPr>
      </w:pPr>
      <w:r w:rsidRPr="006A5249">
        <w:rPr>
          <w:b/>
        </w:rPr>
        <w:t>Proposal</w:t>
      </w:r>
      <w:r>
        <w:rPr>
          <w:b/>
        </w:rPr>
        <w:t xml:space="preserve"> 7</w:t>
      </w:r>
      <w:r w:rsidRPr="006A5249">
        <w:rPr>
          <w:b/>
        </w:rPr>
        <w:t>:</w:t>
      </w:r>
      <w:r>
        <w:rPr>
          <w:b/>
        </w:rPr>
        <w:t xml:space="preserve"> LTE measurements can be configured by the NW when moving the UE from RRC_CONNECTED to LTE RRC_INACTIVE state for setting up of LTE CA at resumption (FFS if the duration of the measurement will be different from transition to LTE RRC_IDLE). The UE provides these measurements after transition to RRC_CONNECTED.</w:t>
      </w:r>
    </w:p>
    <w:p w14:paraId="170D9DA6" w14:textId="77777777" w:rsidR="0083442F" w:rsidRPr="006A5249" w:rsidRDefault="0083442F" w:rsidP="0083442F">
      <w:pPr>
        <w:rPr>
          <w:b/>
        </w:rPr>
      </w:pPr>
      <w:r w:rsidRPr="006A5249">
        <w:rPr>
          <w:b/>
        </w:rPr>
        <w:t>Proposal</w:t>
      </w:r>
      <w:r>
        <w:rPr>
          <w:b/>
        </w:rPr>
        <w:t xml:space="preserve"> 8</w:t>
      </w:r>
      <w:r w:rsidRPr="006A5249">
        <w:rPr>
          <w:b/>
        </w:rPr>
        <w:t>:</w:t>
      </w:r>
      <w:r>
        <w:rPr>
          <w:b/>
        </w:rPr>
        <w:t xml:space="preserve"> NR measurements can be configured by the NW when moving the UE from RRC_CONNECTED to LTE RRC_INACTIVE state (FFS if the duration of the measurement will be different from transition to LTE RRC_IDLE). The UE provides these measurements after transition to RRC_CONNECTED.</w:t>
      </w:r>
    </w:p>
    <w:p w14:paraId="76BAD819" w14:textId="77777777" w:rsidR="009F3233" w:rsidRPr="001F049A" w:rsidRDefault="009F3233" w:rsidP="009F3233">
      <w:pPr>
        <w:rPr>
          <w:b/>
        </w:rPr>
      </w:pPr>
      <w:r w:rsidRPr="001F049A">
        <w:rPr>
          <w:b/>
        </w:rPr>
        <w:t>Proposal</w:t>
      </w:r>
      <w:r>
        <w:rPr>
          <w:b/>
        </w:rPr>
        <w:t xml:space="preserve"> 9</w:t>
      </w:r>
      <w:r w:rsidRPr="001F049A">
        <w:rPr>
          <w:b/>
        </w:rPr>
        <w:t xml:space="preserve">: Direct activation of LTE and NR SCells in </w:t>
      </w:r>
      <w:r>
        <w:rPr>
          <w:b/>
        </w:rPr>
        <w:t>EN-DC and NE-DC</w:t>
      </w:r>
      <w:r w:rsidRPr="001F049A">
        <w:rPr>
          <w:b/>
        </w:rPr>
        <w:t xml:space="preserve"> and NR CA/DC </w:t>
      </w:r>
      <w:r>
        <w:rPr>
          <w:b/>
        </w:rPr>
        <w:t xml:space="preserve">at RRC configuration </w:t>
      </w:r>
      <w:r w:rsidRPr="001F049A">
        <w:rPr>
          <w:b/>
        </w:rPr>
        <w:t xml:space="preserve">by the NW is allowed, unless RAN4 objects. The timing requirements for activation </w:t>
      </w:r>
      <w:bookmarkStart w:id="3" w:name="_GoBack"/>
      <w:bookmarkEnd w:id="3"/>
      <w:r w:rsidRPr="001F049A">
        <w:rPr>
          <w:b/>
        </w:rPr>
        <w:t>are to be specified by RAN4.</w:t>
      </w:r>
    </w:p>
    <w:p w14:paraId="6302F24D" w14:textId="77777777" w:rsidR="009F3233" w:rsidRPr="006A5249" w:rsidRDefault="009F3233" w:rsidP="009F3233">
      <w:pPr>
        <w:rPr>
          <w:b/>
        </w:rPr>
      </w:pPr>
      <w:r w:rsidRPr="006A5249">
        <w:rPr>
          <w:b/>
        </w:rPr>
        <w:lastRenderedPageBreak/>
        <w:t>Proposal</w:t>
      </w:r>
      <w:r>
        <w:rPr>
          <w:b/>
        </w:rPr>
        <w:t xml:space="preserve"> 10</w:t>
      </w:r>
      <w:r w:rsidRPr="006A5249">
        <w:rPr>
          <w:b/>
        </w:rPr>
        <w:t>: NR serving cell configuration can be grouped for NR CA and NR-NR/MR-DC such that multiple cells in the same group can have the same configuration applied. The number of cells in a group is FFS</w:t>
      </w:r>
      <w:r>
        <w:rPr>
          <w:b/>
        </w:rPr>
        <w:t>.</w:t>
      </w:r>
    </w:p>
    <w:p w14:paraId="5E6729A7" w14:textId="77777777" w:rsidR="009F3233" w:rsidRPr="00F57270" w:rsidRDefault="009F3233" w:rsidP="009F3233">
      <w:pPr>
        <w:rPr>
          <w:b/>
        </w:rPr>
      </w:pPr>
      <w:r w:rsidRPr="00F57270">
        <w:rPr>
          <w:b/>
        </w:rPr>
        <w:t xml:space="preserve">Observation </w:t>
      </w:r>
      <w:r>
        <w:rPr>
          <w:b/>
        </w:rPr>
        <w:t>3</w:t>
      </w:r>
      <w:r w:rsidRPr="00F57270">
        <w:rPr>
          <w:b/>
        </w:rPr>
        <w:t xml:space="preserve">:  The </w:t>
      </w:r>
      <w:r>
        <w:rPr>
          <w:b/>
        </w:rPr>
        <w:t xml:space="preserve">CSI measurement/reporting delay in NR is much shorter than the delay the UE needs in getting itself ready to receive PDCCH on the activated SCell in NR. So compared to euCA, the main </w:t>
      </w:r>
      <w:r w:rsidRPr="00F57270">
        <w:rPr>
          <w:b/>
        </w:rPr>
        <w:t>factor</w:t>
      </w:r>
      <w:r>
        <w:rPr>
          <w:b/>
        </w:rPr>
        <w:t xml:space="preserve"> to consider</w:t>
      </w:r>
      <w:r w:rsidRPr="00F57270">
        <w:rPr>
          <w:b/>
        </w:rPr>
        <w:t xml:space="preserve"> in reducing the activation latency </w:t>
      </w:r>
      <w:r>
        <w:rPr>
          <w:b/>
        </w:rPr>
        <w:t xml:space="preserve">of the SCell in NR, </w:t>
      </w:r>
      <w:r w:rsidRPr="00F57270">
        <w:rPr>
          <w:b/>
        </w:rPr>
        <w:t>is not the CSI acquisition, but rather the UE ready time to receive PDCCH.</w:t>
      </w:r>
    </w:p>
    <w:p w14:paraId="145D3CD4" w14:textId="77777777" w:rsidR="009F3233" w:rsidRPr="00845CE2" w:rsidRDefault="009F3233" w:rsidP="009F3233">
      <w:pPr>
        <w:rPr>
          <w:b/>
        </w:rPr>
      </w:pPr>
      <w:r w:rsidRPr="00845CE2">
        <w:rPr>
          <w:b/>
        </w:rPr>
        <w:t>Proposal</w:t>
      </w:r>
      <w:r>
        <w:rPr>
          <w:b/>
        </w:rPr>
        <w:t xml:space="preserve"> 11</w:t>
      </w:r>
      <w:r w:rsidRPr="00845CE2">
        <w:rPr>
          <w:b/>
        </w:rPr>
        <w:t>: RAN2 to agree to monitor the RAN1 progress on latency reduction in SCell activation time for NR SCells.</w:t>
      </w:r>
    </w:p>
    <w:p w14:paraId="7AB3DAA3" w14:textId="77777777" w:rsidR="007F6D1B" w:rsidRDefault="007F6D1B" w:rsidP="00272A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heme="minorHAnsi"/>
          <w:b/>
          <w:lang w:val="en-US"/>
        </w:rPr>
      </w:pPr>
    </w:p>
    <w:p w14:paraId="6BEF0D93" w14:textId="703DCF45" w:rsidR="003F197A" w:rsidRPr="003A28F3" w:rsidRDefault="003F197A" w:rsidP="003F197A">
      <w:pPr>
        <w:pStyle w:val="Heading1"/>
      </w:pPr>
      <w:r>
        <w:t>References</w:t>
      </w:r>
    </w:p>
    <w:p w14:paraId="66F0FE00" w14:textId="192D38FB" w:rsidR="005C2FAD" w:rsidRDefault="005C2FAD" w:rsidP="003F197A">
      <w:r>
        <w:t xml:space="preserve">[1] </w:t>
      </w:r>
      <w:r w:rsidR="00B0762C">
        <w:t xml:space="preserve">RP-181457 New WID on DC and CA enhancements  </w:t>
      </w:r>
    </w:p>
    <w:p w14:paraId="1E7B438B" w14:textId="3B6D8DA8" w:rsidR="005C1FB5" w:rsidRDefault="005C1FB5" w:rsidP="00636E9D"/>
    <w:p w14:paraId="573611C0" w14:textId="77777777" w:rsidR="00E42880" w:rsidRDefault="00E42880" w:rsidP="00636E9D"/>
    <w:p w14:paraId="5053D07C" w14:textId="77777777" w:rsidR="00E42880" w:rsidRDefault="00E42880" w:rsidP="00636E9D"/>
    <w:sectPr w:rsidR="00E42880">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09D5F1" w16cid:durableId="1F85A4D5"/>
  <w16cid:commentId w16cid:paraId="4613F342" w16cid:durableId="1F85A4FE"/>
  <w16cid:commentId w16cid:paraId="25803431" w16cid:durableId="1F85A4D6"/>
  <w16cid:commentId w16cid:paraId="241EE63D" w16cid:durableId="1F85A4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B68FE" w14:textId="77777777" w:rsidR="00BB52AC" w:rsidRDefault="00BB52AC" w:rsidP="00DF7110">
      <w:pPr>
        <w:spacing w:after="0" w:line="240" w:lineRule="auto"/>
      </w:pPr>
      <w:r>
        <w:separator/>
      </w:r>
    </w:p>
  </w:endnote>
  <w:endnote w:type="continuationSeparator" w:id="0">
    <w:p w14:paraId="32B893E5" w14:textId="77777777" w:rsidR="00BB52AC" w:rsidRDefault="00BB52AC"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05FD7" w14:textId="77777777" w:rsidR="00BB52AC" w:rsidRDefault="00BB52AC" w:rsidP="00DF7110">
      <w:pPr>
        <w:spacing w:after="0" w:line="240" w:lineRule="auto"/>
      </w:pPr>
      <w:r>
        <w:separator/>
      </w:r>
    </w:p>
  </w:footnote>
  <w:footnote w:type="continuationSeparator" w:id="0">
    <w:p w14:paraId="3355F69D" w14:textId="77777777" w:rsidR="00BB52AC" w:rsidRDefault="00BB52AC"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7964457"/>
    <w:multiLevelType w:val="hybridMultilevel"/>
    <w:tmpl w:val="4CBA0948"/>
    <w:lvl w:ilvl="0" w:tplc="95F66E64">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C6DA4"/>
    <w:multiLevelType w:val="hybridMultilevel"/>
    <w:tmpl w:val="FB6AC6A2"/>
    <w:lvl w:ilvl="0" w:tplc="D01C7D6C">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3721605"/>
    <w:multiLevelType w:val="hybridMultilevel"/>
    <w:tmpl w:val="0748D9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D93443"/>
    <w:multiLevelType w:val="hybridMultilevel"/>
    <w:tmpl w:val="3C2836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6D7736"/>
    <w:multiLevelType w:val="hybridMultilevel"/>
    <w:tmpl w:val="71F68684"/>
    <w:lvl w:ilvl="0" w:tplc="EB86FEF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9501A5"/>
    <w:multiLevelType w:val="hybridMultilevel"/>
    <w:tmpl w:val="875EA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B679B"/>
    <w:multiLevelType w:val="hybridMultilevel"/>
    <w:tmpl w:val="0510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tentative="1">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3" w15:restartNumberingAfterBreak="0">
    <w:nsid w:val="75870066"/>
    <w:multiLevelType w:val="hybridMultilevel"/>
    <w:tmpl w:val="EA6A9244"/>
    <w:lvl w:ilvl="0" w:tplc="5008DAC8">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11"/>
  </w:num>
  <w:num w:numId="5">
    <w:abstractNumId w:val="1"/>
  </w:num>
  <w:num w:numId="6">
    <w:abstractNumId w:val="12"/>
  </w:num>
  <w:num w:numId="7">
    <w:abstractNumId w:val="3"/>
  </w:num>
  <w:num w:numId="8">
    <w:abstractNumId w:val="2"/>
  </w:num>
  <w:num w:numId="9">
    <w:abstractNumId w:val="13"/>
  </w:num>
  <w:num w:numId="10">
    <w:abstractNumId w:val="5"/>
  </w:num>
  <w:num w:numId="11">
    <w:abstractNumId w:val="9"/>
  </w:num>
  <w:num w:numId="12">
    <w:abstractNumId w:val="10"/>
  </w:num>
  <w:num w:numId="13">
    <w:abstractNumId w:val="14"/>
  </w:num>
  <w:num w:numId="14">
    <w:abstractNumId w:val="8"/>
  </w:num>
  <w:num w:numId="1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1C3A"/>
    <w:rsid w:val="000020E4"/>
    <w:rsid w:val="0000259F"/>
    <w:rsid w:val="000052F6"/>
    <w:rsid w:val="00005E74"/>
    <w:rsid w:val="000108C2"/>
    <w:rsid w:val="00011610"/>
    <w:rsid w:val="000122EF"/>
    <w:rsid w:val="000127B5"/>
    <w:rsid w:val="00013A53"/>
    <w:rsid w:val="00014DB9"/>
    <w:rsid w:val="00014EAC"/>
    <w:rsid w:val="0001633D"/>
    <w:rsid w:val="00016643"/>
    <w:rsid w:val="00017925"/>
    <w:rsid w:val="00017ADD"/>
    <w:rsid w:val="000209BD"/>
    <w:rsid w:val="00022227"/>
    <w:rsid w:val="00022530"/>
    <w:rsid w:val="00025114"/>
    <w:rsid w:val="0002518B"/>
    <w:rsid w:val="0002567C"/>
    <w:rsid w:val="000260C4"/>
    <w:rsid w:val="00027DC1"/>
    <w:rsid w:val="000318D7"/>
    <w:rsid w:val="00032E19"/>
    <w:rsid w:val="00033C3E"/>
    <w:rsid w:val="00034A19"/>
    <w:rsid w:val="00034DCA"/>
    <w:rsid w:val="00035239"/>
    <w:rsid w:val="0003548E"/>
    <w:rsid w:val="00035C44"/>
    <w:rsid w:val="0004213C"/>
    <w:rsid w:val="00042FC3"/>
    <w:rsid w:val="00043B00"/>
    <w:rsid w:val="00043F8C"/>
    <w:rsid w:val="000458A6"/>
    <w:rsid w:val="000467AB"/>
    <w:rsid w:val="000467BE"/>
    <w:rsid w:val="00046C64"/>
    <w:rsid w:val="00050A6F"/>
    <w:rsid w:val="000513BE"/>
    <w:rsid w:val="00051CC6"/>
    <w:rsid w:val="00052490"/>
    <w:rsid w:val="00052A78"/>
    <w:rsid w:val="0005306F"/>
    <w:rsid w:val="00054694"/>
    <w:rsid w:val="00054F6B"/>
    <w:rsid w:val="00055281"/>
    <w:rsid w:val="0005653C"/>
    <w:rsid w:val="0005679B"/>
    <w:rsid w:val="00056C4E"/>
    <w:rsid w:val="000601CD"/>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3A3"/>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1658"/>
    <w:rsid w:val="000927B0"/>
    <w:rsid w:val="00095A4A"/>
    <w:rsid w:val="0009652D"/>
    <w:rsid w:val="00096DA7"/>
    <w:rsid w:val="000972F5"/>
    <w:rsid w:val="000A0D11"/>
    <w:rsid w:val="000A0E9B"/>
    <w:rsid w:val="000A0EB7"/>
    <w:rsid w:val="000A2304"/>
    <w:rsid w:val="000A267A"/>
    <w:rsid w:val="000A2EB5"/>
    <w:rsid w:val="000A31A1"/>
    <w:rsid w:val="000A5529"/>
    <w:rsid w:val="000A5A30"/>
    <w:rsid w:val="000A647B"/>
    <w:rsid w:val="000A6AC1"/>
    <w:rsid w:val="000A6C96"/>
    <w:rsid w:val="000A6F4D"/>
    <w:rsid w:val="000A75B0"/>
    <w:rsid w:val="000A7642"/>
    <w:rsid w:val="000B60BE"/>
    <w:rsid w:val="000B6F71"/>
    <w:rsid w:val="000B7A4F"/>
    <w:rsid w:val="000C0749"/>
    <w:rsid w:val="000C088C"/>
    <w:rsid w:val="000C1817"/>
    <w:rsid w:val="000C1899"/>
    <w:rsid w:val="000C1CC4"/>
    <w:rsid w:val="000C1FE2"/>
    <w:rsid w:val="000C2537"/>
    <w:rsid w:val="000C4BD4"/>
    <w:rsid w:val="000C523A"/>
    <w:rsid w:val="000C66E7"/>
    <w:rsid w:val="000C7A7E"/>
    <w:rsid w:val="000D031F"/>
    <w:rsid w:val="000D0609"/>
    <w:rsid w:val="000D2585"/>
    <w:rsid w:val="000D2D90"/>
    <w:rsid w:val="000D33D7"/>
    <w:rsid w:val="000D3700"/>
    <w:rsid w:val="000D53F8"/>
    <w:rsid w:val="000D54E1"/>
    <w:rsid w:val="000D59A5"/>
    <w:rsid w:val="000D5D4E"/>
    <w:rsid w:val="000E02E3"/>
    <w:rsid w:val="000E1452"/>
    <w:rsid w:val="000E17F5"/>
    <w:rsid w:val="000E2DAA"/>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170"/>
    <w:rsid w:val="000F6280"/>
    <w:rsid w:val="000F7296"/>
    <w:rsid w:val="00100F2A"/>
    <w:rsid w:val="00101CAC"/>
    <w:rsid w:val="001024BA"/>
    <w:rsid w:val="001032DB"/>
    <w:rsid w:val="001039BE"/>
    <w:rsid w:val="00105979"/>
    <w:rsid w:val="00105A16"/>
    <w:rsid w:val="00105EA4"/>
    <w:rsid w:val="001065E0"/>
    <w:rsid w:val="00107B60"/>
    <w:rsid w:val="00107EBD"/>
    <w:rsid w:val="00110038"/>
    <w:rsid w:val="001112EA"/>
    <w:rsid w:val="00111D1C"/>
    <w:rsid w:val="00112997"/>
    <w:rsid w:val="00113B43"/>
    <w:rsid w:val="00113D1F"/>
    <w:rsid w:val="0011415B"/>
    <w:rsid w:val="00114899"/>
    <w:rsid w:val="001162D0"/>
    <w:rsid w:val="00120AA2"/>
    <w:rsid w:val="001213C0"/>
    <w:rsid w:val="00122CA0"/>
    <w:rsid w:val="0012303A"/>
    <w:rsid w:val="001236A8"/>
    <w:rsid w:val="00124DAB"/>
    <w:rsid w:val="001253B1"/>
    <w:rsid w:val="00125AD2"/>
    <w:rsid w:val="001262C5"/>
    <w:rsid w:val="00126930"/>
    <w:rsid w:val="001272E8"/>
    <w:rsid w:val="00127538"/>
    <w:rsid w:val="0012761E"/>
    <w:rsid w:val="001301D0"/>
    <w:rsid w:val="0013107C"/>
    <w:rsid w:val="00131FCD"/>
    <w:rsid w:val="0013298D"/>
    <w:rsid w:val="00133E38"/>
    <w:rsid w:val="00133E44"/>
    <w:rsid w:val="0013435E"/>
    <w:rsid w:val="00134CB8"/>
    <w:rsid w:val="001366EF"/>
    <w:rsid w:val="001368E9"/>
    <w:rsid w:val="00141B91"/>
    <w:rsid w:val="00142378"/>
    <w:rsid w:val="00142AD4"/>
    <w:rsid w:val="00143023"/>
    <w:rsid w:val="00143410"/>
    <w:rsid w:val="00143EDE"/>
    <w:rsid w:val="001440DA"/>
    <w:rsid w:val="001443AB"/>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593D"/>
    <w:rsid w:val="00155BA2"/>
    <w:rsid w:val="00156F72"/>
    <w:rsid w:val="00160AA8"/>
    <w:rsid w:val="001626FF"/>
    <w:rsid w:val="0016368A"/>
    <w:rsid w:val="00163C51"/>
    <w:rsid w:val="00164CF9"/>
    <w:rsid w:val="00165AAC"/>
    <w:rsid w:val="00171235"/>
    <w:rsid w:val="0017295A"/>
    <w:rsid w:val="00172C08"/>
    <w:rsid w:val="00172CD0"/>
    <w:rsid w:val="00172FC5"/>
    <w:rsid w:val="0017455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0A3E"/>
    <w:rsid w:val="001A3BA3"/>
    <w:rsid w:val="001A3C5F"/>
    <w:rsid w:val="001A4DA3"/>
    <w:rsid w:val="001A560F"/>
    <w:rsid w:val="001A561D"/>
    <w:rsid w:val="001A68A6"/>
    <w:rsid w:val="001A6FFA"/>
    <w:rsid w:val="001A7814"/>
    <w:rsid w:val="001B0972"/>
    <w:rsid w:val="001B0BAB"/>
    <w:rsid w:val="001B0E96"/>
    <w:rsid w:val="001B0F8C"/>
    <w:rsid w:val="001B2527"/>
    <w:rsid w:val="001B2B2E"/>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2FA4"/>
    <w:rsid w:val="001C5006"/>
    <w:rsid w:val="001C527B"/>
    <w:rsid w:val="001C678C"/>
    <w:rsid w:val="001C6CEB"/>
    <w:rsid w:val="001C6F55"/>
    <w:rsid w:val="001C7832"/>
    <w:rsid w:val="001D1718"/>
    <w:rsid w:val="001D1C57"/>
    <w:rsid w:val="001D1F36"/>
    <w:rsid w:val="001D2345"/>
    <w:rsid w:val="001D24BC"/>
    <w:rsid w:val="001D25F9"/>
    <w:rsid w:val="001D26BC"/>
    <w:rsid w:val="001D33A9"/>
    <w:rsid w:val="001D34DB"/>
    <w:rsid w:val="001D3529"/>
    <w:rsid w:val="001D3C86"/>
    <w:rsid w:val="001D4F14"/>
    <w:rsid w:val="001D5B46"/>
    <w:rsid w:val="001D72BF"/>
    <w:rsid w:val="001D7312"/>
    <w:rsid w:val="001D7F40"/>
    <w:rsid w:val="001E0FA7"/>
    <w:rsid w:val="001E19F6"/>
    <w:rsid w:val="001E1CFB"/>
    <w:rsid w:val="001E21D2"/>
    <w:rsid w:val="001E4937"/>
    <w:rsid w:val="001E662C"/>
    <w:rsid w:val="001E6B62"/>
    <w:rsid w:val="001E7CB8"/>
    <w:rsid w:val="001F00E4"/>
    <w:rsid w:val="001F017F"/>
    <w:rsid w:val="001F049A"/>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43A"/>
    <w:rsid w:val="00201512"/>
    <w:rsid w:val="00202030"/>
    <w:rsid w:val="002037E4"/>
    <w:rsid w:val="002047AB"/>
    <w:rsid w:val="00204990"/>
    <w:rsid w:val="00205FF3"/>
    <w:rsid w:val="0020695B"/>
    <w:rsid w:val="00206BC5"/>
    <w:rsid w:val="0020793F"/>
    <w:rsid w:val="00207C8F"/>
    <w:rsid w:val="00211121"/>
    <w:rsid w:val="00211898"/>
    <w:rsid w:val="00211A84"/>
    <w:rsid w:val="00211BE2"/>
    <w:rsid w:val="0021239D"/>
    <w:rsid w:val="0021355D"/>
    <w:rsid w:val="0021388D"/>
    <w:rsid w:val="00213A2B"/>
    <w:rsid w:val="00214155"/>
    <w:rsid w:val="00214DA0"/>
    <w:rsid w:val="00215A25"/>
    <w:rsid w:val="00215B7B"/>
    <w:rsid w:val="00215D01"/>
    <w:rsid w:val="002161A4"/>
    <w:rsid w:val="002163FB"/>
    <w:rsid w:val="0022098F"/>
    <w:rsid w:val="00221B31"/>
    <w:rsid w:val="00222601"/>
    <w:rsid w:val="00222689"/>
    <w:rsid w:val="00223696"/>
    <w:rsid w:val="00224EEA"/>
    <w:rsid w:val="00225201"/>
    <w:rsid w:val="00225A44"/>
    <w:rsid w:val="00225B31"/>
    <w:rsid w:val="002260F2"/>
    <w:rsid w:val="0022643E"/>
    <w:rsid w:val="00226BAF"/>
    <w:rsid w:val="00226D6E"/>
    <w:rsid w:val="002270E6"/>
    <w:rsid w:val="00230AE7"/>
    <w:rsid w:val="0023108D"/>
    <w:rsid w:val="002315B8"/>
    <w:rsid w:val="00231BD0"/>
    <w:rsid w:val="00234DCA"/>
    <w:rsid w:val="0023547A"/>
    <w:rsid w:val="00235E14"/>
    <w:rsid w:val="00235E7A"/>
    <w:rsid w:val="00235EA1"/>
    <w:rsid w:val="002368E4"/>
    <w:rsid w:val="002371D6"/>
    <w:rsid w:val="00237B3C"/>
    <w:rsid w:val="00237E21"/>
    <w:rsid w:val="00240588"/>
    <w:rsid w:val="002409D3"/>
    <w:rsid w:val="00241E04"/>
    <w:rsid w:val="00241E41"/>
    <w:rsid w:val="0024233F"/>
    <w:rsid w:val="002431DA"/>
    <w:rsid w:val="00243D3D"/>
    <w:rsid w:val="00244C3A"/>
    <w:rsid w:val="00245078"/>
    <w:rsid w:val="0024553B"/>
    <w:rsid w:val="00246F74"/>
    <w:rsid w:val="002471C2"/>
    <w:rsid w:val="002523C0"/>
    <w:rsid w:val="00252F31"/>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ADB"/>
    <w:rsid w:val="00272E11"/>
    <w:rsid w:val="00273390"/>
    <w:rsid w:val="00273746"/>
    <w:rsid w:val="0027555F"/>
    <w:rsid w:val="002758FE"/>
    <w:rsid w:val="00276AC0"/>
    <w:rsid w:val="002773BC"/>
    <w:rsid w:val="002777FF"/>
    <w:rsid w:val="002778AB"/>
    <w:rsid w:val="002803B1"/>
    <w:rsid w:val="00280722"/>
    <w:rsid w:val="002820C7"/>
    <w:rsid w:val="002826DA"/>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6E7C"/>
    <w:rsid w:val="00297485"/>
    <w:rsid w:val="002A0563"/>
    <w:rsid w:val="002A20BD"/>
    <w:rsid w:val="002A23F7"/>
    <w:rsid w:val="002A2CBA"/>
    <w:rsid w:val="002A3064"/>
    <w:rsid w:val="002A500D"/>
    <w:rsid w:val="002A635B"/>
    <w:rsid w:val="002A68E6"/>
    <w:rsid w:val="002A6DE2"/>
    <w:rsid w:val="002A79F9"/>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0AA"/>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1817"/>
    <w:rsid w:val="002D22A9"/>
    <w:rsid w:val="002D3047"/>
    <w:rsid w:val="002D3114"/>
    <w:rsid w:val="002D43B1"/>
    <w:rsid w:val="002D43F3"/>
    <w:rsid w:val="002D54BF"/>
    <w:rsid w:val="002D5CC5"/>
    <w:rsid w:val="002D63D7"/>
    <w:rsid w:val="002D6512"/>
    <w:rsid w:val="002D702D"/>
    <w:rsid w:val="002E1116"/>
    <w:rsid w:val="002E16CC"/>
    <w:rsid w:val="002E1834"/>
    <w:rsid w:val="002E18D2"/>
    <w:rsid w:val="002E20F8"/>
    <w:rsid w:val="002E279C"/>
    <w:rsid w:val="002E35FA"/>
    <w:rsid w:val="002E3AC0"/>
    <w:rsid w:val="002E4701"/>
    <w:rsid w:val="002E4813"/>
    <w:rsid w:val="002E5245"/>
    <w:rsid w:val="002E5E72"/>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243"/>
    <w:rsid w:val="003279EB"/>
    <w:rsid w:val="00330356"/>
    <w:rsid w:val="00331196"/>
    <w:rsid w:val="00331512"/>
    <w:rsid w:val="00331BC9"/>
    <w:rsid w:val="003327CF"/>
    <w:rsid w:val="00332A3A"/>
    <w:rsid w:val="00332B79"/>
    <w:rsid w:val="0033360E"/>
    <w:rsid w:val="00334DA4"/>
    <w:rsid w:val="00334E2C"/>
    <w:rsid w:val="003367FF"/>
    <w:rsid w:val="00340D92"/>
    <w:rsid w:val="003436E2"/>
    <w:rsid w:val="00343827"/>
    <w:rsid w:val="003447D9"/>
    <w:rsid w:val="00344F86"/>
    <w:rsid w:val="0034522E"/>
    <w:rsid w:val="003469E0"/>
    <w:rsid w:val="003505E8"/>
    <w:rsid w:val="00351002"/>
    <w:rsid w:val="00351BF2"/>
    <w:rsid w:val="0035259D"/>
    <w:rsid w:val="0035297C"/>
    <w:rsid w:val="0035422F"/>
    <w:rsid w:val="00354E62"/>
    <w:rsid w:val="00356420"/>
    <w:rsid w:val="0035643F"/>
    <w:rsid w:val="00356941"/>
    <w:rsid w:val="003601E5"/>
    <w:rsid w:val="003618AB"/>
    <w:rsid w:val="00362A35"/>
    <w:rsid w:val="00363B5B"/>
    <w:rsid w:val="0036464C"/>
    <w:rsid w:val="0036533C"/>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5877"/>
    <w:rsid w:val="003763C5"/>
    <w:rsid w:val="0037700A"/>
    <w:rsid w:val="00377100"/>
    <w:rsid w:val="00377887"/>
    <w:rsid w:val="00380B0E"/>
    <w:rsid w:val="0038196A"/>
    <w:rsid w:val="00383EF3"/>
    <w:rsid w:val="00384C07"/>
    <w:rsid w:val="00386C16"/>
    <w:rsid w:val="003871D2"/>
    <w:rsid w:val="003875EE"/>
    <w:rsid w:val="003877F9"/>
    <w:rsid w:val="003878D3"/>
    <w:rsid w:val="00387F7F"/>
    <w:rsid w:val="003906E6"/>
    <w:rsid w:val="0039106B"/>
    <w:rsid w:val="003914BB"/>
    <w:rsid w:val="003922C4"/>
    <w:rsid w:val="003927F2"/>
    <w:rsid w:val="0039325E"/>
    <w:rsid w:val="003936FD"/>
    <w:rsid w:val="0039401E"/>
    <w:rsid w:val="00394688"/>
    <w:rsid w:val="003956E8"/>
    <w:rsid w:val="00395782"/>
    <w:rsid w:val="00395B4A"/>
    <w:rsid w:val="00396B35"/>
    <w:rsid w:val="00397CF5"/>
    <w:rsid w:val="003A0016"/>
    <w:rsid w:val="003A007B"/>
    <w:rsid w:val="003A065D"/>
    <w:rsid w:val="003A10FA"/>
    <w:rsid w:val="003A1C6F"/>
    <w:rsid w:val="003A28F3"/>
    <w:rsid w:val="003A33DE"/>
    <w:rsid w:val="003A3699"/>
    <w:rsid w:val="003A3E50"/>
    <w:rsid w:val="003A4644"/>
    <w:rsid w:val="003A4D37"/>
    <w:rsid w:val="003A51D7"/>
    <w:rsid w:val="003A6AFB"/>
    <w:rsid w:val="003B0001"/>
    <w:rsid w:val="003B0162"/>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2D5C"/>
    <w:rsid w:val="003C3505"/>
    <w:rsid w:val="003C3C7F"/>
    <w:rsid w:val="003C4363"/>
    <w:rsid w:val="003C448C"/>
    <w:rsid w:val="003C4A67"/>
    <w:rsid w:val="003C4B5E"/>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2A"/>
    <w:rsid w:val="003E164B"/>
    <w:rsid w:val="003E1A61"/>
    <w:rsid w:val="003E21A8"/>
    <w:rsid w:val="003E2678"/>
    <w:rsid w:val="003E26DC"/>
    <w:rsid w:val="003E2B40"/>
    <w:rsid w:val="003E3A38"/>
    <w:rsid w:val="003E3CFD"/>
    <w:rsid w:val="003E3D82"/>
    <w:rsid w:val="003E4A26"/>
    <w:rsid w:val="003E534A"/>
    <w:rsid w:val="003E5BEF"/>
    <w:rsid w:val="003E6853"/>
    <w:rsid w:val="003E7FEC"/>
    <w:rsid w:val="003F042E"/>
    <w:rsid w:val="003F0DF6"/>
    <w:rsid w:val="003F0FBB"/>
    <w:rsid w:val="003F11CC"/>
    <w:rsid w:val="003F16B8"/>
    <w:rsid w:val="003F197A"/>
    <w:rsid w:val="003F2C30"/>
    <w:rsid w:val="003F2E40"/>
    <w:rsid w:val="003F41AD"/>
    <w:rsid w:val="003F65B5"/>
    <w:rsid w:val="003F72CE"/>
    <w:rsid w:val="003F7B2C"/>
    <w:rsid w:val="003F7F29"/>
    <w:rsid w:val="00400B33"/>
    <w:rsid w:val="00401ABE"/>
    <w:rsid w:val="00403643"/>
    <w:rsid w:val="00406483"/>
    <w:rsid w:val="00407640"/>
    <w:rsid w:val="00407B1F"/>
    <w:rsid w:val="00407CFD"/>
    <w:rsid w:val="0041071E"/>
    <w:rsid w:val="00411406"/>
    <w:rsid w:val="00411B37"/>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17824"/>
    <w:rsid w:val="0042030A"/>
    <w:rsid w:val="004211B7"/>
    <w:rsid w:val="004217E5"/>
    <w:rsid w:val="004225D9"/>
    <w:rsid w:val="00422C84"/>
    <w:rsid w:val="00423698"/>
    <w:rsid w:val="00425D65"/>
    <w:rsid w:val="004276FA"/>
    <w:rsid w:val="0042793A"/>
    <w:rsid w:val="00430179"/>
    <w:rsid w:val="004308F5"/>
    <w:rsid w:val="00431F0A"/>
    <w:rsid w:val="004323AA"/>
    <w:rsid w:val="004329CF"/>
    <w:rsid w:val="00432BE9"/>
    <w:rsid w:val="00432D60"/>
    <w:rsid w:val="00433060"/>
    <w:rsid w:val="00433B83"/>
    <w:rsid w:val="00434BDB"/>
    <w:rsid w:val="00435AE6"/>
    <w:rsid w:val="0043678F"/>
    <w:rsid w:val="004370DB"/>
    <w:rsid w:val="004370FF"/>
    <w:rsid w:val="0043710A"/>
    <w:rsid w:val="0043728B"/>
    <w:rsid w:val="00437EAE"/>
    <w:rsid w:val="00440808"/>
    <w:rsid w:val="00440F9C"/>
    <w:rsid w:val="00442061"/>
    <w:rsid w:val="004421B4"/>
    <w:rsid w:val="0044411B"/>
    <w:rsid w:val="004446E4"/>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63D"/>
    <w:rsid w:val="00465732"/>
    <w:rsid w:val="00465787"/>
    <w:rsid w:val="00466649"/>
    <w:rsid w:val="00466972"/>
    <w:rsid w:val="004675B1"/>
    <w:rsid w:val="00467948"/>
    <w:rsid w:val="00467B88"/>
    <w:rsid w:val="00470616"/>
    <w:rsid w:val="0047090D"/>
    <w:rsid w:val="00470A03"/>
    <w:rsid w:val="00471658"/>
    <w:rsid w:val="004735D7"/>
    <w:rsid w:val="004743CF"/>
    <w:rsid w:val="004752ED"/>
    <w:rsid w:val="004753D5"/>
    <w:rsid w:val="004753F6"/>
    <w:rsid w:val="00475CCB"/>
    <w:rsid w:val="00475D2B"/>
    <w:rsid w:val="00476EFD"/>
    <w:rsid w:val="004771B9"/>
    <w:rsid w:val="0047747A"/>
    <w:rsid w:val="004774FE"/>
    <w:rsid w:val="00480210"/>
    <w:rsid w:val="00481674"/>
    <w:rsid w:val="004820E8"/>
    <w:rsid w:val="00483046"/>
    <w:rsid w:val="004863BE"/>
    <w:rsid w:val="00486D2D"/>
    <w:rsid w:val="004872C5"/>
    <w:rsid w:val="004930FC"/>
    <w:rsid w:val="0049314E"/>
    <w:rsid w:val="00493979"/>
    <w:rsid w:val="00494134"/>
    <w:rsid w:val="0049468F"/>
    <w:rsid w:val="004946E1"/>
    <w:rsid w:val="00494B45"/>
    <w:rsid w:val="004953C7"/>
    <w:rsid w:val="00497203"/>
    <w:rsid w:val="00497786"/>
    <w:rsid w:val="004A2ACA"/>
    <w:rsid w:val="004A4311"/>
    <w:rsid w:val="004A52F4"/>
    <w:rsid w:val="004A5A97"/>
    <w:rsid w:val="004A6457"/>
    <w:rsid w:val="004A6822"/>
    <w:rsid w:val="004A7411"/>
    <w:rsid w:val="004A786C"/>
    <w:rsid w:val="004B0647"/>
    <w:rsid w:val="004B19B2"/>
    <w:rsid w:val="004B2ADE"/>
    <w:rsid w:val="004B2E4A"/>
    <w:rsid w:val="004B3A95"/>
    <w:rsid w:val="004B3B30"/>
    <w:rsid w:val="004B463C"/>
    <w:rsid w:val="004B55BD"/>
    <w:rsid w:val="004B69D2"/>
    <w:rsid w:val="004B71E8"/>
    <w:rsid w:val="004B76A4"/>
    <w:rsid w:val="004B7B32"/>
    <w:rsid w:val="004C02ED"/>
    <w:rsid w:val="004C1948"/>
    <w:rsid w:val="004C19A6"/>
    <w:rsid w:val="004C2DAD"/>
    <w:rsid w:val="004C3CFF"/>
    <w:rsid w:val="004C4696"/>
    <w:rsid w:val="004C46DD"/>
    <w:rsid w:val="004C4B7E"/>
    <w:rsid w:val="004C4C69"/>
    <w:rsid w:val="004C4FB1"/>
    <w:rsid w:val="004C5C98"/>
    <w:rsid w:val="004C5E82"/>
    <w:rsid w:val="004C62C8"/>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18"/>
    <w:rsid w:val="004F603D"/>
    <w:rsid w:val="004F629F"/>
    <w:rsid w:val="004F76B0"/>
    <w:rsid w:val="00500883"/>
    <w:rsid w:val="00500929"/>
    <w:rsid w:val="00500CB8"/>
    <w:rsid w:val="0050194D"/>
    <w:rsid w:val="00502A65"/>
    <w:rsid w:val="00503278"/>
    <w:rsid w:val="005034E2"/>
    <w:rsid w:val="00504CA7"/>
    <w:rsid w:val="00504D14"/>
    <w:rsid w:val="005058DE"/>
    <w:rsid w:val="00506276"/>
    <w:rsid w:val="00506880"/>
    <w:rsid w:val="00507F1C"/>
    <w:rsid w:val="00511DDC"/>
    <w:rsid w:val="005128E6"/>
    <w:rsid w:val="00512F80"/>
    <w:rsid w:val="00513EE2"/>
    <w:rsid w:val="005145C5"/>
    <w:rsid w:val="00514BF0"/>
    <w:rsid w:val="00515449"/>
    <w:rsid w:val="00515E23"/>
    <w:rsid w:val="005168D4"/>
    <w:rsid w:val="005203B5"/>
    <w:rsid w:val="00521316"/>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729"/>
    <w:rsid w:val="00543DF5"/>
    <w:rsid w:val="00545022"/>
    <w:rsid w:val="00547C01"/>
    <w:rsid w:val="00547DE2"/>
    <w:rsid w:val="005505C2"/>
    <w:rsid w:val="00550966"/>
    <w:rsid w:val="005510C8"/>
    <w:rsid w:val="00551937"/>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5C7"/>
    <w:rsid w:val="00585B50"/>
    <w:rsid w:val="00585B65"/>
    <w:rsid w:val="00586287"/>
    <w:rsid w:val="005872B0"/>
    <w:rsid w:val="00587C37"/>
    <w:rsid w:val="00590137"/>
    <w:rsid w:val="00590694"/>
    <w:rsid w:val="00590DDE"/>
    <w:rsid w:val="005922E7"/>
    <w:rsid w:val="0059294B"/>
    <w:rsid w:val="005A1241"/>
    <w:rsid w:val="005A1A58"/>
    <w:rsid w:val="005A1AC8"/>
    <w:rsid w:val="005A20C2"/>
    <w:rsid w:val="005A241C"/>
    <w:rsid w:val="005A2536"/>
    <w:rsid w:val="005A42E7"/>
    <w:rsid w:val="005A4BA7"/>
    <w:rsid w:val="005A4C61"/>
    <w:rsid w:val="005A571B"/>
    <w:rsid w:val="005A5F29"/>
    <w:rsid w:val="005A73B4"/>
    <w:rsid w:val="005A7996"/>
    <w:rsid w:val="005B10D0"/>
    <w:rsid w:val="005B1D45"/>
    <w:rsid w:val="005B237C"/>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1FB5"/>
    <w:rsid w:val="005C26BB"/>
    <w:rsid w:val="005C2ACF"/>
    <w:rsid w:val="005C2B45"/>
    <w:rsid w:val="005C2FAD"/>
    <w:rsid w:val="005C3B70"/>
    <w:rsid w:val="005C42E3"/>
    <w:rsid w:val="005C4607"/>
    <w:rsid w:val="005C513C"/>
    <w:rsid w:val="005C7697"/>
    <w:rsid w:val="005C770F"/>
    <w:rsid w:val="005D0986"/>
    <w:rsid w:val="005D0E30"/>
    <w:rsid w:val="005D2980"/>
    <w:rsid w:val="005D327E"/>
    <w:rsid w:val="005D38A4"/>
    <w:rsid w:val="005D4967"/>
    <w:rsid w:val="005D4968"/>
    <w:rsid w:val="005D4AB4"/>
    <w:rsid w:val="005D4FA7"/>
    <w:rsid w:val="005D57BC"/>
    <w:rsid w:val="005D74CE"/>
    <w:rsid w:val="005D7E7C"/>
    <w:rsid w:val="005E01FC"/>
    <w:rsid w:val="005E20C1"/>
    <w:rsid w:val="005E252A"/>
    <w:rsid w:val="005E33FE"/>
    <w:rsid w:val="005E3CBD"/>
    <w:rsid w:val="005E54A8"/>
    <w:rsid w:val="005E5F42"/>
    <w:rsid w:val="005E6B4D"/>
    <w:rsid w:val="005E71C4"/>
    <w:rsid w:val="005F00EE"/>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8FD"/>
    <w:rsid w:val="00634919"/>
    <w:rsid w:val="00634DE3"/>
    <w:rsid w:val="006350B4"/>
    <w:rsid w:val="006357B6"/>
    <w:rsid w:val="006364B9"/>
    <w:rsid w:val="00636E9D"/>
    <w:rsid w:val="00636ED2"/>
    <w:rsid w:val="00637171"/>
    <w:rsid w:val="00637457"/>
    <w:rsid w:val="00637B55"/>
    <w:rsid w:val="00640AD2"/>
    <w:rsid w:val="00640F15"/>
    <w:rsid w:val="00641BE0"/>
    <w:rsid w:val="00642455"/>
    <w:rsid w:val="0064286D"/>
    <w:rsid w:val="006429BA"/>
    <w:rsid w:val="0064450D"/>
    <w:rsid w:val="006448B3"/>
    <w:rsid w:val="00644D33"/>
    <w:rsid w:val="00645660"/>
    <w:rsid w:val="00645A79"/>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5204"/>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4CE6"/>
    <w:rsid w:val="006A50E6"/>
    <w:rsid w:val="006A5249"/>
    <w:rsid w:val="006A5726"/>
    <w:rsid w:val="006A65D9"/>
    <w:rsid w:val="006A669D"/>
    <w:rsid w:val="006A66BD"/>
    <w:rsid w:val="006A68B1"/>
    <w:rsid w:val="006A6C74"/>
    <w:rsid w:val="006A774D"/>
    <w:rsid w:val="006B01F0"/>
    <w:rsid w:val="006B07F6"/>
    <w:rsid w:val="006B10CB"/>
    <w:rsid w:val="006B117D"/>
    <w:rsid w:val="006B1F1E"/>
    <w:rsid w:val="006B2CB3"/>
    <w:rsid w:val="006B36CB"/>
    <w:rsid w:val="006B44B3"/>
    <w:rsid w:val="006B4FDB"/>
    <w:rsid w:val="006B6E3D"/>
    <w:rsid w:val="006C02AF"/>
    <w:rsid w:val="006C1303"/>
    <w:rsid w:val="006C1741"/>
    <w:rsid w:val="006C1DA7"/>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8E6"/>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121"/>
    <w:rsid w:val="00704556"/>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5E0"/>
    <w:rsid w:val="00722E48"/>
    <w:rsid w:val="0072322C"/>
    <w:rsid w:val="00724710"/>
    <w:rsid w:val="00725B35"/>
    <w:rsid w:val="007268B0"/>
    <w:rsid w:val="00727A3A"/>
    <w:rsid w:val="00730368"/>
    <w:rsid w:val="007304C1"/>
    <w:rsid w:val="00733BB4"/>
    <w:rsid w:val="00733EED"/>
    <w:rsid w:val="00734059"/>
    <w:rsid w:val="00734EF7"/>
    <w:rsid w:val="00735037"/>
    <w:rsid w:val="00736E12"/>
    <w:rsid w:val="00736FC3"/>
    <w:rsid w:val="00737721"/>
    <w:rsid w:val="007401C7"/>
    <w:rsid w:val="00740386"/>
    <w:rsid w:val="00741BA0"/>
    <w:rsid w:val="00741F11"/>
    <w:rsid w:val="0074214A"/>
    <w:rsid w:val="00742178"/>
    <w:rsid w:val="00742FB0"/>
    <w:rsid w:val="00743902"/>
    <w:rsid w:val="00744542"/>
    <w:rsid w:val="007450A3"/>
    <w:rsid w:val="00745715"/>
    <w:rsid w:val="00746001"/>
    <w:rsid w:val="007461E4"/>
    <w:rsid w:val="00746C36"/>
    <w:rsid w:val="007479A4"/>
    <w:rsid w:val="00747C4E"/>
    <w:rsid w:val="00752304"/>
    <w:rsid w:val="0075404D"/>
    <w:rsid w:val="00754649"/>
    <w:rsid w:val="00754A27"/>
    <w:rsid w:val="00756D16"/>
    <w:rsid w:val="00756E10"/>
    <w:rsid w:val="0075722E"/>
    <w:rsid w:val="007607D1"/>
    <w:rsid w:val="007628BB"/>
    <w:rsid w:val="00762967"/>
    <w:rsid w:val="0076296B"/>
    <w:rsid w:val="00763010"/>
    <w:rsid w:val="0076329A"/>
    <w:rsid w:val="007633F3"/>
    <w:rsid w:val="00764628"/>
    <w:rsid w:val="0076477C"/>
    <w:rsid w:val="00764899"/>
    <w:rsid w:val="00764965"/>
    <w:rsid w:val="00764F1B"/>
    <w:rsid w:val="00764F3E"/>
    <w:rsid w:val="00765FF8"/>
    <w:rsid w:val="0076667A"/>
    <w:rsid w:val="007671CA"/>
    <w:rsid w:val="00770385"/>
    <w:rsid w:val="00770524"/>
    <w:rsid w:val="007713D9"/>
    <w:rsid w:val="007716F1"/>
    <w:rsid w:val="00771F63"/>
    <w:rsid w:val="00774319"/>
    <w:rsid w:val="007746E1"/>
    <w:rsid w:val="007761A8"/>
    <w:rsid w:val="00776286"/>
    <w:rsid w:val="00776EC8"/>
    <w:rsid w:val="00776F5F"/>
    <w:rsid w:val="00777CC7"/>
    <w:rsid w:val="00780E29"/>
    <w:rsid w:val="00781DDC"/>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2902"/>
    <w:rsid w:val="007A3024"/>
    <w:rsid w:val="007A38F1"/>
    <w:rsid w:val="007A43E9"/>
    <w:rsid w:val="007A5CE7"/>
    <w:rsid w:val="007A5FB0"/>
    <w:rsid w:val="007A714E"/>
    <w:rsid w:val="007A778C"/>
    <w:rsid w:val="007A7C6F"/>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CE5"/>
    <w:rsid w:val="007C4F26"/>
    <w:rsid w:val="007C5A03"/>
    <w:rsid w:val="007C5A3B"/>
    <w:rsid w:val="007C681D"/>
    <w:rsid w:val="007D01A9"/>
    <w:rsid w:val="007D0F8B"/>
    <w:rsid w:val="007D11D6"/>
    <w:rsid w:val="007D2012"/>
    <w:rsid w:val="007D23EB"/>
    <w:rsid w:val="007D26AE"/>
    <w:rsid w:val="007D277E"/>
    <w:rsid w:val="007D5206"/>
    <w:rsid w:val="007D5C2A"/>
    <w:rsid w:val="007D600D"/>
    <w:rsid w:val="007D6379"/>
    <w:rsid w:val="007E06C4"/>
    <w:rsid w:val="007E0832"/>
    <w:rsid w:val="007E0E07"/>
    <w:rsid w:val="007E123E"/>
    <w:rsid w:val="007E1DEA"/>
    <w:rsid w:val="007E1DEE"/>
    <w:rsid w:val="007E242F"/>
    <w:rsid w:val="007E2494"/>
    <w:rsid w:val="007E3FD5"/>
    <w:rsid w:val="007E5325"/>
    <w:rsid w:val="007E5B4F"/>
    <w:rsid w:val="007E5D85"/>
    <w:rsid w:val="007E63B8"/>
    <w:rsid w:val="007E665A"/>
    <w:rsid w:val="007E6837"/>
    <w:rsid w:val="007E68BA"/>
    <w:rsid w:val="007E6F8D"/>
    <w:rsid w:val="007E7965"/>
    <w:rsid w:val="007F0DCE"/>
    <w:rsid w:val="007F139F"/>
    <w:rsid w:val="007F216C"/>
    <w:rsid w:val="007F27C8"/>
    <w:rsid w:val="007F2FC7"/>
    <w:rsid w:val="007F3479"/>
    <w:rsid w:val="007F3BA9"/>
    <w:rsid w:val="007F3EA4"/>
    <w:rsid w:val="007F4930"/>
    <w:rsid w:val="007F6468"/>
    <w:rsid w:val="007F6D1B"/>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BD9"/>
    <w:rsid w:val="00812E5D"/>
    <w:rsid w:val="00813787"/>
    <w:rsid w:val="00813B5F"/>
    <w:rsid w:val="00813C21"/>
    <w:rsid w:val="0081407F"/>
    <w:rsid w:val="00816064"/>
    <w:rsid w:val="00817115"/>
    <w:rsid w:val="00817664"/>
    <w:rsid w:val="00817AC9"/>
    <w:rsid w:val="0082043F"/>
    <w:rsid w:val="008224BD"/>
    <w:rsid w:val="00823801"/>
    <w:rsid w:val="008239B7"/>
    <w:rsid w:val="008239E6"/>
    <w:rsid w:val="00826363"/>
    <w:rsid w:val="00826DCF"/>
    <w:rsid w:val="008272B6"/>
    <w:rsid w:val="00830866"/>
    <w:rsid w:val="00830BEB"/>
    <w:rsid w:val="00832369"/>
    <w:rsid w:val="00832927"/>
    <w:rsid w:val="00833904"/>
    <w:rsid w:val="0083442F"/>
    <w:rsid w:val="00834ED8"/>
    <w:rsid w:val="00835BCE"/>
    <w:rsid w:val="0083691B"/>
    <w:rsid w:val="00836B2E"/>
    <w:rsid w:val="00836F12"/>
    <w:rsid w:val="00837D12"/>
    <w:rsid w:val="00840148"/>
    <w:rsid w:val="00840285"/>
    <w:rsid w:val="00841BBC"/>
    <w:rsid w:val="00841BDA"/>
    <w:rsid w:val="00841E2F"/>
    <w:rsid w:val="00845886"/>
    <w:rsid w:val="00845CE2"/>
    <w:rsid w:val="0084635C"/>
    <w:rsid w:val="0084702C"/>
    <w:rsid w:val="0084786B"/>
    <w:rsid w:val="00850AC0"/>
    <w:rsid w:val="00851CAE"/>
    <w:rsid w:val="008522AB"/>
    <w:rsid w:val="008526BA"/>
    <w:rsid w:val="00854744"/>
    <w:rsid w:val="00855703"/>
    <w:rsid w:val="00856631"/>
    <w:rsid w:val="00856968"/>
    <w:rsid w:val="00856F07"/>
    <w:rsid w:val="0085779B"/>
    <w:rsid w:val="00860521"/>
    <w:rsid w:val="00860AA1"/>
    <w:rsid w:val="00861ED2"/>
    <w:rsid w:val="008642B8"/>
    <w:rsid w:val="00864726"/>
    <w:rsid w:val="00864B1E"/>
    <w:rsid w:val="00865C64"/>
    <w:rsid w:val="00866011"/>
    <w:rsid w:val="00867B6F"/>
    <w:rsid w:val="00871229"/>
    <w:rsid w:val="00871A34"/>
    <w:rsid w:val="00871A8C"/>
    <w:rsid w:val="00871A9C"/>
    <w:rsid w:val="00872C85"/>
    <w:rsid w:val="008734DE"/>
    <w:rsid w:val="0087399A"/>
    <w:rsid w:val="00873BC8"/>
    <w:rsid w:val="00873E83"/>
    <w:rsid w:val="008747DE"/>
    <w:rsid w:val="008754FE"/>
    <w:rsid w:val="008756F0"/>
    <w:rsid w:val="008757F3"/>
    <w:rsid w:val="00876A89"/>
    <w:rsid w:val="00877885"/>
    <w:rsid w:val="00877C2C"/>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5CD7"/>
    <w:rsid w:val="008A683C"/>
    <w:rsid w:val="008A6F57"/>
    <w:rsid w:val="008A7027"/>
    <w:rsid w:val="008A743D"/>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4776"/>
    <w:rsid w:val="008C526F"/>
    <w:rsid w:val="008C5E57"/>
    <w:rsid w:val="008C705B"/>
    <w:rsid w:val="008D0E41"/>
    <w:rsid w:val="008D16D8"/>
    <w:rsid w:val="008D240E"/>
    <w:rsid w:val="008D29B1"/>
    <w:rsid w:val="008D34B5"/>
    <w:rsid w:val="008D3847"/>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63F"/>
    <w:rsid w:val="008F4925"/>
    <w:rsid w:val="008F5091"/>
    <w:rsid w:val="008F5E65"/>
    <w:rsid w:val="008F6481"/>
    <w:rsid w:val="008F7389"/>
    <w:rsid w:val="00902309"/>
    <w:rsid w:val="00902D34"/>
    <w:rsid w:val="009051CB"/>
    <w:rsid w:val="00906693"/>
    <w:rsid w:val="00906EE4"/>
    <w:rsid w:val="0091135C"/>
    <w:rsid w:val="0091149E"/>
    <w:rsid w:val="00911773"/>
    <w:rsid w:val="009119D1"/>
    <w:rsid w:val="00911D8B"/>
    <w:rsid w:val="00912AC5"/>
    <w:rsid w:val="009138CD"/>
    <w:rsid w:val="00913A62"/>
    <w:rsid w:val="009147EF"/>
    <w:rsid w:val="00915834"/>
    <w:rsid w:val="009162F7"/>
    <w:rsid w:val="00916944"/>
    <w:rsid w:val="00920769"/>
    <w:rsid w:val="00921D6A"/>
    <w:rsid w:val="00921EAE"/>
    <w:rsid w:val="00921FB8"/>
    <w:rsid w:val="009221C1"/>
    <w:rsid w:val="009222BB"/>
    <w:rsid w:val="009231BA"/>
    <w:rsid w:val="00924524"/>
    <w:rsid w:val="009245F2"/>
    <w:rsid w:val="00925023"/>
    <w:rsid w:val="00925AC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3EDB"/>
    <w:rsid w:val="009454F0"/>
    <w:rsid w:val="009456F0"/>
    <w:rsid w:val="00947168"/>
    <w:rsid w:val="009472A7"/>
    <w:rsid w:val="00947690"/>
    <w:rsid w:val="009502FE"/>
    <w:rsid w:val="00950430"/>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58A"/>
    <w:rsid w:val="0097285A"/>
    <w:rsid w:val="00974689"/>
    <w:rsid w:val="00974914"/>
    <w:rsid w:val="00974B94"/>
    <w:rsid w:val="009755BE"/>
    <w:rsid w:val="00975BD5"/>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0D29"/>
    <w:rsid w:val="0099144A"/>
    <w:rsid w:val="00991639"/>
    <w:rsid w:val="00991A2E"/>
    <w:rsid w:val="00993816"/>
    <w:rsid w:val="00993BA6"/>
    <w:rsid w:val="00994AA4"/>
    <w:rsid w:val="009970A4"/>
    <w:rsid w:val="00997437"/>
    <w:rsid w:val="009A081D"/>
    <w:rsid w:val="009A0820"/>
    <w:rsid w:val="009A0DA2"/>
    <w:rsid w:val="009A13BA"/>
    <w:rsid w:val="009A13C8"/>
    <w:rsid w:val="009A1911"/>
    <w:rsid w:val="009A268F"/>
    <w:rsid w:val="009A27EC"/>
    <w:rsid w:val="009A38C4"/>
    <w:rsid w:val="009A5952"/>
    <w:rsid w:val="009A5D42"/>
    <w:rsid w:val="009A60A1"/>
    <w:rsid w:val="009A76F2"/>
    <w:rsid w:val="009B082A"/>
    <w:rsid w:val="009B130A"/>
    <w:rsid w:val="009B148C"/>
    <w:rsid w:val="009B2826"/>
    <w:rsid w:val="009B314C"/>
    <w:rsid w:val="009B32EE"/>
    <w:rsid w:val="009B3495"/>
    <w:rsid w:val="009B3882"/>
    <w:rsid w:val="009B4024"/>
    <w:rsid w:val="009B41CA"/>
    <w:rsid w:val="009B4FE3"/>
    <w:rsid w:val="009B563B"/>
    <w:rsid w:val="009B68C4"/>
    <w:rsid w:val="009B6984"/>
    <w:rsid w:val="009B7358"/>
    <w:rsid w:val="009C09E7"/>
    <w:rsid w:val="009C30C1"/>
    <w:rsid w:val="009C376B"/>
    <w:rsid w:val="009C4030"/>
    <w:rsid w:val="009C57F4"/>
    <w:rsid w:val="009C5833"/>
    <w:rsid w:val="009C6DDA"/>
    <w:rsid w:val="009C7B5D"/>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B4F"/>
    <w:rsid w:val="009E4E74"/>
    <w:rsid w:val="009E5FA8"/>
    <w:rsid w:val="009E609E"/>
    <w:rsid w:val="009E65E6"/>
    <w:rsid w:val="009E6D77"/>
    <w:rsid w:val="009E7A47"/>
    <w:rsid w:val="009F02B3"/>
    <w:rsid w:val="009F115A"/>
    <w:rsid w:val="009F115F"/>
    <w:rsid w:val="009F147C"/>
    <w:rsid w:val="009F1E43"/>
    <w:rsid w:val="009F1EFE"/>
    <w:rsid w:val="009F2E5C"/>
    <w:rsid w:val="009F3233"/>
    <w:rsid w:val="009F4073"/>
    <w:rsid w:val="009F4605"/>
    <w:rsid w:val="009F4A57"/>
    <w:rsid w:val="009F521E"/>
    <w:rsid w:val="009F54A2"/>
    <w:rsid w:val="009F5AF9"/>
    <w:rsid w:val="009F6214"/>
    <w:rsid w:val="009F6324"/>
    <w:rsid w:val="009F663E"/>
    <w:rsid w:val="009F711B"/>
    <w:rsid w:val="009F7CBD"/>
    <w:rsid w:val="00A02717"/>
    <w:rsid w:val="00A03439"/>
    <w:rsid w:val="00A0375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3B"/>
    <w:rsid w:val="00A22771"/>
    <w:rsid w:val="00A23309"/>
    <w:rsid w:val="00A2362C"/>
    <w:rsid w:val="00A271B4"/>
    <w:rsid w:val="00A27CB4"/>
    <w:rsid w:val="00A27F39"/>
    <w:rsid w:val="00A305F5"/>
    <w:rsid w:val="00A315E1"/>
    <w:rsid w:val="00A3206E"/>
    <w:rsid w:val="00A32CCC"/>
    <w:rsid w:val="00A32E26"/>
    <w:rsid w:val="00A33418"/>
    <w:rsid w:val="00A34093"/>
    <w:rsid w:val="00A34C6C"/>
    <w:rsid w:val="00A366CD"/>
    <w:rsid w:val="00A370F3"/>
    <w:rsid w:val="00A37F05"/>
    <w:rsid w:val="00A406B5"/>
    <w:rsid w:val="00A41647"/>
    <w:rsid w:val="00A421BF"/>
    <w:rsid w:val="00A4248F"/>
    <w:rsid w:val="00A42A5B"/>
    <w:rsid w:val="00A42DDF"/>
    <w:rsid w:val="00A43F61"/>
    <w:rsid w:val="00A45C0E"/>
    <w:rsid w:val="00A45D55"/>
    <w:rsid w:val="00A46F32"/>
    <w:rsid w:val="00A505B6"/>
    <w:rsid w:val="00A505BA"/>
    <w:rsid w:val="00A50C36"/>
    <w:rsid w:val="00A5255D"/>
    <w:rsid w:val="00A52C9F"/>
    <w:rsid w:val="00A534F4"/>
    <w:rsid w:val="00A53F3C"/>
    <w:rsid w:val="00A54D2C"/>
    <w:rsid w:val="00A56034"/>
    <w:rsid w:val="00A578E2"/>
    <w:rsid w:val="00A600D8"/>
    <w:rsid w:val="00A608CC"/>
    <w:rsid w:val="00A60C0E"/>
    <w:rsid w:val="00A621CE"/>
    <w:rsid w:val="00A6278D"/>
    <w:rsid w:val="00A62C9E"/>
    <w:rsid w:val="00A63092"/>
    <w:rsid w:val="00A63691"/>
    <w:rsid w:val="00A6393B"/>
    <w:rsid w:val="00A64565"/>
    <w:rsid w:val="00A65490"/>
    <w:rsid w:val="00A6552F"/>
    <w:rsid w:val="00A6562C"/>
    <w:rsid w:val="00A65D63"/>
    <w:rsid w:val="00A66699"/>
    <w:rsid w:val="00A67E09"/>
    <w:rsid w:val="00A70DF9"/>
    <w:rsid w:val="00A7216C"/>
    <w:rsid w:val="00A7272D"/>
    <w:rsid w:val="00A72AF8"/>
    <w:rsid w:val="00A72CB2"/>
    <w:rsid w:val="00A734DB"/>
    <w:rsid w:val="00A73736"/>
    <w:rsid w:val="00A73D09"/>
    <w:rsid w:val="00A74FAC"/>
    <w:rsid w:val="00A753C0"/>
    <w:rsid w:val="00A75B9B"/>
    <w:rsid w:val="00A76AE7"/>
    <w:rsid w:val="00A7716C"/>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E7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A53"/>
    <w:rsid w:val="00AA3D38"/>
    <w:rsid w:val="00AA432E"/>
    <w:rsid w:val="00AA4332"/>
    <w:rsid w:val="00AA5338"/>
    <w:rsid w:val="00AA58A5"/>
    <w:rsid w:val="00AA7E2C"/>
    <w:rsid w:val="00AB187E"/>
    <w:rsid w:val="00AB1AFD"/>
    <w:rsid w:val="00AB1CA7"/>
    <w:rsid w:val="00AB3735"/>
    <w:rsid w:val="00AB4834"/>
    <w:rsid w:val="00AB552F"/>
    <w:rsid w:val="00AB5DAD"/>
    <w:rsid w:val="00AB5FA1"/>
    <w:rsid w:val="00AC043F"/>
    <w:rsid w:val="00AC13F0"/>
    <w:rsid w:val="00AC1ECD"/>
    <w:rsid w:val="00AC211B"/>
    <w:rsid w:val="00AC2303"/>
    <w:rsid w:val="00AC265E"/>
    <w:rsid w:val="00AC338D"/>
    <w:rsid w:val="00AC36FD"/>
    <w:rsid w:val="00AC40F0"/>
    <w:rsid w:val="00AC54CC"/>
    <w:rsid w:val="00AC62DA"/>
    <w:rsid w:val="00AC6FCF"/>
    <w:rsid w:val="00AC779E"/>
    <w:rsid w:val="00AC7D6A"/>
    <w:rsid w:val="00AD0482"/>
    <w:rsid w:val="00AD0E23"/>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0AA"/>
    <w:rsid w:val="00AE194A"/>
    <w:rsid w:val="00AE1F10"/>
    <w:rsid w:val="00AE3B17"/>
    <w:rsid w:val="00AE4CCD"/>
    <w:rsid w:val="00AE63CA"/>
    <w:rsid w:val="00AE7045"/>
    <w:rsid w:val="00AE773C"/>
    <w:rsid w:val="00AE7DC8"/>
    <w:rsid w:val="00AF13D2"/>
    <w:rsid w:val="00AF15D8"/>
    <w:rsid w:val="00AF1BFD"/>
    <w:rsid w:val="00AF218A"/>
    <w:rsid w:val="00AF24C3"/>
    <w:rsid w:val="00AF2FA7"/>
    <w:rsid w:val="00AF4011"/>
    <w:rsid w:val="00AF4A7B"/>
    <w:rsid w:val="00AF4AB4"/>
    <w:rsid w:val="00AF5614"/>
    <w:rsid w:val="00AF6D55"/>
    <w:rsid w:val="00AF6DB8"/>
    <w:rsid w:val="00AF75FD"/>
    <w:rsid w:val="00B015F3"/>
    <w:rsid w:val="00B01B58"/>
    <w:rsid w:val="00B02280"/>
    <w:rsid w:val="00B03F42"/>
    <w:rsid w:val="00B05407"/>
    <w:rsid w:val="00B05F0A"/>
    <w:rsid w:val="00B06768"/>
    <w:rsid w:val="00B0762C"/>
    <w:rsid w:val="00B07760"/>
    <w:rsid w:val="00B10692"/>
    <w:rsid w:val="00B13BF3"/>
    <w:rsid w:val="00B15D2A"/>
    <w:rsid w:val="00B1695D"/>
    <w:rsid w:val="00B17719"/>
    <w:rsid w:val="00B205B6"/>
    <w:rsid w:val="00B20D44"/>
    <w:rsid w:val="00B2173C"/>
    <w:rsid w:val="00B21752"/>
    <w:rsid w:val="00B21CBA"/>
    <w:rsid w:val="00B230BF"/>
    <w:rsid w:val="00B230E8"/>
    <w:rsid w:val="00B23259"/>
    <w:rsid w:val="00B237AA"/>
    <w:rsid w:val="00B237B1"/>
    <w:rsid w:val="00B25497"/>
    <w:rsid w:val="00B254B8"/>
    <w:rsid w:val="00B25DC8"/>
    <w:rsid w:val="00B271A8"/>
    <w:rsid w:val="00B30492"/>
    <w:rsid w:val="00B308EB"/>
    <w:rsid w:val="00B311F0"/>
    <w:rsid w:val="00B3160A"/>
    <w:rsid w:val="00B3269D"/>
    <w:rsid w:val="00B32BA3"/>
    <w:rsid w:val="00B339BD"/>
    <w:rsid w:val="00B33C1A"/>
    <w:rsid w:val="00B34B55"/>
    <w:rsid w:val="00B35470"/>
    <w:rsid w:val="00B35688"/>
    <w:rsid w:val="00B36871"/>
    <w:rsid w:val="00B37060"/>
    <w:rsid w:val="00B3756B"/>
    <w:rsid w:val="00B403A6"/>
    <w:rsid w:val="00B40902"/>
    <w:rsid w:val="00B40AB5"/>
    <w:rsid w:val="00B40D3D"/>
    <w:rsid w:val="00B4132C"/>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6F9C"/>
    <w:rsid w:val="00B5775B"/>
    <w:rsid w:val="00B6046E"/>
    <w:rsid w:val="00B60530"/>
    <w:rsid w:val="00B61D0C"/>
    <w:rsid w:val="00B62FC2"/>
    <w:rsid w:val="00B63DBE"/>
    <w:rsid w:val="00B646E6"/>
    <w:rsid w:val="00B6533C"/>
    <w:rsid w:val="00B6628E"/>
    <w:rsid w:val="00B662FC"/>
    <w:rsid w:val="00B6650F"/>
    <w:rsid w:val="00B66990"/>
    <w:rsid w:val="00B66C2C"/>
    <w:rsid w:val="00B6775E"/>
    <w:rsid w:val="00B67BF0"/>
    <w:rsid w:val="00B7032E"/>
    <w:rsid w:val="00B71775"/>
    <w:rsid w:val="00B71CCC"/>
    <w:rsid w:val="00B7252A"/>
    <w:rsid w:val="00B72924"/>
    <w:rsid w:val="00B72B9A"/>
    <w:rsid w:val="00B72E57"/>
    <w:rsid w:val="00B73100"/>
    <w:rsid w:val="00B74481"/>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418"/>
    <w:rsid w:val="00B93A44"/>
    <w:rsid w:val="00B946F3"/>
    <w:rsid w:val="00B95BE1"/>
    <w:rsid w:val="00B95C02"/>
    <w:rsid w:val="00B95FA9"/>
    <w:rsid w:val="00B96946"/>
    <w:rsid w:val="00B97671"/>
    <w:rsid w:val="00BA047C"/>
    <w:rsid w:val="00BA0B68"/>
    <w:rsid w:val="00BA2A3D"/>
    <w:rsid w:val="00BA2FBA"/>
    <w:rsid w:val="00BA3F63"/>
    <w:rsid w:val="00BA4291"/>
    <w:rsid w:val="00BA5D92"/>
    <w:rsid w:val="00BA63F0"/>
    <w:rsid w:val="00BA6A70"/>
    <w:rsid w:val="00BA6FB0"/>
    <w:rsid w:val="00BB09BB"/>
    <w:rsid w:val="00BB1108"/>
    <w:rsid w:val="00BB2526"/>
    <w:rsid w:val="00BB2B91"/>
    <w:rsid w:val="00BB36BF"/>
    <w:rsid w:val="00BB40C1"/>
    <w:rsid w:val="00BB4344"/>
    <w:rsid w:val="00BB4E3B"/>
    <w:rsid w:val="00BB52AC"/>
    <w:rsid w:val="00BB59B9"/>
    <w:rsid w:val="00BB5C22"/>
    <w:rsid w:val="00BB5FB6"/>
    <w:rsid w:val="00BB6EF7"/>
    <w:rsid w:val="00BB72D7"/>
    <w:rsid w:val="00BC0D10"/>
    <w:rsid w:val="00BC1356"/>
    <w:rsid w:val="00BC16F3"/>
    <w:rsid w:val="00BC18F8"/>
    <w:rsid w:val="00BC2A33"/>
    <w:rsid w:val="00BC2B69"/>
    <w:rsid w:val="00BC2D0C"/>
    <w:rsid w:val="00BC31E7"/>
    <w:rsid w:val="00BC35CD"/>
    <w:rsid w:val="00BC43FC"/>
    <w:rsid w:val="00BC443F"/>
    <w:rsid w:val="00BC4BDB"/>
    <w:rsid w:val="00BC4C22"/>
    <w:rsid w:val="00BC514E"/>
    <w:rsid w:val="00BC64F5"/>
    <w:rsid w:val="00BC7958"/>
    <w:rsid w:val="00BC7A21"/>
    <w:rsid w:val="00BC7D59"/>
    <w:rsid w:val="00BD2C30"/>
    <w:rsid w:val="00BD2D48"/>
    <w:rsid w:val="00BD309C"/>
    <w:rsid w:val="00BD4B47"/>
    <w:rsid w:val="00BD51C0"/>
    <w:rsid w:val="00BD62ED"/>
    <w:rsid w:val="00BD63B0"/>
    <w:rsid w:val="00BD7BEB"/>
    <w:rsid w:val="00BE1069"/>
    <w:rsid w:val="00BE1777"/>
    <w:rsid w:val="00BE1F35"/>
    <w:rsid w:val="00BE21DD"/>
    <w:rsid w:val="00BE2D2B"/>
    <w:rsid w:val="00BE2E9C"/>
    <w:rsid w:val="00BE2F8F"/>
    <w:rsid w:val="00BE58B1"/>
    <w:rsid w:val="00BE5D7B"/>
    <w:rsid w:val="00BE5E59"/>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BF7B6B"/>
    <w:rsid w:val="00C005CB"/>
    <w:rsid w:val="00C01562"/>
    <w:rsid w:val="00C01D47"/>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56F0"/>
    <w:rsid w:val="00C16304"/>
    <w:rsid w:val="00C16E7A"/>
    <w:rsid w:val="00C17136"/>
    <w:rsid w:val="00C20EE9"/>
    <w:rsid w:val="00C2140A"/>
    <w:rsid w:val="00C216C7"/>
    <w:rsid w:val="00C2289D"/>
    <w:rsid w:val="00C228D0"/>
    <w:rsid w:val="00C23BCE"/>
    <w:rsid w:val="00C23BD3"/>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6D0B"/>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CE"/>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329"/>
    <w:rsid w:val="00CB3948"/>
    <w:rsid w:val="00CB3B63"/>
    <w:rsid w:val="00CB44AE"/>
    <w:rsid w:val="00CB48D7"/>
    <w:rsid w:val="00CB57F5"/>
    <w:rsid w:val="00CC03CC"/>
    <w:rsid w:val="00CC0882"/>
    <w:rsid w:val="00CC0A60"/>
    <w:rsid w:val="00CC0ABD"/>
    <w:rsid w:val="00CC20ED"/>
    <w:rsid w:val="00CC2667"/>
    <w:rsid w:val="00CC3953"/>
    <w:rsid w:val="00CC3E27"/>
    <w:rsid w:val="00CC3FFC"/>
    <w:rsid w:val="00CC5281"/>
    <w:rsid w:val="00CC6687"/>
    <w:rsid w:val="00CC6BA9"/>
    <w:rsid w:val="00CC7193"/>
    <w:rsid w:val="00CC778E"/>
    <w:rsid w:val="00CD004F"/>
    <w:rsid w:val="00CD0177"/>
    <w:rsid w:val="00CD2C72"/>
    <w:rsid w:val="00CD413E"/>
    <w:rsid w:val="00CD5AF3"/>
    <w:rsid w:val="00CE0604"/>
    <w:rsid w:val="00CE0FEB"/>
    <w:rsid w:val="00CE1841"/>
    <w:rsid w:val="00CE1870"/>
    <w:rsid w:val="00CE1983"/>
    <w:rsid w:val="00CE3843"/>
    <w:rsid w:val="00CE4356"/>
    <w:rsid w:val="00CE5224"/>
    <w:rsid w:val="00CE580D"/>
    <w:rsid w:val="00CE5C88"/>
    <w:rsid w:val="00CE7003"/>
    <w:rsid w:val="00CE7F87"/>
    <w:rsid w:val="00CF04CB"/>
    <w:rsid w:val="00CF0BEB"/>
    <w:rsid w:val="00CF1C3E"/>
    <w:rsid w:val="00CF30CF"/>
    <w:rsid w:val="00CF58FC"/>
    <w:rsid w:val="00CF68DC"/>
    <w:rsid w:val="00CF6EA2"/>
    <w:rsid w:val="00CF701F"/>
    <w:rsid w:val="00D00E1E"/>
    <w:rsid w:val="00D010E3"/>
    <w:rsid w:val="00D0127C"/>
    <w:rsid w:val="00D01489"/>
    <w:rsid w:val="00D0199D"/>
    <w:rsid w:val="00D019C1"/>
    <w:rsid w:val="00D047FA"/>
    <w:rsid w:val="00D05285"/>
    <w:rsid w:val="00D05810"/>
    <w:rsid w:val="00D05CD3"/>
    <w:rsid w:val="00D0664F"/>
    <w:rsid w:val="00D06EA4"/>
    <w:rsid w:val="00D07906"/>
    <w:rsid w:val="00D10025"/>
    <w:rsid w:val="00D114E3"/>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324"/>
    <w:rsid w:val="00D268EC"/>
    <w:rsid w:val="00D30B0C"/>
    <w:rsid w:val="00D3286F"/>
    <w:rsid w:val="00D3291B"/>
    <w:rsid w:val="00D33C53"/>
    <w:rsid w:val="00D35C2C"/>
    <w:rsid w:val="00D35E0D"/>
    <w:rsid w:val="00D360B4"/>
    <w:rsid w:val="00D3665F"/>
    <w:rsid w:val="00D36A9B"/>
    <w:rsid w:val="00D41305"/>
    <w:rsid w:val="00D418D2"/>
    <w:rsid w:val="00D4243B"/>
    <w:rsid w:val="00D42BB9"/>
    <w:rsid w:val="00D440C8"/>
    <w:rsid w:val="00D443DF"/>
    <w:rsid w:val="00D44441"/>
    <w:rsid w:val="00D44C7A"/>
    <w:rsid w:val="00D469A0"/>
    <w:rsid w:val="00D46AB8"/>
    <w:rsid w:val="00D46B2D"/>
    <w:rsid w:val="00D53301"/>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27DF"/>
    <w:rsid w:val="00D73298"/>
    <w:rsid w:val="00D74994"/>
    <w:rsid w:val="00D7518E"/>
    <w:rsid w:val="00D753E9"/>
    <w:rsid w:val="00D755FD"/>
    <w:rsid w:val="00D759DD"/>
    <w:rsid w:val="00D75A8B"/>
    <w:rsid w:val="00D76287"/>
    <w:rsid w:val="00D76C12"/>
    <w:rsid w:val="00D76D8E"/>
    <w:rsid w:val="00D772F1"/>
    <w:rsid w:val="00D80D4C"/>
    <w:rsid w:val="00D814ED"/>
    <w:rsid w:val="00D81A6A"/>
    <w:rsid w:val="00D8251D"/>
    <w:rsid w:val="00D82F31"/>
    <w:rsid w:val="00D84180"/>
    <w:rsid w:val="00D845EA"/>
    <w:rsid w:val="00D84715"/>
    <w:rsid w:val="00D853D1"/>
    <w:rsid w:val="00D855C2"/>
    <w:rsid w:val="00D85D73"/>
    <w:rsid w:val="00D860D0"/>
    <w:rsid w:val="00D901B3"/>
    <w:rsid w:val="00D90A13"/>
    <w:rsid w:val="00D90A1F"/>
    <w:rsid w:val="00D91F11"/>
    <w:rsid w:val="00D9219C"/>
    <w:rsid w:val="00D92359"/>
    <w:rsid w:val="00D936D8"/>
    <w:rsid w:val="00D93743"/>
    <w:rsid w:val="00D93B3F"/>
    <w:rsid w:val="00D94159"/>
    <w:rsid w:val="00D947F4"/>
    <w:rsid w:val="00D96636"/>
    <w:rsid w:val="00D96924"/>
    <w:rsid w:val="00D96E0C"/>
    <w:rsid w:val="00D9748B"/>
    <w:rsid w:val="00DA0633"/>
    <w:rsid w:val="00DA0AB7"/>
    <w:rsid w:val="00DA1296"/>
    <w:rsid w:val="00DA307A"/>
    <w:rsid w:val="00DA39DB"/>
    <w:rsid w:val="00DA42D7"/>
    <w:rsid w:val="00DA4D16"/>
    <w:rsid w:val="00DA508B"/>
    <w:rsid w:val="00DA5BDB"/>
    <w:rsid w:val="00DA6A24"/>
    <w:rsid w:val="00DB0539"/>
    <w:rsid w:val="00DB0648"/>
    <w:rsid w:val="00DB0927"/>
    <w:rsid w:val="00DB0E20"/>
    <w:rsid w:val="00DB0E2C"/>
    <w:rsid w:val="00DB2F62"/>
    <w:rsid w:val="00DB326F"/>
    <w:rsid w:val="00DB3848"/>
    <w:rsid w:val="00DB3E18"/>
    <w:rsid w:val="00DB4000"/>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1FFA"/>
    <w:rsid w:val="00DD2FD5"/>
    <w:rsid w:val="00DD448F"/>
    <w:rsid w:val="00DD4B60"/>
    <w:rsid w:val="00DD4F46"/>
    <w:rsid w:val="00DD55F2"/>
    <w:rsid w:val="00DD59BD"/>
    <w:rsid w:val="00DD6AEE"/>
    <w:rsid w:val="00DE05DE"/>
    <w:rsid w:val="00DE1ABB"/>
    <w:rsid w:val="00DE3012"/>
    <w:rsid w:val="00DE313F"/>
    <w:rsid w:val="00DE323E"/>
    <w:rsid w:val="00DE33A2"/>
    <w:rsid w:val="00DE36C2"/>
    <w:rsid w:val="00DE3CA8"/>
    <w:rsid w:val="00DE4110"/>
    <w:rsid w:val="00DE4C01"/>
    <w:rsid w:val="00DE4D71"/>
    <w:rsid w:val="00DE566B"/>
    <w:rsid w:val="00DE5CA0"/>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0992"/>
    <w:rsid w:val="00E21E40"/>
    <w:rsid w:val="00E24D86"/>
    <w:rsid w:val="00E267C9"/>
    <w:rsid w:val="00E26C08"/>
    <w:rsid w:val="00E26D49"/>
    <w:rsid w:val="00E30AE3"/>
    <w:rsid w:val="00E30DAC"/>
    <w:rsid w:val="00E318D1"/>
    <w:rsid w:val="00E3194D"/>
    <w:rsid w:val="00E31F56"/>
    <w:rsid w:val="00E322F4"/>
    <w:rsid w:val="00E32719"/>
    <w:rsid w:val="00E32D15"/>
    <w:rsid w:val="00E34059"/>
    <w:rsid w:val="00E34997"/>
    <w:rsid w:val="00E34E62"/>
    <w:rsid w:val="00E35B47"/>
    <w:rsid w:val="00E35E79"/>
    <w:rsid w:val="00E37226"/>
    <w:rsid w:val="00E37DB7"/>
    <w:rsid w:val="00E40A6B"/>
    <w:rsid w:val="00E40BEF"/>
    <w:rsid w:val="00E4253D"/>
    <w:rsid w:val="00E42841"/>
    <w:rsid w:val="00E42880"/>
    <w:rsid w:val="00E43AAE"/>
    <w:rsid w:val="00E44273"/>
    <w:rsid w:val="00E44B14"/>
    <w:rsid w:val="00E44EE1"/>
    <w:rsid w:val="00E45097"/>
    <w:rsid w:val="00E46C82"/>
    <w:rsid w:val="00E509E7"/>
    <w:rsid w:val="00E5122C"/>
    <w:rsid w:val="00E518BC"/>
    <w:rsid w:val="00E5284F"/>
    <w:rsid w:val="00E52CFA"/>
    <w:rsid w:val="00E52E40"/>
    <w:rsid w:val="00E530D0"/>
    <w:rsid w:val="00E537F3"/>
    <w:rsid w:val="00E537FF"/>
    <w:rsid w:val="00E5408F"/>
    <w:rsid w:val="00E54627"/>
    <w:rsid w:val="00E54D20"/>
    <w:rsid w:val="00E56A48"/>
    <w:rsid w:val="00E600AE"/>
    <w:rsid w:val="00E6026E"/>
    <w:rsid w:val="00E60387"/>
    <w:rsid w:val="00E607D7"/>
    <w:rsid w:val="00E60A9E"/>
    <w:rsid w:val="00E61893"/>
    <w:rsid w:val="00E62B7C"/>
    <w:rsid w:val="00E62CD5"/>
    <w:rsid w:val="00E63322"/>
    <w:rsid w:val="00E63A8C"/>
    <w:rsid w:val="00E64423"/>
    <w:rsid w:val="00E65206"/>
    <w:rsid w:val="00E65212"/>
    <w:rsid w:val="00E652C1"/>
    <w:rsid w:val="00E654CD"/>
    <w:rsid w:val="00E6617A"/>
    <w:rsid w:val="00E66D8B"/>
    <w:rsid w:val="00E672CC"/>
    <w:rsid w:val="00E67E6F"/>
    <w:rsid w:val="00E704DE"/>
    <w:rsid w:val="00E71E28"/>
    <w:rsid w:val="00E73D09"/>
    <w:rsid w:val="00E73F62"/>
    <w:rsid w:val="00E74072"/>
    <w:rsid w:val="00E74607"/>
    <w:rsid w:val="00E74609"/>
    <w:rsid w:val="00E74753"/>
    <w:rsid w:val="00E74B43"/>
    <w:rsid w:val="00E75AAE"/>
    <w:rsid w:val="00E7615D"/>
    <w:rsid w:val="00E770ED"/>
    <w:rsid w:val="00E771C6"/>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25C2"/>
    <w:rsid w:val="00EA547F"/>
    <w:rsid w:val="00EA5BD7"/>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6AD8"/>
    <w:rsid w:val="00EC7114"/>
    <w:rsid w:val="00EC7944"/>
    <w:rsid w:val="00ED0C6D"/>
    <w:rsid w:val="00ED111E"/>
    <w:rsid w:val="00ED16E3"/>
    <w:rsid w:val="00ED22F9"/>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4D82"/>
    <w:rsid w:val="00EE625C"/>
    <w:rsid w:val="00EE718B"/>
    <w:rsid w:val="00EE7B38"/>
    <w:rsid w:val="00EF0018"/>
    <w:rsid w:val="00EF0A72"/>
    <w:rsid w:val="00EF1C92"/>
    <w:rsid w:val="00EF2AA6"/>
    <w:rsid w:val="00EF2D25"/>
    <w:rsid w:val="00EF39B9"/>
    <w:rsid w:val="00EF488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4AFC"/>
    <w:rsid w:val="00F0738B"/>
    <w:rsid w:val="00F100A9"/>
    <w:rsid w:val="00F1029A"/>
    <w:rsid w:val="00F1036D"/>
    <w:rsid w:val="00F103AC"/>
    <w:rsid w:val="00F10E98"/>
    <w:rsid w:val="00F114BB"/>
    <w:rsid w:val="00F1185C"/>
    <w:rsid w:val="00F12B31"/>
    <w:rsid w:val="00F13226"/>
    <w:rsid w:val="00F134E4"/>
    <w:rsid w:val="00F15AE1"/>
    <w:rsid w:val="00F1775E"/>
    <w:rsid w:val="00F20708"/>
    <w:rsid w:val="00F21C06"/>
    <w:rsid w:val="00F22DD1"/>
    <w:rsid w:val="00F23449"/>
    <w:rsid w:val="00F2351B"/>
    <w:rsid w:val="00F2398B"/>
    <w:rsid w:val="00F23E64"/>
    <w:rsid w:val="00F2598D"/>
    <w:rsid w:val="00F25AE1"/>
    <w:rsid w:val="00F25E50"/>
    <w:rsid w:val="00F25F74"/>
    <w:rsid w:val="00F278CE"/>
    <w:rsid w:val="00F30287"/>
    <w:rsid w:val="00F31191"/>
    <w:rsid w:val="00F3164E"/>
    <w:rsid w:val="00F32973"/>
    <w:rsid w:val="00F3300B"/>
    <w:rsid w:val="00F335BB"/>
    <w:rsid w:val="00F33B36"/>
    <w:rsid w:val="00F33C88"/>
    <w:rsid w:val="00F34185"/>
    <w:rsid w:val="00F3563D"/>
    <w:rsid w:val="00F35B3C"/>
    <w:rsid w:val="00F36AE0"/>
    <w:rsid w:val="00F3749C"/>
    <w:rsid w:val="00F41F1D"/>
    <w:rsid w:val="00F42B98"/>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270"/>
    <w:rsid w:val="00F57A3E"/>
    <w:rsid w:val="00F60B5D"/>
    <w:rsid w:val="00F60ED5"/>
    <w:rsid w:val="00F61396"/>
    <w:rsid w:val="00F62E7D"/>
    <w:rsid w:val="00F63532"/>
    <w:rsid w:val="00F63BB5"/>
    <w:rsid w:val="00F64350"/>
    <w:rsid w:val="00F65914"/>
    <w:rsid w:val="00F70269"/>
    <w:rsid w:val="00F7096A"/>
    <w:rsid w:val="00F70D45"/>
    <w:rsid w:val="00F70ED9"/>
    <w:rsid w:val="00F71143"/>
    <w:rsid w:val="00F71475"/>
    <w:rsid w:val="00F73A9D"/>
    <w:rsid w:val="00F73CA7"/>
    <w:rsid w:val="00F7433A"/>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97DE6"/>
    <w:rsid w:val="00FA050A"/>
    <w:rsid w:val="00FA0D9F"/>
    <w:rsid w:val="00FA1AAD"/>
    <w:rsid w:val="00FA1E6D"/>
    <w:rsid w:val="00FA23B4"/>
    <w:rsid w:val="00FA34D0"/>
    <w:rsid w:val="00FA3819"/>
    <w:rsid w:val="00FA436A"/>
    <w:rsid w:val="00FA45B8"/>
    <w:rsid w:val="00FA5E05"/>
    <w:rsid w:val="00FA6478"/>
    <w:rsid w:val="00FB03C8"/>
    <w:rsid w:val="00FB082B"/>
    <w:rsid w:val="00FB1F61"/>
    <w:rsid w:val="00FB22EF"/>
    <w:rsid w:val="00FB253C"/>
    <w:rsid w:val="00FB33DA"/>
    <w:rsid w:val="00FB449A"/>
    <w:rsid w:val="00FB4E8B"/>
    <w:rsid w:val="00FB5195"/>
    <w:rsid w:val="00FB5865"/>
    <w:rsid w:val="00FC0953"/>
    <w:rsid w:val="00FC1224"/>
    <w:rsid w:val="00FC13DC"/>
    <w:rsid w:val="00FC177A"/>
    <w:rsid w:val="00FC229B"/>
    <w:rsid w:val="00FC258A"/>
    <w:rsid w:val="00FC30DB"/>
    <w:rsid w:val="00FC4378"/>
    <w:rsid w:val="00FC45ED"/>
    <w:rsid w:val="00FC4A91"/>
    <w:rsid w:val="00FC4B7E"/>
    <w:rsid w:val="00FC4F00"/>
    <w:rsid w:val="00FC5D27"/>
    <w:rsid w:val="00FC6988"/>
    <w:rsid w:val="00FD0302"/>
    <w:rsid w:val="00FD0F41"/>
    <w:rsid w:val="00FD1214"/>
    <w:rsid w:val="00FD28E6"/>
    <w:rsid w:val="00FD46DB"/>
    <w:rsid w:val="00FD6D75"/>
    <w:rsid w:val="00FE17D3"/>
    <w:rsid w:val="00FE1A6A"/>
    <w:rsid w:val="00FE1D98"/>
    <w:rsid w:val="00FE1DF4"/>
    <w:rsid w:val="00FE3E3F"/>
    <w:rsid w:val="00FE4777"/>
    <w:rsid w:val="00FE6056"/>
    <w:rsid w:val="00FE72E2"/>
    <w:rsid w:val="00FF2C4D"/>
    <w:rsid w:val="00FF2F22"/>
    <w:rsid w:val="00FF473D"/>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styleId="BodyText">
    <w:name w:val="Body Text"/>
    <w:basedOn w:val="Normal"/>
    <w:link w:val="BodyTextChar"/>
    <w:unhideWhenUsed/>
    <w:rsid w:val="001443AB"/>
    <w:pPr>
      <w:overflowPunct w:val="0"/>
      <w:autoSpaceDE w:val="0"/>
      <w:autoSpaceDN w:val="0"/>
      <w:adjustRightInd w:val="0"/>
      <w:spacing w:after="120" w:line="240" w:lineRule="auto"/>
    </w:pPr>
    <w:rPr>
      <w:rFonts w:ascii="Times New Roman" w:hAnsi="Times New Roman" w:cs="Times New Roman"/>
      <w:sz w:val="20"/>
      <w:szCs w:val="20"/>
    </w:rPr>
  </w:style>
  <w:style w:type="character" w:customStyle="1" w:styleId="BodyTextChar">
    <w:name w:val="Body Text Char"/>
    <w:basedOn w:val="DefaultParagraphFont"/>
    <w:link w:val="BodyText"/>
    <w:rsid w:val="001443AB"/>
    <w:rPr>
      <w:rFonts w:ascii="Times New Roman" w:hAnsi="Times New Roman" w:cs="Times New Roman"/>
      <w:sz w:val="20"/>
      <w:szCs w:val="20"/>
    </w:rPr>
  </w:style>
  <w:style w:type="paragraph" w:customStyle="1" w:styleId="N1">
    <w:name w:val="N1"/>
    <w:basedOn w:val="Normal"/>
    <w:link w:val="N1Char"/>
    <w:qFormat/>
    <w:rsid w:val="005E6B4D"/>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5E6B4D"/>
    <w:rPr>
      <w:rFonts w:eastAsiaTheme="minorEastAsia" w:cstheme="minorHAnsi"/>
      <w:lang w:val="en-US" w:eastAsia="ko-KR" w:bidi="hi-IN"/>
    </w:rPr>
  </w:style>
  <w:style w:type="paragraph" w:customStyle="1" w:styleId="Agreement">
    <w:name w:val="Agreement"/>
    <w:basedOn w:val="Normal"/>
    <w:next w:val="Doc-text2"/>
    <w:rsid w:val="00776286"/>
    <w:pPr>
      <w:numPr>
        <w:numId w:val="6"/>
      </w:numPr>
      <w:spacing w:before="60" w:after="0" w:line="240" w:lineRule="auto"/>
    </w:pPr>
    <w:rPr>
      <w:rFonts w:ascii="Arial" w:eastAsia="MS Mincho" w:hAnsi="Arial" w:cs="Times New Roman"/>
      <w:b/>
      <w:sz w:val="20"/>
      <w:szCs w:val="24"/>
      <w:lang w:eastAsia="en-GB"/>
    </w:rPr>
  </w:style>
  <w:style w:type="table" w:styleId="TableGrid">
    <w:name w:val="Table Grid"/>
    <w:basedOn w:val="TableNormal"/>
    <w:uiPriority w:val="39"/>
    <w:rsid w:val="00E37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D1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2D1817"/>
    <w:rPr>
      <w:rFonts w:ascii="Courier New" w:eastAsia="Times New Roman" w:hAnsi="Courier New" w:cs="Courier New"/>
      <w:sz w:val="20"/>
      <w:szCs w:val="20"/>
      <w:lang w:val="en-US"/>
    </w:rPr>
  </w:style>
  <w:style w:type="character" w:customStyle="1" w:styleId="ZGSM">
    <w:name w:val="ZGSM"/>
    <w:rsid w:val="003F197A"/>
  </w:style>
  <w:style w:type="paragraph" w:customStyle="1" w:styleId="ZT">
    <w:name w:val="ZT"/>
    <w:rsid w:val="003F197A"/>
    <w:pPr>
      <w:framePr w:wrap="notBeside" w:hAnchor="margin" w:yAlign="center"/>
      <w:widowControl w:val="0"/>
      <w:spacing w:after="0" w:line="240" w:lineRule="atLeast"/>
      <w:jc w:val="right"/>
    </w:pPr>
    <w:rPr>
      <w:rFonts w:ascii="Arial" w:hAnsi="Arial" w:cs="Times New Roman"/>
      <w:b/>
      <w:sz w:val="34"/>
      <w:szCs w:val="20"/>
    </w:rPr>
  </w:style>
  <w:style w:type="paragraph" w:customStyle="1" w:styleId="3GPPHeader">
    <w:name w:val="3GPP_Header"/>
    <w:basedOn w:val="BodyText"/>
    <w:rsid w:val="005A20C2"/>
    <w:pPr>
      <w:tabs>
        <w:tab w:val="left" w:pos="1701"/>
        <w:tab w:val="right" w:pos="9639"/>
      </w:tabs>
      <w:spacing w:after="240"/>
      <w:jc w:val="both"/>
      <w:textAlignment w:val="baseline"/>
    </w:pPr>
    <w:rPr>
      <w:rFonts w:ascii="Arial" w:eastAsiaTheme="minorEastAsia"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77500869">
      <w:bodyDiv w:val="1"/>
      <w:marLeft w:val="0"/>
      <w:marRight w:val="0"/>
      <w:marTop w:val="0"/>
      <w:marBottom w:val="0"/>
      <w:divBdr>
        <w:top w:val="none" w:sz="0" w:space="0" w:color="auto"/>
        <w:left w:val="none" w:sz="0" w:space="0" w:color="auto"/>
        <w:bottom w:val="none" w:sz="0" w:space="0" w:color="auto"/>
        <w:right w:val="none" w:sz="0" w:space="0" w:color="auto"/>
      </w:divBdr>
    </w:div>
    <w:div w:id="190075281">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18706302">
      <w:bodyDiv w:val="1"/>
      <w:marLeft w:val="0"/>
      <w:marRight w:val="0"/>
      <w:marTop w:val="0"/>
      <w:marBottom w:val="0"/>
      <w:divBdr>
        <w:top w:val="none" w:sz="0" w:space="0" w:color="auto"/>
        <w:left w:val="none" w:sz="0" w:space="0" w:color="auto"/>
        <w:bottom w:val="none" w:sz="0" w:space="0" w:color="auto"/>
        <w:right w:val="none" w:sz="0" w:space="0" w:color="auto"/>
      </w:divBdr>
    </w:div>
    <w:div w:id="236595382">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68031912">
      <w:bodyDiv w:val="1"/>
      <w:marLeft w:val="0"/>
      <w:marRight w:val="0"/>
      <w:marTop w:val="0"/>
      <w:marBottom w:val="0"/>
      <w:divBdr>
        <w:top w:val="none" w:sz="0" w:space="0" w:color="auto"/>
        <w:left w:val="none" w:sz="0" w:space="0" w:color="auto"/>
        <w:bottom w:val="none" w:sz="0" w:space="0" w:color="auto"/>
        <w:right w:val="none" w:sz="0" w:space="0" w:color="auto"/>
      </w:divBdr>
    </w:div>
    <w:div w:id="599918383">
      <w:bodyDiv w:val="1"/>
      <w:marLeft w:val="0"/>
      <w:marRight w:val="0"/>
      <w:marTop w:val="0"/>
      <w:marBottom w:val="0"/>
      <w:divBdr>
        <w:top w:val="none" w:sz="0" w:space="0" w:color="auto"/>
        <w:left w:val="none" w:sz="0" w:space="0" w:color="auto"/>
        <w:bottom w:val="none" w:sz="0" w:space="0" w:color="auto"/>
        <w:right w:val="none" w:sz="0" w:space="0" w:color="auto"/>
      </w:divBdr>
      <w:divsChild>
        <w:div w:id="14965698">
          <w:marLeft w:val="360"/>
          <w:marRight w:val="0"/>
          <w:marTop w:val="240"/>
          <w:marBottom w:val="0"/>
          <w:divBdr>
            <w:top w:val="none" w:sz="0" w:space="0" w:color="auto"/>
            <w:left w:val="none" w:sz="0" w:space="0" w:color="auto"/>
            <w:bottom w:val="none" w:sz="0" w:space="0" w:color="auto"/>
            <w:right w:val="none" w:sz="0" w:space="0" w:color="auto"/>
          </w:divBdr>
        </w:div>
        <w:div w:id="144245424">
          <w:marLeft w:val="360"/>
          <w:marRight w:val="0"/>
          <w:marTop w:val="240"/>
          <w:marBottom w:val="0"/>
          <w:divBdr>
            <w:top w:val="none" w:sz="0" w:space="0" w:color="auto"/>
            <w:left w:val="none" w:sz="0" w:space="0" w:color="auto"/>
            <w:bottom w:val="none" w:sz="0" w:space="0" w:color="auto"/>
            <w:right w:val="none" w:sz="0" w:space="0" w:color="auto"/>
          </w:divBdr>
        </w:div>
        <w:div w:id="1821385638">
          <w:marLeft w:val="360"/>
          <w:marRight w:val="0"/>
          <w:marTop w:val="240"/>
          <w:marBottom w:val="0"/>
          <w:divBdr>
            <w:top w:val="none" w:sz="0" w:space="0" w:color="auto"/>
            <w:left w:val="none" w:sz="0" w:space="0" w:color="auto"/>
            <w:bottom w:val="none" w:sz="0" w:space="0" w:color="auto"/>
            <w:right w:val="none" w:sz="0" w:space="0" w:color="auto"/>
          </w:divBdr>
        </w:div>
      </w:divsChild>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60031696">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72910352">
      <w:bodyDiv w:val="1"/>
      <w:marLeft w:val="0"/>
      <w:marRight w:val="0"/>
      <w:marTop w:val="0"/>
      <w:marBottom w:val="0"/>
      <w:divBdr>
        <w:top w:val="none" w:sz="0" w:space="0" w:color="auto"/>
        <w:left w:val="none" w:sz="0" w:space="0" w:color="auto"/>
        <w:bottom w:val="none" w:sz="0" w:space="0" w:color="auto"/>
        <w:right w:val="none" w:sz="0" w:space="0" w:color="auto"/>
      </w:divBdr>
      <w:divsChild>
        <w:div w:id="946500872">
          <w:marLeft w:val="360"/>
          <w:marRight w:val="0"/>
          <w:marTop w:val="240"/>
          <w:marBottom w:val="0"/>
          <w:divBdr>
            <w:top w:val="none" w:sz="0" w:space="0" w:color="auto"/>
            <w:left w:val="none" w:sz="0" w:space="0" w:color="auto"/>
            <w:bottom w:val="none" w:sz="0" w:space="0" w:color="auto"/>
            <w:right w:val="none" w:sz="0" w:space="0" w:color="auto"/>
          </w:divBdr>
        </w:div>
        <w:div w:id="1090546538">
          <w:marLeft w:val="360"/>
          <w:marRight w:val="0"/>
          <w:marTop w:val="240"/>
          <w:marBottom w:val="0"/>
          <w:divBdr>
            <w:top w:val="none" w:sz="0" w:space="0" w:color="auto"/>
            <w:left w:val="none" w:sz="0" w:space="0" w:color="auto"/>
            <w:bottom w:val="none" w:sz="0" w:space="0" w:color="auto"/>
            <w:right w:val="none" w:sz="0" w:space="0" w:color="auto"/>
          </w:divBdr>
        </w:div>
        <w:div w:id="770664514">
          <w:marLeft w:val="360"/>
          <w:marRight w:val="0"/>
          <w:marTop w:val="240"/>
          <w:marBottom w:val="0"/>
          <w:divBdr>
            <w:top w:val="none" w:sz="0" w:space="0" w:color="auto"/>
            <w:left w:val="none" w:sz="0" w:space="0" w:color="auto"/>
            <w:bottom w:val="none" w:sz="0" w:space="0" w:color="auto"/>
            <w:right w:val="none" w:sz="0" w:space="0" w:color="auto"/>
          </w:divBdr>
        </w:div>
      </w:divsChild>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52155793">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15929862">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2070494199">
      <w:bodyDiv w:val="1"/>
      <w:marLeft w:val="0"/>
      <w:marRight w:val="0"/>
      <w:marTop w:val="0"/>
      <w:marBottom w:val="0"/>
      <w:divBdr>
        <w:top w:val="none" w:sz="0" w:space="0" w:color="auto"/>
        <w:left w:val="none" w:sz="0" w:space="0" w:color="auto"/>
        <w:bottom w:val="none" w:sz="0" w:space="0" w:color="auto"/>
        <w:right w:val="none" w:sz="0" w:space="0" w:color="auto"/>
      </w:divBdr>
      <w:divsChild>
        <w:div w:id="232543715">
          <w:marLeft w:val="360"/>
          <w:marRight w:val="0"/>
          <w:marTop w:val="240"/>
          <w:marBottom w:val="0"/>
          <w:divBdr>
            <w:top w:val="none" w:sz="0" w:space="0" w:color="auto"/>
            <w:left w:val="none" w:sz="0" w:space="0" w:color="auto"/>
            <w:bottom w:val="none" w:sz="0" w:space="0" w:color="auto"/>
            <w:right w:val="none" w:sz="0" w:space="0" w:color="auto"/>
          </w:divBdr>
        </w:div>
        <w:div w:id="1870947523">
          <w:marLeft w:val="360"/>
          <w:marRight w:val="0"/>
          <w:marTop w:val="240"/>
          <w:marBottom w:val="0"/>
          <w:divBdr>
            <w:top w:val="none" w:sz="0" w:space="0" w:color="auto"/>
            <w:left w:val="none" w:sz="0" w:space="0" w:color="auto"/>
            <w:bottom w:val="none" w:sz="0" w:space="0" w:color="auto"/>
            <w:right w:val="none" w:sz="0" w:space="0" w:color="auto"/>
          </w:divBdr>
        </w:div>
        <w:div w:id="1770002947">
          <w:marLeft w:val="360"/>
          <w:marRight w:val="0"/>
          <w:marTop w:val="240"/>
          <w:marBottom w:val="0"/>
          <w:divBdr>
            <w:top w:val="none" w:sz="0" w:space="0" w:color="auto"/>
            <w:left w:val="none" w:sz="0" w:space="0" w:color="auto"/>
            <w:bottom w:val="none" w:sz="0" w:space="0" w:color="auto"/>
            <w:right w:val="none" w:sz="0" w:space="0" w:color="auto"/>
          </w:divBdr>
        </w:div>
      </w:divsChild>
    </w:div>
    <w:div w:id="211583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2.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4.xml><?xml version="1.0" encoding="utf-8"?>
<ds:datastoreItem xmlns:ds="http://schemas.openxmlformats.org/officeDocument/2006/customXml" ds:itemID="{7C5405A3-A92E-49B3-99A3-5C71CCB4D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1694</TotalTime>
  <Pages>8</Pages>
  <Words>2508</Words>
  <Characters>12472</Characters>
  <Application>Microsoft Office Word</Application>
  <DocSecurity>0</DocSecurity>
  <Lines>224</Lines>
  <Paragraphs>77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 CTPClassification=CTP_NT</cp:keywords>
  <dc:description/>
  <cp:lastModifiedBy>Intel Corp - Naveen Palle</cp:lastModifiedBy>
  <cp:revision>96</cp:revision>
  <cp:lastPrinted>2019-02-14T21:52:00Z</cp:lastPrinted>
  <dcterms:created xsi:type="dcterms:W3CDTF">2018-11-01T00:08:00Z</dcterms:created>
  <dcterms:modified xsi:type="dcterms:W3CDTF">2019-02-15T02:18:00Z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8bb9e06e-f4e1-450f-8765-9b6a1f527b03</vt:lpwstr>
  </property>
  <property fmtid="{D5CDD505-2E9C-101B-9397-08002B2CF9AE}" pid="3" name="CTP_BU">
    <vt:lpwstr>NA</vt:lpwstr>
  </property>
  <property fmtid="{D5CDD505-2E9C-101B-9397-08002B2CF9AE}" pid="4" name="CTP_TimeStamp">
    <vt:lpwstr>2019-02-15 02:18:24Z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