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5B" w:rsidRPr="00A37E13" w:rsidRDefault="00AD255B" w:rsidP="00AD255B">
      <w:pPr>
        <w:pStyle w:val="CRCoverPage"/>
        <w:tabs>
          <w:tab w:val="right" w:pos="9639"/>
          <w:tab w:val="right" w:pos="13323"/>
        </w:tabs>
        <w:spacing w:after="0"/>
        <w:rPr>
          <w:rFonts w:cs="Arial"/>
          <w:b/>
          <w:sz w:val="24"/>
          <w:szCs w:val="24"/>
        </w:rPr>
      </w:pPr>
      <w:bookmarkStart w:id="0" w:name="OLE_LINK1"/>
      <w:bookmarkStart w:id="1" w:name="OLE_LINK2"/>
      <w:r w:rsidRPr="00133CAF">
        <w:rPr>
          <w:rFonts w:cs="Arial"/>
          <w:b/>
          <w:sz w:val="24"/>
          <w:szCs w:val="24"/>
        </w:rPr>
        <w:t>3GPP TSG-RAN</w:t>
      </w:r>
      <w:r w:rsidRPr="000B67FE">
        <w:rPr>
          <w:rFonts w:cs="Arial"/>
          <w:b/>
          <w:sz w:val="24"/>
          <w:szCs w:val="24"/>
        </w:rPr>
        <w:t xml:space="preserve"> WG</w:t>
      </w:r>
      <w:r w:rsidR="00760364">
        <w:rPr>
          <w:rFonts w:cs="Arial"/>
          <w:b/>
          <w:sz w:val="24"/>
          <w:szCs w:val="24"/>
        </w:rPr>
        <w:t>2</w:t>
      </w:r>
      <w:r w:rsidR="00461027">
        <w:rPr>
          <w:rFonts w:cs="Arial"/>
          <w:b/>
          <w:sz w:val="24"/>
          <w:szCs w:val="24"/>
        </w:rPr>
        <w:t xml:space="preserve"> Meeting #10</w:t>
      </w:r>
      <w:r w:rsidR="00760364">
        <w:rPr>
          <w:rFonts w:cs="Arial"/>
          <w:b/>
          <w:sz w:val="24"/>
          <w:szCs w:val="24"/>
        </w:rPr>
        <w:t>4</w:t>
      </w:r>
      <w:r w:rsidRPr="00A37E13">
        <w:rPr>
          <w:rFonts w:cs="Arial"/>
          <w:b/>
          <w:sz w:val="24"/>
          <w:szCs w:val="24"/>
        </w:rPr>
        <w:tab/>
      </w:r>
      <w:r w:rsidR="0091210A" w:rsidRPr="0091210A">
        <w:rPr>
          <w:rFonts w:cs="Arial"/>
          <w:b/>
          <w:sz w:val="24"/>
          <w:szCs w:val="24"/>
        </w:rPr>
        <w:t>R2-1817757</w:t>
      </w:r>
      <w:r w:rsidR="0091210A" w:rsidRPr="0091210A" w:rsidDel="0091210A">
        <w:rPr>
          <w:rFonts w:cs="Arial"/>
          <w:b/>
          <w:sz w:val="24"/>
          <w:szCs w:val="24"/>
          <w:highlight w:val="yellow"/>
        </w:rPr>
        <w:t xml:space="preserve"> </w:t>
      </w:r>
    </w:p>
    <w:p w:rsidR="00675FE6" w:rsidRPr="00A37E13" w:rsidRDefault="00461027" w:rsidP="00A37E13">
      <w:pPr>
        <w:pStyle w:val="CRCoverPage"/>
        <w:tabs>
          <w:tab w:val="right" w:pos="9639"/>
        </w:tabs>
        <w:spacing w:after="0"/>
        <w:rPr>
          <w:rFonts w:cs="Arial"/>
          <w:b/>
          <w:sz w:val="24"/>
        </w:rPr>
      </w:pPr>
      <w:r>
        <w:rPr>
          <w:rFonts w:cs="Arial"/>
          <w:b/>
          <w:sz w:val="24"/>
        </w:rPr>
        <w:t>Spokane</w:t>
      </w:r>
      <w:r w:rsidR="00A87625" w:rsidRPr="00A37E13">
        <w:rPr>
          <w:rFonts w:cs="Arial"/>
          <w:b/>
          <w:sz w:val="24"/>
        </w:rPr>
        <w:t xml:space="preserve">, </w:t>
      </w:r>
      <w:r>
        <w:rPr>
          <w:rFonts w:cs="Arial"/>
          <w:b/>
          <w:sz w:val="24"/>
        </w:rPr>
        <w:t>USA</w:t>
      </w:r>
      <w:r w:rsidR="00692429" w:rsidRPr="00A37E13">
        <w:rPr>
          <w:rFonts w:cs="Arial"/>
          <w:b/>
          <w:sz w:val="24"/>
        </w:rPr>
        <w:t>,</w:t>
      </w:r>
      <w:r w:rsidR="00A87625" w:rsidRPr="00A37E13">
        <w:rPr>
          <w:rFonts w:cs="Arial"/>
          <w:b/>
          <w:sz w:val="24"/>
        </w:rPr>
        <w:t xml:space="preserve"> </w:t>
      </w:r>
      <w:r>
        <w:rPr>
          <w:rFonts w:cs="Arial"/>
          <w:b/>
          <w:sz w:val="24"/>
        </w:rPr>
        <w:t>November</w:t>
      </w:r>
      <w:r w:rsidR="00A87625" w:rsidRPr="00A37E13">
        <w:rPr>
          <w:rFonts w:cs="Arial"/>
          <w:b/>
          <w:sz w:val="24"/>
        </w:rPr>
        <w:t xml:space="preserve"> </w:t>
      </w:r>
      <w:r>
        <w:rPr>
          <w:rFonts w:cs="Arial"/>
          <w:b/>
          <w:sz w:val="24"/>
        </w:rPr>
        <w:t>12</w:t>
      </w:r>
      <w:r w:rsidR="00A87625" w:rsidRPr="00A37E13">
        <w:rPr>
          <w:rFonts w:cs="Arial"/>
          <w:b/>
          <w:sz w:val="24"/>
          <w:vertAlign w:val="superscript"/>
        </w:rPr>
        <w:t>th</w:t>
      </w:r>
      <w:r w:rsidR="00692429" w:rsidRPr="00A37E13">
        <w:rPr>
          <w:rFonts w:cs="Arial"/>
          <w:b/>
          <w:sz w:val="24"/>
        </w:rPr>
        <w:t>-</w:t>
      </w:r>
      <w:r>
        <w:rPr>
          <w:rFonts w:cs="Arial"/>
          <w:b/>
          <w:sz w:val="24"/>
        </w:rPr>
        <w:t>16</w:t>
      </w:r>
      <w:r w:rsidR="00A87625" w:rsidRPr="00A37E13">
        <w:rPr>
          <w:rFonts w:cs="Arial"/>
          <w:b/>
          <w:sz w:val="24"/>
          <w:vertAlign w:val="superscript"/>
        </w:rPr>
        <w:t>th</w:t>
      </w:r>
      <w:r w:rsidR="00664986" w:rsidRPr="00A37E13">
        <w:rPr>
          <w:rFonts w:cs="Arial"/>
          <w:b/>
          <w:sz w:val="24"/>
        </w:rPr>
        <w:t>, 2018</w:t>
      </w:r>
    </w:p>
    <w:p w:rsidR="00084DEC" w:rsidRPr="00A37E13" w:rsidRDefault="00084DEC" w:rsidP="00A37E13">
      <w:pPr>
        <w:pStyle w:val="TdocHeader2"/>
        <w:tabs>
          <w:tab w:val="clear" w:pos="1701"/>
          <w:tab w:val="left" w:pos="2127"/>
        </w:tabs>
        <w:spacing w:before="240"/>
        <w:rPr>
          <w:rFonts w:cs="Arial"/>
          <w:b w:val="0"/>
          <w:sz w:val="24"/>
          <w:szCs w:val="24"/>
        </w:rPr>
      </w:pPr>
    </w:p>
    <w:p w:rsidR="00AD255B" w:rsidRPr="00A37E13" w:rsidRDefault="00AD255B" w:rsidP="00AD255B">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Pr="00A37E13">
        <w:rPr>
          <w:rFonts w:cs="Arial"/>
          <w:b w:val="0"/>
          <w:sz w:val="24"/>
          <w:szCs w:val="24"/>
        </w:rPr>
        <w:t xml:space="preserve">NR-NTN: </w:t>
      </w:r>
      <w:r w:rsidR="002A27BC">
        <w:rPr>
          <w:rFonts w:cs="Arial"/>
          <w:b w:val="0"/>
          <w:sz w:val="24"/>
          <w:szCs w:val="24"/>
        </w:rPr>
        <w:t>HARQ in</w:t>
      </w:r>
      <w:r w:rsidRPr="00A37E13">
        <w:rPr>
          <w:rFonts w:cs="Arial"/>
          <w:b w:val="0"/>
          <w:sz w:val="24"/>
          <w:szCs w:val="24"/>
        </w:rPr>
        <w:t xml:space="preserve"> Satellite Systems</w:t>
      </w:r>
    </w:p>
    <w:p w:rsidR="00675FE6" w:rsidRPr="00803965" w:rsidRDefault="00675FE6" w:rsidP="00AD255B">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00692429" w:rsidRPr="00A37E13">
        <w:rPr>
          <w:rFonts w:cs="Arial"/>
          <w:b w:val="0"/>
          <w:sz w:val="24"/>
          <w:szCs w:val="24"/>
        </w:rPr>
        <w:t>Fr</w:t>
      </w:r>
      <w:r w:rsidR="00692429" w:rsidRPr="00803965">
        <w:rPr>
          <w:rFonts w:cs="Arial"/>
          <w:b w:val="0"/>
          <w:sz w:val="24"/>
          <w:szCs w:val="24"/>
        </w:rPr>
        <w:t>aunhofer IIS, Fraunhofer HHI</w:t>
      </w:r>
    </w:p>
    <w:p w:rsidR="00AD255B" w:rsidRPr="007746E8" w:rsidRDefault="00AD255B" w:rsidP="00AD255B">
      <w:pPr>
        <w:pStyle w:val="TdocHeader2"/>
        <w:tabs>
          <w:tab w:val="clear" w:pos="1701"/>
          <w:tab w:val="left" w:pos="2127"/>
        </w:tabs>
        <w:spacing w:before="240"/>
        <w:rPr>
          <w:rFonts w:cs="Arial"/>
          <w:sz w:val="24"/>
          <w:szCs w:val="24"/>
        </w:rPr>
      </w:pPr>
      <w:r w:rsidRPr="00803965">
        <w:rPr>
          <w:rFonts w:cs="Arial"/>
          <w:sz w:val="24"/>
          <w:szCs w:val="24"/>
        </w:rPr>
        <w:t>Agenda Item:</w:t>
      </w:r>
      <w:r w:rsidRPr="00803965">
        <w:rPr>
          <w:rFonts w:cs="Arial"/>
          <w:sz w:val="24"/>
          <w:szCs w:val="24"/>
        </w:rPr>
        <w:tab/>
      </w:r>
      <w:r w:rsidR="000B536F" w:rsidRPr="000B536F">
        <w:rPr>
          <w:rFonts w:cs="Arial"/>
          <w:b w:val="0"/>
          <w:sz w:val="24"/>
          <w:szCs w:val="24"/>
        </w:rPr>
        <w:t>11.6.3.</w:t>
      </w:r>
      <w:r w:rsidR="000B536F">
        <w:rPr>
          <w:rFonts w:cs="Arial"/>
          <w:b w:val="0"/>
          <w:sz w:val="24"/>
          <w:szCs w:val="24"/>
        </w:rPr>
        <w:t xml:space="preserve">1 (SI NTN - </w:t>
      </w:r>
      <w:r w:rsidR="0052046D">
        <w:rPr>
          <w:rFonts w:cs="Arial"/>
          <w:b w:val="0"/>
          <w:sz w:val="24"/>
          <w:szCs w:val="24"/>
        </w:rPr>
        <w:t>MAC layer</w:t>
      </w:r>
      <w:r w:rsidR="000B536F">
        <w:rPr>
          <w:rFonts w:cs="Arial"/>
          <w:b w:val="0"/>
          <w:sz w:val="24"/>
          <w:szCs w:val="24"/>
        </w:rPr>
        <w:t>)</w:t>
      </w:r>
    </w:p>
    <w:p w:rsidR="00675FE6" w:rsidRPr="007746E8" w:rsidRDefault="00675FE6" w:rsidP="00AD255B">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sidR="000B536F">
        <w:rPr>
          <w:rFonts w:cs="Arial"/>
          <w:b w:val="0"/>
          <w:sz w:val="24"/>
          <w:szCs w:val="24"/>
        </w:rPr>
        <w:t>Discussion</w:t>
      </w:r>
    </w:p>
    <w:bookmarkEnd w:id="0"/>
    <w:bookmarkEnd w:id="1"/>
    <w:p w:rsidR="006A1A84" w:rsidRPr="006F083D" w:rsidRDefault="009E06B7" w:rsidP="006A1A84">
      <w:pPr>
        <w:pStyle w:val="berschrift1"/>
        <w:textAlignment w:val="auto"/>
      </w:pPr>
      <w:r w:rsidRPr="006F083D">
        <w:t>Introduction</w:t>
      </w:r>
    </w:p>
    <w:p w:rsidR="00D53679" w:rsidRDefault="00D53679" w:rsidP="00D53679">
      <w:pPr>
        <w:rPr>
          <w:lang w:val="en-GB"/>
        </w:rPr>
      </w:pPr>
      <w:r w:rsidRPr="006F083D">
        <w:rPr>
          <w:lang w:val="en-GB"/>
        </w:rPr>
        <w:t xml:space="preserve">The SID </w:t>
      </w:r>
      <w:r w:rsidR="00AD255B" w:rsidRPr="006F083D">
        <w:rPr>
          <w:lang w:val="en-GB"/>
        </w:rPr>
        <w:t>in</w:t>
      </w:r>
      <w:r w:rsidRPr="00636B03">
        <w:rPr>
          <w:lang w:val="en-GB"/>
        </w:rPr>
        <w:t xml:space="preserve"> </w:t>
      </w:r>
      <w:r w:rsidRPr="007746E8">
        <w:rPr>
          <w:lang w:val="en-GB"/>
        </w:rPr>
        <w:fldChar w:fldCharType="begin"/>
      </w:r>
      <w:r w:rsidRPr="00760364">
        <w:rPr>
          <w:lang w:val="en-GB"/>
        </w:rPr>
        <w:instrText xml:space="preserve"> REF _Ref390333486 \r \h </w:instrText>
      </w:r>
      <w:r w:rsidR="00803965">
        <w:rPr>
          <w:lang w:val="en-GB"/>
        </w:rPr>
        <w:instrText xml:space="preserve"> \* MERGEFORMAT </w:instrText>
      </w:r>
      <w:r w:rsidRPr="007746E8">
        <w:rPr>
          <w:lang w:val="en-GB"/>
        </w:rPr>
      </w:r>
      <w:r w:rsidRPr="007746E8">
        <w:rPr>
          <w:lang w:val="en-GB"/>
        </w:rPr>
        <w:fldChar w:fldCharType="separate"/>
      </w:r>
      <w:r w:rsidR="00EF076C" w:rsidRPr="007746E8">
        <w:rPr>
          <w:lang w:val="en-GB"/>
        </w:rPr>
        <w:t>[1]</w:t>
      </w:r>
      <w:r w:rsidRPr="007746E8">
        <w:rPr>
          <w:lang w:val="en-GB"/>
        </w:rPr>
        <w:fldChar w:fldCharType="end"/>
      </w:r>
      <w:r w:rsidRPr="007746E8">
        <w:rPr>
          <w:lang w:val="en-GB"/>
        </w:rPr>
        <w:t xml:space="preserve"> lists the following objectives </w:t>
      </w:r>
      <w:r w:rsidRPr="000B536F">
        <w:rPr>
          <w:lang w:val="en-GB"/>
        </w:rPr>
        <w:t xml:space="preserve">for </w:t>
      </w:r>
      <w:r w:rsidR="00B4542A">
        <w:rPr>
          <w:lang w:val="en-GB"/>
        </w:rPr>
        <w:t xml:space="preserve">RAN1, </w:t>
      </w:r>
      <w:r w:rsidRPr="000B536F">
        <w:rPr>
          <w:lang w:val="en-GB"/>
        </w:rPr>
        <w:t>RAN</w:t>
      </w:r>
      <w:r w:rsidR="00695DB2" w:rsidRPr="000B536F">
        <w:rPr>
          <w:lang w:val="en-GB"/>
        </w:rPr>
        <w:t>2</w:t>
      </w:r>
      <w:r w:rsidR="00B4542A">
        <w:rPr>
          <w:lang w:val="en-GB"/>
        </w:rPr>
        <w:t xml:space="preserve"> and RAN3</w:t>
      </w:r>
      <w:r w:rsidRPr="007746E8">
        <w:rPr>
          <w:lang w:val="en-GB"/>
        </w:rPr>
        <w:t>:</w:t>
      </w:r>
    </w:p>
    <w:p w:rsidR="00893D39" w:rsidRPr="000B536F" w:rsidRDefault="00893D39" w:rsidP="00893D39">
      <w:pPr>
        <w:spacing w:after="0"/>
        <w:rPr>
          <w:rFonts w:eastAsia="PMingLiU"/>
          <w:b/>
          <w:i/>
          <w:lang w:eastAsia="zh-TW"/>
        </w:rPr>
      </w:pPr>
      <w:r w:rsidRPr="000B536F">
        <w:rPr>
          <w:rFonts w:eastAsia="PMingLiU"/>
          <w:b/>
          <w:i/>
          <w:lang w:eastAsia="zh-TW"/>
        </w:rPr>
        <w:t>Physical layer</w:t>
      </w:r>
    </w:p>
    <w:p w:rsidR="00893D39" w:rsidRPr="000B536F" w:rsidRDefault="00893D39" w:rsidP="00893D39">
      <w:pPr>
        <w:pStyle w:val="StandardWeb"/>
        <w:rPr>
          <w:lang w:val="nl-NL"/>
        </w:rPr>
      </w:pPr>
      <w:r w:rsidRPr="000B536F">
        <w:rPr>
          <w:sz w:val="20"/>
          <w:szCs w:val="20"/>
          <w:lang w:val="nl-NL"/>
        </w:rPr>
        <w:t>Consolidation of potential impacts as initially identified in TR 38.811 and identification of related solutions if needed  [RAN1]:</w:t>
      </w:r>
      <w:r w:rsidRPr="000B536F">
        <w:rPr>
          <w:lang w:val="nl-NL"/>
        </w:rPr>
        <w:t xml:space="preserve"> </w:t>
      </w:r>
    </w:p>
    <w:p w:rsidR="00893D39" w:rsidRPr="000B536F" w:rsidRDefault="00893D39" w:rsidP="00893D39">
      <w:pPr>
        <w:numPr>
          <w:ilvl w:val="0"/>
          <w:numId w:val="38"/>
        </w:numPr>
        <w:overflowPunct w:val="0"/>
        <w:autoSpaceDE w:val="0"/>
        <w:autoSpaceDN w:val="0"/>
        <w:adjustRightInd w:val="0"/>
        <w:spacing w:after="0" w:line="240" w:lineRule="auto"/>
        <w:textAlignment w:val="baseline"/>
        <w:rPr>
          <w:rFonts w:eastAsia="PMingLiU"/>
          <w:lang w:eastAsia="zh-TW"/>
        </w:rPr>
      </w:pPr>
      <w:r w:rsidRPr="000B536F">
        <w:rPr>
          <w:rFonts w:eastAsia="PMingLiU"/>
          <w:lang w:eastAsia="zh-TW"/>
        </w:rPr>
        <w:t>Physical layer control procedures (e.g. CSI feedback, power control)</w:t>
      </w:r>
    </w:p>
    <w:p w:rsidR="00893D39" w:rsidRPr="000B536F" w:rsidRDefault="00893D39" w:rsidP="00893D39">
      <w:pPr>
        <w:numPr>
          <w:ilvl w:val="0"/>
          <w:numId w:val="38"/>
        </w:numPr>
        <w:overflowPunct w:val="0"/>
        <w:autoSpaceDE w:val="0"/>
        <w:autoSpaceDN w:val="0"/>
        <w:adjustRightInd w:val="0"/>
        <w:spacing w:after="0" w:line="240" w:lineRule="auto"/>
        <w:textAlignment w:val="baseline"/>
        <w:rPr>
          <w:rFonts w:eastAsia="PMingLiU"/>
          <w:lang w:eastAsia="zh-TW"/>
        </w:rPr>
      </w:pPr>
      <w:r w:rsidRPr="000B536F">
        <w:rPr>
          <w:rFonts w:eastAsia="PMingLiU"/>
          <w:lang w:eastAsia="zh-TW"/>
        </w:rPr>
        <w:t>Uplink Timing advance/RACH procedure including PRACH sequence/format/message</w:t>
      </w:r>
    </w:p>
    <w:p w:rsidR="00893D39" w:rsidRPr="000B536F" w:rsidRDefault="00893D39" w:rsidP="00893D39">
      <w:pPr>
        <w:numPr>
          <w:ilvl w:val="0"/>
          <w:numId w:val="38"/>
        </w:numPr>
        <w:overflowPunct w:val="0"/>
        <w:autoSpaceDE w:val="0"/>
        <w:autoSpaceDN w:val="0"/>
        <w:adjustRightInd w:val="0"/>
        <w:spacing w:after="0" w:line="240" w:lineRule="auto"/>
        <w:textAlignment w:val="baseline"/>
      </w:pPr>
      <w:r w:rsidRPr="000B536F">
        <w:rPr>
          <w:rFonts w:eastAsia="PMingLiU"/>
          <w:lang w:eastAsia="zh-TW"/>
        </w:rPr>
        <w:t>Making retransmission mechanisms at the physical layer more delay-tolerant as appropriate. This may also include capability to deactivate the HARQ mechanisms.</w:t>
      </w:r>
    </w:p>
    <w:p w:rsidR="00893D39" w:rsidRPr="000B536F" w:rsidRDefault="00893D39" w:rsidP="00893D39">
      <w:pPr>
        <w:spacing w:after="0"/>
        <w:rPr>
          <w:rFonts w:eastAsia="PMingLiU"/>
          <w:lang w:eastAsia="zh-TW"/>
        </w:rPr>
      </w:pPr>
    </w:p>
    <w:p w:rsidR="00893D39" w:rsidRDefault="00893D39" w:rsidP="00893D39">
      <w:pPr>
        <w:spacing w:after="0"/>
        <w:rPr>
          <w:rFonts w:eastAsia="PMingLiU"/>
          <w:lang w:eastAsia="zh-TW"/>
        </w:rPr>
      </w:pPr>
      <w:r w:rsidRPr="000B536F">
        <w:rPr>
          <w:rFonts w:eastAsia="PMingLiU"/>
          <w:lang w:eastAsia="zh-TW"/>
        </w:rPr>
        <w:t>Performance assessment of NR in selected deployment scenarios (LEO based satellite access, GEO based satellite access) through link level (Radio link) and system level (cell) simulations [RAN1]</w:t>
      </w:r>
    </w:p>
    <w:p w:rsidR="00893D39" w:rsidRPr="00893D39" w:rsidRDefault="00893D39" w:rsidP="00D53679"/>
    <w:p w:rsidR="00452C50" w:rsidRPr="004A5D43" w:rsidRDefault="00452C50" w:rsidP="00452C50">
      <w:pPr>
        <w:spacing w:after="0"/>
        <w:rPr>
          <w:rFonts w:eastAsia="PMingLiU"/>
          <w:b/>
          <w:i/>
          <w:lang w:eastAsia="zh-TW"/>
        </w:rPr>
      </w:pPr>
      <w:r>
        <w:rPr>
          <w:rFonts w:eastAsia="PMingLiU"/>
          <w:b/>
          <w:i/>
          <w:lang w:eastAsia="zh-TW"/>
        </w:rPr>
        <w:t>Layer 2 and above</w:t>
      </w:r>
      <w:r w:rsidRPr="00047940">
        <w:rPr>
          <w:rFonts w:eastAsia="PMingLiU"/>
          <w:b/>
          <w:i/>
          <w:lang w:eastAsia="zh-TW"/>
        </w:rPr>
        <w:t>, and RAN architecture</w:t>
      </w:r>
    </w:p>
    <w:p w:rsidR="00452C50" w:rsidRDefault="00452C50" w:rsidP="00452C50">
      <w:pPr>
        <w:spacing w:after="0"/>
        <w:rPr>
          <w:rFonts w:eastAsia="PMingLiU"/>
          <w:lang w:eastAsia="zh-TW"/>
        </w:rPr>
      </w:pPr>
    </w:p>
    <w:p w:rsidR="00452C50" w:rsidRPr="00682785" w:rsidRDefault="00452C50" w:rsidP="00452C50">
      <w:pPr>
        <w:numPr>
          <w:ilvl w:val="0"/>
          <w:numId w:val="37"/>
        </w:numPr>
        <w:overflowPunct w:val="0"/>
        <w:autoSpaceDE w:val="0"/>
        <w:autoSpaceDN w:val="0"/>
        <w:adjustRightInd w:val="0"/>
        <w:spacing w:after="0" w:line="240" w:lineRule="auto"/>
        <w:textAlignment w:val="baseline"/>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rsidR="00452C50" w:rsidRDefault="00452C50" w:rsidP="00452C50">
      <w:pPr>
        <w:numPr>
          <w:ilvl w:val="0"/>
          <w:numId w:val="37"/>
        </w:numPr>
        <w:overflowPunct w:val="0"/>
        <w:autoSpaceDE w:val="0"/>
        <w:autoSpaceDN w:val="0"/>
        <w:adjustRightInd w:val="0"/>
        <w:spacing w:after="0" w:line="240" w:lineRule="auto"/>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rsidR="00B4542A" w:rsidRPr="00B4542A" w:rsidRDefault="00B4542A" w:rsidP="00B4542A">
      <w:pPr>
        <w:numPr>
          <w:ilvl w:val="0"/>
          <w:numId w:val="37"/>
        </w:numPr>
        <w:overflowPunct w:val="0"/>
        <w:autoSpaceDE w:val="0"/>
        <w:autoSpaceDN w:val="0"/>
        <w:adjustRightInd w:val="0"/>
        <w:spacing w:after="0" w:line="240" w:lineRule="auto"/>
        <w:textAlignment w:val="baseline"/>
        <w:rPr>
          <w:bCs/>
        </w:rPr>
      </w:pPr>
      <w:r w:rsidRPr="00B4542A">
        <w:rPr>
          <w:bCs/>
        </w:rPr>
        <w:t>Architecture: Identify needs for the 5G’s Radio Access Network architecture to support non-terrestrial networks (e.g. handling of network identities) [RAN3]</w:t>
      </w:r>
    </w:p>
    <w:p w:rsidR="00452C50" w:rsidRPr="00CB6332" w:rsidRDefault="00B4542A" w:rsidP="00B4542A">
      <w:pPr>
        <w:numPr>
          <w:ilvl w:val="1"/>
          <w:numId w:val="37"/>
        </w:numPr>
        <w:overflowPunct w:val="0"/>
        <w:autoSpaceDE w:val="0"/>
        <w:autoSpaceDN w:val="0"/>
        <w:adjustRightInd w:val="0"/>
        <w:spacing w:after="0" w:line="240" w:lineRule="auto"/>
        <w:textAlignment w:val="baseline"/>
        <w:rPr>
          <w:bCs/>
        </w:rPr>
      </w:pPr>
      <w:r w:rsidRPr="00B4542A">
        <w:rPr>
          <w:bCs/>
        </w:rPr>
        <w:t>Paging: procedure adaptations in case of moving satellite foot prints or cells</w:t>
      </w:r>
    </w:p>
    <w:p w:rsidR="00452C50" w:rsidRPr="00452C50" w:rsidRDefault="00452C50" w:rsidP="00D53679"/>
    <w:p w:rsidR="0084424F" w:rsidRPr="00A37E13" w:rsidRDefault="00D53679" w:rsidP="003C1A5F">
      <w:pPr>
        <w:rPr>
          <w:lang w:val="en-GB"/>
        </w:rPr>
      </w:pPr>
      <w:r w:rsidRPr="007746E8">
        <w:rPr>
          <w:lang w:val="en-GB"/>
        </w:rPr>
        <w:t xml:space="preserve">In this </w:t>
      </w:r>
      <w:r w:rsidR="00893D39">
        <w:rPr>
          <w:lang w:val="en-GB"/>
        </w:rPr>
        <w:t>doc</w:t>
      </w:r>
      <w:r w:rsidR="006E6BDD">
        <w:rPr>
          <w:lang w:val="en-GB"/>
        </w:rPr>
        <w:t>u</w:t>
      </w:r>
      <w:r w:rsidR="00893D39">
        <w:rPr>
          <w:lang w:val="en-GB"/>
        </w:rPr>
        <w:t>ment</w:t>
      </w:r>
      <w:r w:rsidRPr="007746E8">
        <w:rPr>
          <w:lang w:val="en-GB"/>
        </w:rPr>
        <w:t>, we</w:t>
      </w:r>
      <w:r w:rsidR="006C557B" w:rsidRPr="007746E8">
        <w:rPr>
          <w:lang w:val="en-GB"/>
        </w:rPr>
        <w:t xml:space="preserve"> </w:t>
      </w:r>
      <w:r w:rsidRPr="006F083D">
        <w:rPr>
          <w:lang w:val="en-GB"/>
        </w:rPr>
        <w:t>present</w:t>
      </w:r>
      <w:r w:rsidR="00007A3F" w:rsidRPr="006F083D">
        <w:rPr>
          <w:lang w:val="en-GB"/>
        </w:rPr>
        <w:t xml:space="preserve"> </w:t>
      </w:r>
      <w:r w:rsidR="00452C50">
        <w:rPr>
          <w:lang w:val="en-GB"/>
        </w:rPr>
        <w:t>a discussion on the use of HARQ in satellite systems, taking into account the large delay of the satellite links.</w:t>
      </w:r>
      <w:r w:rsidR="007779B4" w:rsidRPr="006F083D">
        <w:rPr>
          <w:lang w:val="en-GB"/>
        </w:rPr>
        <w:t xml:space="preserve"> </w:t>
      </w:r>
    </w:p>
    <w:p w:rsidR="00861D0A" w:rsidRPr="00A37E13" w:rsidRDefault="00FD150D" w:rsidP="00861D0A">
      <w:pPr>
        <w:pStyle w:val="berschrift1"/>
        <w:rPr>
          <w:color w:val="000000"/>
        </w:rPr>
      </w:pPr>
      <w:r>
        <w:rPr>
          <w:color w:val="000000"/>
        </w:rPr>
        <w:lastRenderedPageBreak/>
        <w:t xml:space="preserve">Delay Tolerant HARQ for </w:t>
      </w:r>
      <w:r w:rsidR="00695DB2">
        <w:rPr>
          <w:color w:val="000000"/>
        </w:rPr>
        <w:t>Satellite Systems</w:t>
      </w:r>
    </w:p>
    <w:p w:rsidR="006E6BDD" w:rsidRPr="006E6BDD" w:rsidRDefault="00A61663" w:rsidP="006E6BDD">
      <w:r>
        <w:t>According to</w:t>
      </w:r>
      <w:r w:rsidR="000B536F">
        <w:t xml:space="preserve"> TR 38.811</w:t>
      </w:r>
      <w:r w:rsidR="006E6BDD">
        <w:t xml:space="preserve"> </w:t>
      </w:r>
      <w:r w:rsidR="006E6BDD">
        <w:fldChar w:fldCharType="begin"/>
      </w:r>
      <w:r w:rsidR="006E6BDD">
        <w:instrText xml:space="preserve"> REF _Ref525714082 \r \h </w:instrText>
      </w:r>
      <w:r w:rsidR="006E6BDD">
        <w:fldChar w:fldCharType="separate"/>
      </w:r>
      <w:r w:rsidR="006E6BDD">
        <w:t>[2]</w:t>
      </w:r>
      <w:r w:rsidR="006E6BDD">
        <w:fldChar w:fldCharType="end"/>
      </w:r>
      <w:r w:rsidR="006E6BDD">
        <w:t xml:space="preserve">, it is </w:t>
      </w:r>
      <w:r w:rsidRPr="00AC3502">
        <w:t>r</w:t>
      </w:r>
      <w:r w:rsidR="006E6BDD" w:rsidRPr="00AC3502">
        <w:t>equired to study the impact on NR HARQ operation due to the long RTT delay of a non-terrestrial network. The impacts should be considered as well for the NTN UEs and serving gNBs, when the number of HARQ processes is either extended to satisfy high reliability scenarios or limited/disabled for longer NTN delays.</w:t>
      </w:r>
    </w:p>
    <w:p w:rsidR="000B536F" w:rsidRPr="000B536F" w:rsidRDefault="000B536F" w:rsidP="000B536F">
      <w:pPr>
        <w:spacing w:before="120"/>
      </w:pPr>
      <w:r w:rsidRPr="000B536F">
        <w:t xml:space="preserve">Conclusion of the TR 38.811 was that two options </w:t>
      </w:r>
      <w:r>
        <w:t>are</w:t>
      </w:r>
      <w:r w:rsidRPr="000B536F">
        <w:t xml:space="preserve"> envisaged for using HARQ in satellite systems. </w:t>
      </w:r>
    </w:p>
    <w:p w:rsidR="000B536F" w:rsidRPr="000B536F" w:rsidRDefault="000B536F" w:rsidP="000B536F">
      <w:pPr>
        <w:pStyle w:val="Listenabsatz"/>
        <w:numPr>
          <w:ilvl w:val="0"/>
          <w:numId w:val="39"/>
        </w:numPr>
        <w:ind w:left="426"/>
        <w:rPr>
          <w:rFonts w:eastAsia="Times New Roman" w:cs="Arial"/>
          <w:lang w:val="en-GB" w:eastAsia="zh-CN"/>
        </w:rPr>
      </w:pPr>
      <w:r w:rsidRPr="000B536F">
        <w:rPr>
          <w:rFonts w:eastAsia="Times New Roman" w:cs="Arial"/>
          <w:b/>
          <w:lang w:val="en-GB" w:eastAsia="zh-CN"/>
        </w:rPr>
        <w:t>Enhancing existing HARQ operation</w:t>
      </w:r>
      <w:r w:rsidRPr="000B536F">
        <w:rPr>
          <w:rFonts w:eastAsia="Times New Roman" w:cs="Arial"/>
          <w:lang w:val="en-GB" w:eastAsia="zh-CN"/>
        </w:rPr>
        <w:t xml:space="preserve"> to extend the HARQ processing accommodating low to moderate NTN RTT delays like in scenarios C1, C2, D1 and D2 as defined in </w:t>
      </w:r>
      <w:r w:rsidRPr="000B536F">
        <w:rPr>
          <w:rFonts w:eastAsia="Times New Roman" w:cs="Arial"/>
          <w:lang w:val="en-GB" w:eastAsia="zh-CN"/>
        </w:rPr>
        <w:fldChar w:fldCharType="begin"/>
      </w:r>
      <w:r w:rsidRPr="000B536F">
        <w:rPr>
          <w:rFonts w:eastAsia="Times New Roman" w:cs="Arial"/>
          <w:lang w:val="en-GB" w:eastAsia="zh-CN"/>
        </w:rPr>
        <w:instrText xml:space="preserve"> REF _Ref528322197 \r \h </w:instrText>
      </w:r>
      <w:r>
        <w:rPr>
          <w:rFonts w:eastAsia="Times New Roman" w:cs="Arial"/>
          <w:lang w:val="en-GB" w:eastAsia="zh-CN"/>
        </w:rPr>
        <w:instrText xml:space="preserve"> \* MERGEFORMAT </w:instrText>
      </w:r>
      <w:r w:rsidRPr="000B536F">
        <w:rPr>
          <w:rFonts w:eastAsia="Times New Roman" w:cs="Arial"/>
          <w:lang w:val="en-GB" w:eastAsia="zh-CN"/>
        </w:rPr>
      </w:r>
      <w:r w:rsidRPr="000B536F">
        <w:rPr>
          <w:rFonts w:eastAsia="Times New Roman" w:cs="Arial"/>
          <w:lang w:val="en-GB" w:eastAsia="zh-CN"/>
        </w:rPr>
        <w:fldChar w:fldCharType="separate"/>
      </w:r>
      <w:r w:rsidRPr="000B536F">
        <w:rPr>
          <w:rFonts w:eastAsia="Times New Roman" w:cs="Arial"/>
          <w:lang w:val="en-GB" w:eastAsia="zh-CN"/>
        </w:rPr>
        <w:t>[3]</w:t>
      </w:r>
      <w:r w:rsidRPr="000B536F">
        <w:rPr>
          <w:rFonts w:eastAsia="Times New Roman" w:cs="Arial"/>
          <w:lang w:val="en-GB" w:eastAsia="zh-CN"/>
        </w:rPr>
        <w:fldChar w:fldCharType="end"/>
      </w:r>
      <w:r w:rsidRPr="000B536F">
        <w:rPr>
          <w:rFonts w:eastAsia="Times New Roman" w:cs="Arial"/>
          <w:lang w:val="en-GB" w:eastAsia="zh-CN"/>
        </w:rPr>
        <w:t xml:space="preserve">. Here it is important to study the impact on the possible HARQ process numbers, HARQ timers, HARQ-process IDs, number of RVs, and possibility for bundling. These mentioned items will have a direct impact on the UE, e.g., memory and power limitations, so do an impact on the gNB signalling and feedbacks for large number of UEs. </w:t>
      </w:r>
    </w:p>
    <w:p w:rsidR="000B536F" w:rsidRPr="000B536F" w:rsidRDefault="000B536F" w:rsidP="000B536F">
      <w:pPr>
        <w:pStyle w:val="Listenabsatz"/>
        <w:numPr>
          <w:ilvl w:val="0"/>
          <w:numId w:val="39"/>
        </w:numPr>
        <w:ind w:left="426"/>
        <w:rPr>
          <w:rFonts w:eastAsia="Times New Roman" w:cs="Arial"/>
          <w:lang w:val="en-GB" w:eastAsia="zh-CN"/>
        </w:rPr>
      </w:pPr>
      <w:r w:rsidRPr="000B536F">
        <w:rPr>
          <w:rFonts w:eastAsia="Times New Roman" w:cs="Arial"/>
          <w:b/>
          <w:lang w:val="en-GB" w:eastAsia="zh-CN"/>
        </w:rPr>
        <w:t>Limiting HARQ capabilities and/or disabling HARQ</w:t>
      </w:r>
      <w:r w:rsidRPr="000B536F">
        <w:rPr>
          <w:rFonts w:eastAsia="Times New Roman" w:cs="Arial"/>
          <w:lang w:val="en-GB" w:eastAsia="zh-CN"/>
        </w:rPr>
        <w:t xml:space="preserve"> for long RTT delays. Hence, it is important to study the direct impact on NR due to HARQ disabling including, e.g., switching on/off the HARQ with possible metrics, the target BLER/QoS, the MCS/TBS selection, etc. It is also important to consider a backup mechanism (from NR) to support high QoS requirements in an attainable RTT delays. This should include, e.g., HARQ-less repetitions (and its impact on the data rate) and utilizing terrestrial-NTN dual-connectivity (and it</w:t>
      </w:r>
      <w:r w:rsidR="006B334F">
        <w:rPr>
          <w:rFonts w:eastAsia="Times New Roman" w:cs="Arial"/>
          <w:lang w:val="en-GB" w:eastAsia="zh-CN"/>
        </w:rPr>
        <w:t>s</w:t>
      </w:r>
      <w:r w:rsidRPr="000B536F">
        <w:rPr>
          <w:rFonts w:eastAsia="Times New Roman" w:cs="Arial"/>
          <w:lang w:val="en-GB" w:eastAsia="zh-CN"/>
        </w:rPr>
        <w:t xml:space="preserve"> impact on the used timers). </w:t>
      </w:r>
    </w:p>
    <w:p w:rsidR="00896B60" w:rsidRDefault="006B334F" w:rsidP="00FD150D">
      <w:pPr>
        <w:jc w:val="both"/>
      </w:pPr>
      <w:r>
        <w:t>More details on these two options are described below.</w:t>
      </w:r>
    </w:p>
    <w:p w:rsidR="006B334F" w:rsidRPr="006B334F" w:rsidRDefault="006B334F" w:rsidP="00FD150D">
      <w:pPr>
        <w:jc w:val="both"/>
        <w:rPr>
          <w:b/>
          <w:bCs/>
          <w:szCs w:val="24"/>
        </w:rPr>
      </w:pPr>
      <w:r w:rsidRPr="006B334F">
        <w:rPr>
          <w:b/>
          <w:bCs/>
          <w:szCs w:val="24"/>
        </w:rPr>
        <w:t xml:space="preserve">Enhancing existing </w:t>
      </w:r>
      <w:r>
        <w:rPr>
          <w:b/>
          <w:bCs/>
          <w:szCs w:val="24"/>
        </w:rPr>
        <w:t>HARQ operation</w:t>
      </w:r>
    </w:p>
    <w:p w:rsidR="00E039C7" w:rsidRDefault="006E6BDD" w:rsidP="00FD150D">
      <w:pPr>
        <w:jc w:val="both"/>
      </w:pPr>
      <w:r>
        <w:t xml:space="preserve">In </w:t>
      </w:r>
      <w:r>
        <w:fldChar w:fldCharType="begin"/>
      </w:r>
      <w:r>
        <w:instrText xml:space="preserve"> REF _Ref528688548 \r \h </w:instrText>
      </w:r>
      <w:r>
        <w:fldChar w:fldCharType="separate"/>
      </w:r>
      <w:r>
        <w:t>[4]</w:t>
      </w:r>
      <w:r>
        <w:fldChar w:fldCharType="end"/>
      </w:r>
      <w:r>
        <w:t xml:space="preserve">, potential solutions were </w:t>
      </w:r>
      <w:r w:rsidR="00A61663">
        <w:t xml:space="preserve">already </w:t>
      </w:r>
      <w:r>
        <w:t xml:space="preserve">proposed for </w:t>
      </w:r>
      <w:r w:rsidR="006B334F">
        <w:t xml:space="preserve">extended </w:t>
      </w:r>
      <w:r>
        <w:t>HARQ</w:t>
      </w:r>
      <w:r w:rsidR="006B334F">
        <w:t xml:space="preserve"> operation</w:t>
      </w:r>
      <w:r>
        <w:t xml:space="preserve"> in satellite systems:</w:t>
      </w:r>
    </w:p>
    <w:p w:rsidR="00FD150D" w:rsidRPr="00896B60" w:rsidRDefault="00FD150D" w:rsidP="00FD150D">
      <w:pPr>
        <w:pStyle w:val="Listenabsatz"/>
        <w:numPr>
          <w:ilvl w:val="0"/>
          <w:numId w:val="36"/>
        </w:numPr>
        <w:jc w:val="both"/>
        <w:rPr>
          <w:b/>
          <w:bCs/>
          <w:szCs w:val="24"/>
        </w:rPr>
      </w:pPr>
      <w:r w:rsidRPr="00896B60">
        <w:rPr>
          <w:b/>
          <w:bCs/>
          <w:szCs w:val="24"/>
        </w:rPr>
        <w:t>Extending the minimum number of HARQ processes</w:t>
      </w:r>
    </w:p>
    <w:p w:rsidR="00FD150D" w:rsidRPr="00896B60" w:rsidRDefault="006B334F" w:rsidP="00FD150D">
      <w:pPr>
        <w:ind w:left="360"/>
        <w:jc w:val="both"/>
      </w:pPr>
      <w:r>
        <w:t>It was</w:t>
      </w:r>
      <w:r w:rsidR="00FD150D" w:rsidRPr="00896B60">
        <w:t xml:space="preserve"> agreed in NR to support a flexible number of HARQ processes to support different use-cases with moderate RTT delays, e.g., satellites with MEO and LEO constellations as well as extreme coverage. Currently NR supports 8 and 16 HARQ processes as a baseline. However, for NTN integration the number of HARQ processes needs to be increased. Therefore, it is necessary to further study the optimal extension of the minimum number of HARQ processes</w:t>
      </w:r>
      <w:r w:rsidR="00FD150D" w:rsidRPr="00896B60">
        <w:rPr>
          <w:rFonts w:eastAsia="Times New Roman"/>
        </w:rPr>
        <w:t>.</w:t>
      </w:r>
    </w:p>
    <w:p w:rsidR="00FD150D" w:rsidRPr="00896B60" w:rsidRDefault="00FD150D" w:rsidP="00FD150D">
      <w:pPr>
        <w:pStyle w:val="Listenabsatz"/>
        <w:numPr>
          <w:ilvl w:val="0"/>
          <w:numId w:val="36"/>
        </w:numPr>
        <w:jc w:val="both"/>
        <w:rPr>
          <w:b/>
          <w:bCs/>
          <w:szCs w:val="24"/>
        </w:rPr>
      </w:pPr>
      <w:r w:rsidRPr="00896B60">
        <w:rPr>
          <w:b/>
          <w:bCs/>
          <w:szCs w:val="24"/>
        </w:rPr>
        <w:t>Flexible HARQ timing</w:t>
      </w:r>
    </w:p>
    <w:p w:rsidR="00FD150D" w:rsidRPr="00896B60" w:rsidRDefault="00FD150D" w:rsidP="00FD150D">
      <w:pPr>
        <w:ind w:left="360"/>
        <w:jc w:val="both"/>
      </w:pPr>
      <w:r w:rsidRPr="00896B60">
        <w:t>The HARQ processing time in the DCI includes at least the time between DL data reception and the corresponding HARQ-ACK transmission in UL. It also includes the time between UL grant reception and the cor</w:t>
      </w:r>
      <w:r w:rsidR="00DA6AEF">
        <w:t>responding UL data transmission</w:t>
      </w:r>
      <w:r w:rsidRPr="00896B60">
        <w:t>. This should be also affected by the satellite delays, and thus needs to be studied further. A modification of the corresponding DCI control field/format should be further investigated.</w:t>
      </w:r>
    </w:p>
    <w:p w:rsidR="00FD150D" w:rsidRPr="00896B60" w:rsidRDefault="00FD150D" w:rsidP="00FD150D">
      <w:pPr>
        <w:pStyle w:val="Listenabsatz"/>
        <w:numPr>
          <w:ilvl w:val="0"/>
          <w:numId w:val="36"/>
        </w:numPr>
        <w:jc w:val="both"/>
        <w:rPr>
          <w:b/>
          <w:bCs/>
          <w:szCs w:val="24"/>
        </w:rPr>
      </w:pPr>
      <w:r w:rsidRPr="00896B60">
        <w:rPr>
          <w:b/>
          <w:bCs/>
          <w:szCs w:val="24"/>
        </w:rPr>
        <w:t>Adaptive HARQ-process ID</w:t>
      </w:r>
    </w:p>
    <w:p w:rsidR="00FD150D" w:rsidRPr="00896B60" w:rsidRDefault="000D283A" w:rsidP="00FD150D">
      <w:pPr>
        <w:ind w:left="360"/>
        <w:jc w:val="both"/>
      </w:pPr>
      <w:hyperlink r:id="rId8" w:tgtFrame="_blank" w:history="1">
        <w:r w:rsidR="00FD150D" w:rsidRPr="00896B60">
          <w:t>Asynchronous</w:t>
        </w:r>
      </w:hyperlink>
      <w:r w:rsidR="00FD150D" w:rsidRPr="00896B60">
        <w:t xml:space="preserve"> HARQ can be scheduled at any time slot after N subframes, with N being the configured number of HARQ processes. Therefore, a HARQ-process ID is used to indicate which HARQ process refers to an existing transmission. Hence, it is important to study how to efficiently introduce more HARQ processes with less impact on the number of HARQ process IDs. </w:t>
      </w:r>
    </w:p>
    <w:p w:rsidR="00FD150D" w:rsidRPr="00896B60" w:rsidRDefault="00FD150D" w:rsidP="00FD150D">
      <w:pPr>
        <w:pStyle w:val="Listenabsatz"/>
        <w:numPr>
          <w:ilvl w:val="0"/>
          <w:numId w:val="36"/>
        </w:numPr>
        <w:jc w:val="both"/>
        <w:rPr>
          <w:b/>
          <w:bCs/>
          <w:szCs w:val="24"/>
        </w:rPr>
      </w:pPr>
      <w:r w:rsidRPr="00896B60">
        <w:rPr>
          <w:b/>
          <w:bCs/>
          <w:szCs w:val="24"/>
        </w:rPr>
        <w:lastRenderedPageBreak/>
        <w:t xml:space="preserve">Code block group (CBG) aggregation for reduced HARQ acknowledgements </w:t>
      </w:r>
    </w:p>
    <w:p w:rsidR="00FD150D" w:rsidRDefault="00FD150D" w:rsidP="00FD150D">
      <w:pPr>
        <w:ind w:left="360"/>
        <w:jc w:val="both"/>
      </w:pPr>
      <w:r w:rsidRPr="00896B60">
        <w:t>In NR, code-block group (CBG) aggregation is supported, where data transmission can be scheduled to span one or multiple code-blocks (CB). For each CBG, one HARQ feedback is sufficient to be transmitted for all aggregated code-blocks</w:t>
      </w:r>
      <w:r w:rsidR="00DA6AEF">
        <w:t>.</w:t>
      </w:r>
      <w:r w:rsidRPr="00896B60">
        <w:t xml:space="preserve"> The number of required HARQ processes and HARQ feedbacks can thus be significantly reduced. Therefore, the impact of longer delays in NTN needs to be considered for CBG, and whether or not the aggregation among TBs (rather than CB) can enhance the HARQ.</w:t>
      </w:r>
    </w:p>
    <w:p w:rsidR="00FD150D" w:rsidRPr="00896B60" w:rsidRDefault="00FD150D" w:rsidP="00FD150D">
      <w:pPr>
        <w:jc w:val="both"/>
        <w:rPr>
          <w:b/>
          <w:bCs/>
          <w:szCs w:val="24"/>
        </w:rPr>
      </w:pPr>
      <w:r w:rsidRPr="00896B60">
        <w:rPr>
          <w:b/>
          <w:bCs/>
          <w:szCs w:val="24"/>
        </w:rPr>
        <w:t>Limiting the number of HARQ processes or disabling HARQ</w:t>
      </w:r>
    </w:p>
    <w:p w:rsidR="00FD150D" w:rsidRPr="00896B60" w:rsidRDefault="00FD150D" w:rsidP="00FD150D">
      <w:pPr>
        <w:jc w:val="both"/>
      </w:pPr>
      <w:r w:rsidRPr="00896B60">
        <w:t>For some satellite constellations, the number of HARQ processes is too high, e.g., GEO can reach 500 HARQ processes for a 1ms sub</w:t>
      </w:r>
      <w:r w:rsidR="00DA6AEF">
        <w:t>-</w:t>
      </w:r>
      <w:r w:rsidRPr="00896B60">
        <w:t xml:space="preserve">frame length. In this case, mechanisms </w:t>
      </w:r>
      <w:r w:rsidR="00DA6AEF">
        <w:t>shall</w:t>
      </w:r>
      <w:r w:rsidRPr="00896B60">
        <w:t xml:space="preserve"> be studied to significantly reduce the number of HARQ processes. In some cases</w:t>
      </w:r>
      <w:r w:rsidR="006E412A">
        <w:t>, e.g. GEO satellite systems</w:t>
      </w:r>
      <w:r w:rsidRPr="00896B60">
        <w:t xml:space="preserve">, we might need to disable HARQ completely and allow only the initial transmission, RV0. </w:t>
      </w:r>
    </w:p>
    <w:p w:rsidR="00FD150D" w:rsidRPr="00896B60" w:rsidRDefault="00FD150D" w:rsidP="00FD150D">
      <w:pPr>
        <w:jc w:val="both"/>
      </w:pPr>
      <w:r w:rsidRPr="00896B60">
        <w:t>The HARQ deactivation/(re)-activation (and/or switching to ARQ) can be initiated either by the gNB or by the UE. This can be done dynamically (e.g., per transmission</w:t>
      </w:r>
      <w:r w:rsidR="00DA6AEF">
        <w:t xml:space="preserve"> of one or more transport blocks</w:t>
      </w:r>
      <w:r w:rsidRPr="00896B60">
        <w:t xml:space="preserve">) or semi-statically (e.g., by a deactivation for a period of time or over a region). Different mechanisms and metrics are </w:t>
      </w:r>
      <w:r w:rsidR="00DA6AEF">
        <w:t>required</w:t>
      </w:r>
      <w:r w:rsidRPr="00896B60">
        <w:t xml:space="preserve"> to decide whether to enable or disable HARQ, e.g., the UE QoS, memory size, round trip time, network type, or transport block size, etc. Hence, it is important to study the impact of disabling HARQ on NR (e.g., impact on the TBS, MCS, etc.). It is also important to consider the following HARQ reliability mechanisms to support disabling HARQ:</w:t>
      </w:r>
    </w:p>
    <w:p w:rsidR="00FD150D" w:rsidRPr="00896B60" w:rsidRDefault="00FD150D" w:rsidP="00FD150D">
      <w:pPr>
        <w:pStyle w:val="Listenabsatz"/>
        <w:numPr>
          <w:ilvl w:val="0"/>
          <w:numId w:val="36"/>
        </w:numPr>
        <w:jc w:val="both"/>
        <w:rPr>
          <w:b/>
          <w:sz w:val="24"/>
          <w:szCs w:val="20"/>
        </w:rPr>
      </w:pPr>
      <w:r w:rsidRPr="00896B60">
        <w:rPr>
          <w:b/>
          <w:bCs/>
          <w:szCs w:val="24"/>
        </w:rPr>
        <w:t>HARQ-less operation and redundancy transmission</w:t>
      </w:r>
    </w:p>
    <w:p w:rsidR="00FD150D" w:rsidRDefault="00FD150D" w:rsidP="00FD150D">
      <w:pPr>
        <w:ind w:left="360"/>
        <w:jc w:val="both"/>
      </w:pPr>
      <w:r w:rsidRPr="00896B60">
        <w:t>TTI bundling and HARQ-less repetition (LTE Rel</w:t>
      </w:r>
      <w:r w:rsidR="00DA6AEF">
        <w:t>-</w:t>
      </w:r>
      <w:r w:rsidRPr="00896B60">
        <w:t>15), can be used to completely avoid retransmissions; thus avoiding the large number of required HARQ processes and the excessive HARQ feedback. In NR release 15 –December freeze – it was also agreed upon a similar mechanism for UL, the k-repetition</w:t>
      </w:r>
      <w:r w:rsidR="00896B60">
        <w:t>.</w:t>
      </w:r>
      <w:r w:rsidRPr="00896B60">
        <w:t xml:space="preserve"> Those k repetitions can be similar to the initial transmission or </w:t>
      </w:r>
      <w:r w:rsidR="00DA6AEF">
        <w:t>following a certain RV sequence</w:t>
      </w:r>
      <w:r w:rsidRPr="00896B60">
        <w:t>. For current NR, bundling and repetition are only supported in the time domain. Therefore, the impact on repetition value k, rate reduction (i.e., 1/k), and the TBS/MCS tables need to be studied.</w:t>
      </w:r>
    </w:p>
    <w:p w:rsidR="00BB78BA" w:rsidRPr="00896B60" w:rsidRDefault="00CD5497" w:rsidP="00FD150D">
      <w:pPr>
        <w:ind w:left="360"/>
        <w:jc w:val="both"/>
      </w:pPr>
      <w:r>
        <w:t>Due to the longer delays between scheduling the grant and UL transmissions UE side grant free retransmissions can be used if channel quality decreases. Grant free retransmissions should be studied in case of varying channel conditions.</w:t>
      </w:r>
    </w:p>
    <w:p w:rsidR="00FD150D" w:rsidRPr="00896B60" w:rsidRDefault="00FD150D" w:rsidP="00FD150D">
      <w:pPr>
        <w:pStyle w:val="Listenabsatz"/>
        <w:numPr>
          <w:ilvl w:val="0"/>
          <w:numId w:val="36"/>
        </w:numPr>
        <w:jc w:val="both"/>
        <w:rPr>
          <w:b/>
          <w:bCs/>
          <w:sz w:val="24"/>
          <w:szCs w:val="24"/>
        </w:rPr>
      </w:pPr>
      <w:r w:rsidRPr="00896B60">
        <w:rPr>
          <w:b/>
          <w:bCs/>
          <w:szCs w:val="24"/>
        </w:rPr>
        <w:t>Utilizing terrestrial dual-connectivity</w:t>
      </w:r>
    </w:p>
    <w:p w:rsidR="00FD150D" w:rsidRPr="00896B60" w:rsidRDefault="00FD150D" w:rsidP="00FD150D">
      <w:pPr>
        <w:ind w:left="360"/>
        <w:jc w:val="both"/>
        <w:rPr>
          <w:color w:val="FF0000"/>
        </w:rPr>
      </w:pPr>
      <w:r w:rsidRPr="00896B60">
        <w:t xml:space="preserve">In case of deactivated HARQ, when it is required to guarantee a certain QoS, the HARQ operation can still be resumed (with a reduced latency) utilizing a dual-connectivity (DC) with a ground station (gNB) in a terrestrial network offloading scenario. The ground gNB might be backhauled using a satellite reliable link or lose-less connection to the network. Once the UE is in the coverage of both, terrestrial and non-terrestrial node, the initial transmission can be sent over the NTN link, while HARQ retransmissions (other RVs) and HARQ ACK/NACK feedbacks can simply flow over the terrestrial links (i.e., rather than the longer delay NTN links) as illustrated in </w:t>
      </w:r>
      <w:r w:rsidR="00E75008" w:rsidRPr="00896B60">
        <w:fldChar w:fldCharType="begin"/>
      </w:r>
      <w:r w:rsidR="00E75008" w:rsidRPr="00896B60">
        <w:instrText xml:space="preserve"> REF _Ref528687010 \h </w:instrText>
      </w:r>
      <w:r w:rsidR="006E6BDD" w:rsidRPr="00896B60">
        <w:instrText xml:space="preserve"> \* MERGEFORMAT </w:instrText>
      </w:r>
      <w:r w:rsidR="00E75008" w:rsidRPr="00896B60">
        <w:fldChar w:fldCharType="separate"/>
      </w:r>
      <w:r w:rsidR="00E75008" w:rsidRPr="00896B60">
        <w:t xml:space="preserve">Figure </w:t>
      </w:r>
      <w:r w:rsidR="00E75008" w:rsidRPr="00896B60">
        <w:rPr>
          <w:noProof/>
        </w:rPr>
        <w:t>1</w:t>
      </w:r>
      <w:r w:rsidR="00E75008" w:rsidRPr="00896B60">
        <w:fldChar w:fldCharType="end"/>
      </w:r>
      <w:r w:rsidRPr="00896B60">
        <w:t>. In other scenarios, rather than a network off</w:t>
      </w:r>
      <w:r w:rsidR="00896B60">
        <w:t>-</w:t>
      </w:r>
      <w:r w:rsidRPr="00896B60">
        <w:t xml:space="preserve">loading scenario, dual connectivity can gain performance utilizing L2 aggregations, e.g., PDCP aggregation. Hence, it is important to further study the impact on NR HARQ operation in case of DC with an existing terrestrial gNB to include HARQ redundancy decoding at physical layer and/or L2 aggregation if possible. The impact </w:t>
      </w:r>
      <w:r w:rsidRPr="00896B60">
        <w:lastRenderedPageBreak/>
        <w:t>on HARQ timing, the number of HARQ processes, and the HARQ process ID/synchronization need</w:t>
      </w:r>
      <w:r w:rsidR="00896B60">
        <w:t>s</w:t>
      </w:r>
      <w:r w:rsidRPr="00896B60">
        <w:t xml:space="preserve"> to be identified in this case.</w:t>
      </w:r>
    </w:p>
    <w:p w:rsidR="00FD150D" w:rsidRPr="00896B60" w:rsidRDefault="004867FB" w:rsidP="00FD150D">
      <w:pPr>
        <w:jc w:val="center"/>
      </w:pPr>
      <w:r w:rsidRPr="00896B60">
        <w:rPr>
          <w:noProof/>
          <w:lang w:val="de-DE" w:eastAsia="de-DE"/>
        </w:rPr>
        <w:drawing>
          <wp:inline distT="0" distB="0" distL="0" distR="0">
            <wp:extent cx="3466465" cy="1961515"/>
            <wp:effectExtent l="0" t="0" r="0" b="0"/>
            <wp:docPr id="1"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6465" cy="1961515"/>
                    </a:xfrm>
                    <a:prstGeom prst="rect">
                      <a:avLst/>
                    </a:prstGeom>
                    <a:noFill/>
                    <a:ln>
                      <a:noFill/>
                    </a:ln>
                  </pic:spPr>
                </pic:pic>
              </a:graphicData>
            </a:graphic>
          </wp:inline>
        </w:drawing>
      </w:r>
    </w:p>
    <w:p w:rsidR="00E75008" w:rsidRPr="00896B60" w:rsidRDefault="00E75008" w:rsidP="00E75008">
      <w:pPr>
        <w:pStyle w:val="Beschriftung"/>
        <w:rPr>
          <w:lang w:eastAsia="de-DE"/>
        </w:rPr>
      </w:pPr>
      <w:bookmarkStart w:id="2" w:name="_Ref528687010"/>
      <w:r w:rsidRPr="00896B60">
        <w:t xml:space="preserve">Figure </w:t>
      </w:r>
      <w:r w:rsidRPr="00896B60">
        <w:fldChar w:fldCharType="begin"/>
      </w:r>
      <w:r w:rsidRPr="00896B60">
        <w:instrText xml:space="preserve"> SEQ Figure \* ARABIC </w:instrText>
      </w:r>
      <w:r w:rsidRPr="00896B60">
        <w:fldChar w:fldCharType="separate"/>
      </w:r>
      <w:r w:rsidRPr="00896B60">
        <w:rPr>
          <w:noProof/>
        </w:rPr>
        <w:t>1</w:t>
      </w:r>
      <w:r w:rsidRPr="00896B60">
        <w:fldChar w:fldCharType="end"/>
      </w:r>
      <w:bookmarkEnd w:id="2"/>
      <w:r w:rsidRPr="00896B60">
        <w:t xml:space="preserve">: </w:t>
      </w:r>
      <w:r w:rsidRPr="00896B60">
        <w:rPr>
          <w:lang w:eastAsia="de-DE"/>
        </w:rPr>
        <w:t>The HARQ RVs are transmitted to the gNB via a satellite (or non-satellite) backhauling network. The gNB transmits the RVs to the UE upon HARQ negative acknowledgement NACK</w:t>
      </w:r>
    </w:p>
    <w:p w:rsidR="00E75008" w:rsidRPr="00896B60" w:rsidRDefault="00E75008" w:rsidP="00FD150D">
      <w:pPr>
        <w:pStyle w:val="Beschriftung"/>
        <w:rPr>
          <w:lang w:eastAsia="de-DE"/>
        </w:rPr>
      </w:pPr>
    </w:p>
    <w:p w:rsidR="001B324A" w:rsidRDefault="001B324A" w:rsidP="001B324A">
      <w:pPr>
        <w:jc w:val="both"/>
        <w:rPr>
          <w:b/>
        </w:rPr>
      </w:pPr>
      <w:r w:rsidRPr="006012FB">
        <w:rPr>
          <w:b/>
        </w:rPr>
        <w:t xml:space="preserve">Proposal 1: </w:t>
      </w:r>
      <w:r w:rsidR="00AF0095">
        <w:rPr>
          <w:b/>
        </w:rPr>
        <w:t>Study the impact on RAN2 of b</w:t>
      </w:r>
      <w:r>
        <w:rPr>
          <w:b/>
        </w:rPr>
        <w:t>oth options for limited/disabled HARQ as well as enhanc</w:t>
      </w:r>
      <w:r w:rsidR="00AF0095">
        <w:rPr>
          <w:b/>
        </w:rPr>
        <w:t xml:space="preserve">ing existing </w:t>
      </w:r>
      <w:r>
        <w:rPr>
          <w:b/>
        </w:rPr>
        <w:t>HARQ</w:t>
      </w:r>
      <w:r w:rsidRPr="006012FB">
        <w:rPr>
          <w:b/>
        </w:rPr>
        <w:t xml:space="preserve"> </w:t>
      </w:r>
      <w:r>
        <w:rPr>
          <w:b/>
        </w:rPr>
        <w:t xml:space="preserve">operation </w:t>
      </w:r>
      <w:r w:rsidR="00AF0095">
        <w:rPr>
          <w:b/>
        </w:rPr>
        <w:t>for NTN</w:t>
      </w:r>
      <w:r>
        <w:rPr>
          <w:b/>
        </w:rPr>
        <w:t>.</w:t>
      </w:r>
    </w:p>
    <w:p w:rsidR="006E412A" w:rsidRPr="006012FB" w:rsidRDefault="006E412A" w:rsidP="001B324A">
      <w:pPr>
        <w:jc w:val="both"/>
        <w:rPr>
          <w:b/>
        </w:rPr>
      </w:pPr>
      <w:bookmarkStart w:id="3" w:name="_GoBack"/>
      <w:bookmarkEnd w:id="3"/>
    </w:p>
    <w:p w:rsidR="00EB433C" w:rsidRPr="000B67FE" w:rsidRDefault="00EB433C" w:rsidP="003A2B04">
      <w:pPr>
        <w:pStyle w:val="berschrift1"/>
      </w:pPr>
      <w:r w:rsidRPr="000B67FE">
        <w:t>Summary</w:t>
      </w:r>
    </w:p>
    <w:p w:rsidR="00D409DC" w:rsidRPr="00A37E13" w:rsidRDefault="00D409DC" w:rsidP="00D409DC">
      <w:pPr>
        <w:rPr>
          <w:lang w:val="en-GB"/>
        </w:rPr>
      </w:pPr>
      <w:r w:rsidRPr="00A37E13">
        <w:rPr>
          <w:lang w:val="en-GB"/>
        </w:rPr>
        <w:t xml:space="preserve">The above section </w:t>
      </w:r>
      <w:r w:rsidR="007C1E5E">
        <w:rPr>
          <w:lang w:val="en-GB"/>
        </w:rPr>
        <w:t>shows</w:t>
      </w:r>
      <w:r w:rsidR="007C1E5E" w:rsidRPr="00A37E13">
        <w:rPr>
          <w:lang w:val="en-GB"/>
        </w:rPr>
        <w:t xml:space="preserve"> </w:t>
      </w:r>
      <w:r w:rsidRPr="00A37E13">
        <w:rPr>
          <w:lang w:val="en-GB"/>
        </w:rPr>
        <w:t>the challenges</w:t>
      </w:r>
      <w:r w:rsidR="006E412A">
        <w:rPr>
          <w:lang w:val="en-GB"/>
        </w:rPr>
        <w:t xml:space="preserve"> and proposes </w:t>
      </w:r>
      <w:r w:rsidR="007C1E5E">
        <w:rPr>
          <w:lang w:val="en-GB"/>
        </w:rPr>
        <w:t>solution</w:t>
      </w:r>
      <w:r w:rsidR="006E412A">
        <w:rPr>
          <w:lang w:val="en-GB"/>
        </w:rPr>
        <w:t>s</w:t>
      </w:r>
      <w:r w:rsidRPr="00A37E13">
        <w:rPr>
          <w:lang w:val="en-GB"/>
        </w:rPr>
        <w:t xml:space="preserve"> of</w:t>
      </w:r>
      <w:r w:rsidR="00695DB2">
        <w:rPr>
          <w:lang w:val="en-GB"/>
        </w:rPr>
        <w:t xml:space="preserve"> </w:t>
      </w:r>
      <w:r w:rsidR="00FD150D">
        <w:rPr>
          <w:lang w:val="en-GB"/>
        </w:rPr>
        <w:t>delay tolerant HARQ solutions in satellite systems.</w:t>
      </w:r>
    </w:p>
    <w:p w:rsidR="00184EFD" w:rsidRDefault="00F370D5" w:rsidP="00184EFD">
      <w:pPr>
        <w:rPr>
          <w:b/>
          <w:lang w:val="en-GB"/>
        </w:rPr>
      </w:pPr>
      <w:r w:rsidRPr="00A37E13">
        <w:rPr>
          <w:lang w:val="en-GB" w:eastAsia="zh-CN"/>
        </w:rPr>
        <w:t>The following observations and proposals are described in this document:</w:t>
      </w:r>
    </w:p>
    <w:p w:rsidR="00AF0095" w:rsidRPr="006012FB" w:rsidRDefault="00AF0095" w:rsidP="00AF0095">
      <w:pPr>
        <w:jc w:val="both"/>
        <w:rPr>
          <w:b/>
        </w:rPr>
      </w:pPr>
      <w:r w:rsidRPr="006012FB">
        <w:rPr>
          <w:b/>
        </w:rPr>
        <w:t xml:space="preserve">Proposal 1: </w:t>
      </w:r>
      <w:r>
        <w:rPr>
          <w:b/>
        </w:rPr>
        <w:t>Study the impact on RAN2 of both options for limited/disabled HARQ as well as enhancing existing HARQ</w:t>
      </w:r>
      <w:r w:rsidRPr="006012FB">
        <w:rPr>
          <w:b/>
        </w:rPr>
        <w:t xml:space="preserve"> </w:t>
      </w:r>
      <w:r>
        <w:rPr>
          <w:b/>
        </w:rPr>
        <w:t>operation for NTN.</w:t>
      </w:r>
    </w:p>
    <w:p w:rsidR="00FD150D" w:rsidRPr="006012FB" w:rsidRDefault="00FD150D" w:rsidP="00184EFD">
      <w:pPr>
        <w:rPr>
          <w:b/>
        </w:rPr>
      </w:pPr>
    </w:p>
    <w:p w:rsidR="00D53679" w:rsidRPr="007746E8" w:rsidRDefault="009E0D73" w:rsidP="00760364">
      <w:pPr>
        <w:pStyle w:val="berschrift1"/>
      </w:pPr>
      <w:r w:rsidRPr="000B67FE">
        <w:t>References</w:t>
      </w:r>
    </w:p>
    <w:p w:rsidR="00D53679" w:rsidRPr="003C1A5F" w:rsidRDefault="00D53679" w:rsidP="00D53679">
      <w:pPr>
        <w:pStyle w:val="Reference"/>
        <w:rPr>
          <w:lang w:val="en-GB"/>
        </w:rPr>
      </w:pPr>
      <w:bookmarkStart w:id="4" w:name="_Ref390333486"/>
      <w:r w:rsidRPr="003C1A5F">
        <w:rPr>
          <w:szCs w:val="22"/>
          <w:lang w:val="en-GB"/>
        </w:rPr>
        <w:t>RP-181</w:t>
      </w:r>
      <w:r w:rsidR="002E372F" w:rsidRPr="003C1A5F">
        <w:rPr>
          <w:szCs w:val="22"/>
          <w:lang w:val="en-GB"/>
        </w:rPr>
        <w:t>598</w:t>
      </w:r>
      <w:r w:rsidR="00193038" w:rsidRPr="003C1A5F">
        <w:rPr>
          <w:szCs w:val="22"/>
          <w:lang w:val="en-GB"/>
        </w:rPr>
        <w:t>,</w:t>
      </w:r>
      <w:r w:rsidRPr="003C1A5F">
        <w:rPr>
          <w:szCs w:val="22"/>
          <w:lang w:val="en-GB"/>
        </w:rPr>
        <w:tab/>
      </w:r>
      <w:r w:rsidR="002E372F" w:rsidRPr="003C1A5F">
        <w:rPr>
          <w:szCs w:val="22"/>
          <w:lang w:val="en-GB"/>
        </w:rPr>
        <w:t>“</w:t>
      </w:r>
      <w:r w:rsidRPr="003C1A5F">
        <w:rPr>
          <w:szCs w:val="22"/>
          <w:lang w:val="en-GB"/>
        </w:rPr>
        <w:t>Study on Solutions Evaluation for NR to Support Non-Terrestrial Network</w:t>
      </w:r>
      <w:r w:rsidR="002E372F" w:rsidRPr="003C1A5F">
        <w:rPr>
          <w:szCs w:val="22"/>
          <w:lang w:val="en-GB"/>
        </w:rPr>
        <w:t>”</w:t>
      </w:r>
      <w:r w:rsidRPr="003C1A5F">
        <w:rPr>
          <w:szCs w:val="22"/>
          <w:lang w:val="en-GB"/>
        </w:rPr>
        <w:t>, Thales.</w:t>
      </w:r>
      <w:bookmarkEnd w:id="4"/>
    </w:p>
    <w:p w:rsidR="002E372F" w:rsidRPr="003C1A5F" w:rsidRDefault="002E372F" w:rsidP="002E372F">
      <w:pPr>
        <w:pStyle w:val="Reference"/>
        <w:rPr>
          <w:lang w:val="en-GB"/>
        </w:rPr>
      </w:pPr>
      <w:bookmarkStart w:id="5" w:name="_Ref525714082"/>
      <w:r w:rsidRPr="003C1A5F">
        <w:rPr>
          <w:szCs w:val="22"/>
          <w:lang w:val="en-GB"/>
        </w:rPr>
        <w:t>3GPP TR 38.811 V15.0.0 (2018-06): Study on New Radio (NR) to support non terrestrial networks (Release 15)</w:t>
      </w:r>
      <w:bookmarkEnd w:id="5"/>
    </w:p>
    <w:p w:rsidR="00DF013C" w:rsidRPr="003C1A5F" w:rsidRDefault="00BD5056" w:rsidP="00BD5056">
      <w:pPr>
        <w:pStyle w:val="Reference"/>
        <w:rPr>
          <w:lang w:val="en-GB"/>
        </w:rPr>
      </w:pPr>
      <w:bookmarkStart w:id="6" w:name="_Ref528322197"/>
      <w:r w:rsidRPr="003C1A5F">
        <w:rPr>
          <w:lang w:val="en-GB"/>
        </w:rPr>
        <w:t>3GPP TR 38.821 v0.2.0: 3rd Generation Partnership Project; Technical Specification Group Radio Access Network; Solutions for NR to support non-terrestrial networks (NTN) (Release 16),</w:t>
      </w:r>
      <w:bookmarkEnd w:id="6"/>
      <w:r w:rsidRPr="003C1A5F">
        <w:rPr>
          <w:lang w:val="en-GB"/>
        </w:rPr>
        <w:t xml:space="preserve"> </w:t>
      </w:r>
    </w:p>
    <w:p w:rsidR="00FD150D" w:rsidRDefault="00FD150D" w:rsidP="00FD150D">
      <w:pPr>
        <w:pStyle w:val="Reference"/>
        <w:rPr>
          <w:lang w:val="en-GB"/>
        </w:rPr>
      </w:pPr>
      <w:bookmarkStart w:id="7" w:name="_Ref528688548"/>
      <w:r>
        <w:rPr>
          <w:lang w:val="en-GB"/>
        </w:rPr>
        <w:t>RP-180664, “</w:t>
      </w:r>
      <w:r w:rsidRPr="00FD150D">
        <w:rPr>
          <w:lang w:val="en-GB"/>
        </w:rPr>
        <w:t>NR-NTN: Preliminary solutions for NR to support non-terrestrial networks</w:t>
      </w:r>
      <w:r>
        <w:rPr>
          <w:lang w:val="en-GB"/>
        </w:rPr>
        <w:t>”, Thales, Nokia, Nokia Shanghai Bell, HNS</w:t>
      </w:r>
      <w:bookmarkEnd w:id="7"/>
    </w:p>
    <w:p w:rsidR="00896B60" w:rsidRPr="003C1A5F" w:rsidRDefault="00896B60" w:rsidP="005461D7">
      <w:pPr>
        <w:pStyle w:val="Reference"/>
        <w:numPr>
          <w:ilvl w:val="0"/>
          <w:numId w:val="0"/>
        </w:numPr>
        <w:ind w:left="567" w:hanging="567"/>
        <w:rPr>
          <w:lang w:val="en-GB"/>
        </w:rPr>
      </w:pPr>
    </w:p>
    <w:sectPr w:rsidR="00896B60" w:rsidRPr="003C1A5F" w:rsidSect="00A37E13">
      <w:footerReference w:type="default" r:id="rId10"/>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83A" w:rsidRDefault="000D283A" w:rsidP="000519FA">
      <w:pPr>
        <w:spacing w:after="0" w:line="240" w:lineRule="auto"/>
      </w:pPr>
      <w:r>
        <w:separator/>
      </w:r>
    </w:p>
  </w:endnote>
  <w:endnote w:type="continuationSeparator" w:id="0">
    <w:p w:rsidR="000D283A" w:rsidRDefault="000D283A"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048" w:rsidRDefault="00150048">
    <w:pPr>
      <w:pStyle w:val="Fuzeile"/>
      <w:jc w:val="center"/>
    </w:pPr>
    <w:r>
      <w:fldChar w:fldCharType="begin"/>
    </w:r>
    <w:r>
      <w:instrText xml:space="preserve"> PAGE   \* MERGEFORMAT </w:instrText>
    </w:r>
    <w:r>
      <w:fldChar w:fldCharType="separate"/>
    </w:r>
    <w:r w:rsidR="006E412A">
      <w:rPr>
        <w:noProof/>
      </w:rPr>
      <w:t>4</w:t>
    </w:r>
    <w:r>
      <w:rPr>
        <w:noProof/>
      </w:rPr>
      <w:fldChar w:fldCharType="end"/>
    </w:r>
  </w:p>
  <w:p w:rsidR="00150048" w:rsidRDefault="001500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83A" w:rsidRDefault="000D283A" w:rsidP="000519FA">
      <w:pPr>
        <w:spacing w:after="0" w:line="240" w:lineRule="auto"/>
      </w:pPr>
      <w:r>
        <w:separator/>
      </w:r>
    </w:p>
  </w:footnote>
  <w:footnote w:type="continuationSeparator" w:id="0">
    <w:p w:rsidR="000D283A" w:rsidRDefault="000D283A"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15pt;height:32.6pt" o:bullet="t">
        <v:imagedata r:id="rId1" o:title="artABBA"/>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C636D"/>
    <w:multiLevelType w:val="hybridMultilevel"/>
    <w:tmpl w:val="5D9E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F074B"/>
    <w:multiLevelType w:val="hybridMultilevel"/>
    <w:tmpl w:val="F3968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94D96"/>
    <w:multiLevelType w:val="hybridMultilevel"/>
    <w:tmpl w:val="970C18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70F71"/>
    <w:multiLevelType w:val="hybridMultilevel"/>
    <w:tmpl w:val="EA3474B0"/>
    <w:lvl w:ilvl="0" w:tplc="FB1AB972">
      <w:start w:val="178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15203D"/>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FAA2CE0"/>
    <w:multiLevelType w:val="hybridMultilevel"/>
    <w:tmpl w:val="EC90D1B2"/>
    <w:lvl w:ilvl="0" w:tplc="350695A8">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30341"/>
    <w:multiLevelType w:val="hybridMultilevel"/>
    <w:tmpl w:val="EB00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BE3371"/>
    <w:multiLevelType w:val="hybridMultilevel"/>
    <w:tmpl w:val="84E26416"/>
    <w:lvl w:ilvl="0" w:tplc="18829202">
      <w:start w:val="1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B76D91"/>
    <w:multiLevelType w:val="hybridMultilevel"/>
    <w:tmpl w:val="61E64B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46C273B"/>
    <w:multiLevelType w:val="hybridMultilevel"/>
    <w:tmpl w:val="29E0FE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78A28A5"/>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2"/>
  </w:num>
  <w:num w:numId="4">
    <w:abstractNumId w:val="31"/>
  </w:num>
  <w:num w:numId="5">
    <w:abstractNumId w:val="30"/>
  </w:num>
  <w:num w:numId="6">
    <w:abstractNumId w:val="28"/>
  </w:num>
  <w:num w:numId="7">
    <w:abstractNumId w:val="29"/>
  </w:num>
  <w:num w:numId="8">
    <w:abstractNumId w:val="16"/>
  </w:num>
  <w:num w:numId="9">
    <w:abstractNumId w:val="25"/>
  </w:num>
  <w:num w:numId="10">
    <w:abstractNumId w:val="15"/>
  </w:num>
  <w:num w:numId="11">
    <w:abstractNumId w:val="17"/>
  </w:num>
  <w:num w:numId="12">
    <w:abstractNumId w:val="14"/>
  </w:num>
  <w:num w:numId="13">
    <w:abstractNumId w:val="21"/>
  </w:num>
  <w:num w:numId="14">
    <w:abstractNumId w:val="3"/>
  </w:num>
  <w:num w:numId="15">
    <w:abstractNumId w:val="19"/>
  </w:num>
  <w:num w:numId="16">
    <w:abstractNumId w:val="5"/>
  </w:num>
  <w:num w:numId="17">
    <w:abstractNumId w:val="36"/>
  </w:num>
  <w:num w:numId="18">
    <w:abstractNumId w:val="4"/>
  </w:num>
  <w:num w:numId="19">
    <w:abstractNumId w:val="12"/>
  </w:num>
  <w:num w:numId="20">
    <w:abstractNumId w:val="13"/>
  </w:num>
  <w:num w:numId="21">
    <w:abstractNumId w:val="26"/>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22"/>
  </w:num>
  <w:num w:numId="27">
    <w:abstractNumId w:val="24"/>
  </w:num>
  <w:num w:numId="28">
    <w:abstractNumId w:val="9"/>
  </w:num>
  <w:num w:numId="29">
    <w:abstractNumId w:val="0"/>
  </w:num>
  <w:num w:numId="30">
    <w:abstractNumId w:val="33"/>
  </w:num>
  <w:num w:numId="31">
    <w:abstractNumId w:val="20"/>
  </w:num>
  <w:num w:numId="32">
    <w:abstractNumId w:val="35"/>
  </w:num>
  <w:num w:numId="33">
    <w:abstractNumId w:val="10"/>
  </w:num>
  <w:num w:numId="34">
    <w:abstractNumId w:val="18"/>
  </w:num>
  <w:num w:numId="35">
    <w:abstractNumId w:val="27"/>
  </w:num>
  <w:num w:numId="36">
    <w:abstractNumId w:val="23"/>
  </w:num>
  <w:num w:numId="37">
    <w:abstractNumId w:val="34"/>
  </w:num>
  <w:num w:numId="38">
    <w:abstractNumId w:val="2"/>
  </w:num>
  <w:num w:numId="3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54AE"/>
    <w:rsid w:val="00067BC8"/>
    <w:rsid w:val="00070735"/>
    <w:rsid w:val="00072A13"/>
    <w:rsid w:val="000746F1"/>
    <w:rsid w:val="00074772"/>
    <w:rsid w:val="00075BA9"/>
    <w:rsid w:val="00080069"/>
    <w:rsid w:val="00080A19"/>
    <w:rsid w:val="00082A2F"/>
    <w:rsid w:val="000835A6"/>
    <w:rsid w:val="000835B5"/>
    <w:rsid w:val="000836E2"/>
    <w:rsid w:val="000838F4"/>
    <w:rsid w:val="00084DEC"/>
    <w:rsid w:val="000852A4"/>
    <w:rsid w:val="0009000A"/>
    <w:rsid w:val="00094199"/>
    <w:rsid w:val="000971F4"/>
    <w:rsid w:val="000973EC"/>
    <w:rsid w:val="00097647"/>
    <w:rsid w:val="000A08A3"/>
    <w:rsid w:val="000A24C7"/>
    <w:rsid w:val="000A2FE5"/>
    <w:rsid w:val="000A437C"/>
    <w:rsid w:val="000A4533"/>
    <w:rsid w:val="000A4E66"/>
    <w:rsid w:val="000A5905"/>
    <w:rsid w:val="000A5A3E"/>
    <w:rsid w:val="000A5CBF"/>
    <w:rsid w:val="000A7CC5"/>
    <w:rsid w:val="000B4ECA"/>
    <w:rsid w:val="000B536F"/>
    <w:rsid w:val="000B67FE"/>
    <w:rsid w:val="000C1F38"/>
    <w:rsid w:val="000C2A54"/>
    <w:rsid w:val="000C3470"/>
    <w:rsid w:val="000C3792"/>
    <w:rsid w:val="000C4C94"/>
    <w:rsid w:val="000C63B7"/>
    <w:rsid w:val="000C7447"/>
    <w:rsid w:val="000C790A"/>
    <w:rsid w:val="000D01FE"/>
    <w:rsid w:val="000D0D93"/>
    <w:rsid w:val="000D283A"/>
    <w:rsid w:val="000D287C"/>
    <w:rsid w:val="000D3CBF"/>
    <w:rsid w:val="000D403A"/>
    <w:rsid w:val="000D6579"/>
    <w:rsid w:val="000D7F36"/>
    <w:rsid w:val="000E00F0"/>
    <w:rsid w:val="000E0D7C"/>
    <w:rsid w:val="000E20D5"/>
    <w:rsid w:val="000E3300"/>
    <w:rsid w:val="000E6009"/>
    <w:rsid w:val="000E692A"/>
    <w:rsid w:val="000E79B1"/>
    <w:rsid w:val="000E7C02"/>
    <w:rsid w:val="000E7F24"/>
    <w:rsid w:val="000F015B"/>
    <w:rsid w:val="000F0365"/>
    <w:rsid w:val="000F05B2"/>
    <w:rsid w:val="000F0C87"/>
    <w:rsid w:val="000F2D8F"/>
    <w:rsid w:val="000F453E"/>
    <w:rsid w:val="000F5575"/>
    <w:rsid w:val="000F64BD"/>
    <w:rsid w:val="001005D2"/>
    <w:rsid w:val="00103493"/>
    <w:rsid w:val="00103FE5"/>
    <w:rsid w:val="001043C5"/>
    <w:rsid w:val="0010469C"/>
    <w:rsid w:val="00105C9E"/>
    <w:rsid w:val="0010616A"/>
    <w:rsid w:val="00110759"/>
    <w:rsid w:val="00116F84"/>
    <w:rsid w:val="001175C0"/>
    <w:rsid w:val="00120438"/>
    <w:rsid w:val="00121A1E"/>
    <w:rsid w:val="00122ADB"/>
    <w:rsid w:val="00124ECD"/>
    <w:rsid w:val="00125CA0"/>
    <w:rsid w:val="00126CF8"/>
    <w:rsid w:val="0012710E"/>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3B6"/>
    <w:rsid w:val="001557C1"/>
    <w:rsid w:val="00155853"/>
    <w:rsid w:val="00157DB2"/>
    <w:rsid w:val="00160717"/>
    <w:rsid w:val="001619F2"/>
    <w:rsid w:val="001645C2"/>
    <w:rsid w:val="00166CA6"/>
    <w:rsid w:val="001671F2"/>
    <w:rsid w:val="00170442"/>
    <w:rsid w:val="001712ED"/>
    <w:rsid w:val="00171DDF"/>
    <w:rsid w:val="00172640"/>
    <w:rsid w:val="00175468"/>
    <w:rsid w:val="001812E3"/>
    <w:rsid w:val="00183472"/>
    <w:rsid w:val="001840DF"/>
    <w:rsid w:val="00184579"/>
    <w:rsid w:val="0018472F"/>
    <w:rsid w:val="00184EFD"/>
    <w:rsid w:val="00186A77"/>
    <w:rsid w:val="00187C6F"/>
    <w:rsid w:val="0019141C"/>
    <w:rsid w:val="00192935"/>
    <w:rsid w:val="00193038"/>
    <w:rsid w:val="00193810"/>
    <w:rsid w:val="00197BB5"/>
    <w:rsid w:val="00197E0B"/>
    <w:rsid w:val="001A0F58"/>
    <w:rsid w:val="001A25C2"/>
    <w:rsid w:val="001A4BC4"/>
    <w:rsid w:val="001A5D61"/>
    <w:rsid w:val="001A6D9F"/>
    <w:rsid w:val="001A7F00"/>
    <w:rsid w:val="001B15D0"/>
    <w:rsid w:val="001B1807"/>
    <w:rsid w:val="001B20D7"/>
    <w:rsid w:val="001B2A70"/>
    <w:rsid w:val="001B2C43"/>
    <w:rsid w:val="001B2DCA"/>
    <w:rsid w:val="001B30BA"/>
    <w:rsid w:val="001B324A"/>
    <w:rsid w:val="001B391C"/>
    <w:rsid w:val="001B3F85"/>
    <w:rsid w:val="001B53EC"/>
    <w:rsid w:val="001C4622"/>
    <w:rsid w:val="001C523F"/>
    <w:rsid w:val="001C66D9"/>
    <w:rsid w:val="001C7E39"/>
    <w:rsid w:val="001D1839"/>
    <w:rsid w:val="001D1BAC"/>
    <w:rsid w:val="001D3661"/>
    <w:rsid w:val="001D48B6"/>
    <w:rsid w:val="001D7850"/>
    <w:rsid w:val="001D7C16"/>
    <w:rsid w:val="001E0D4D"/>
    <w:rsid w:val="001E1EC4"/>
    <w:rsid w:val="001E2163"/>
    <w:rsid w:val="001E23D3"/>
    <w:rsid w:val="001E2F5B"/>
    <w:rsid w:val="001E46B5"/>
    <w:rsid w:val="001E4C46"/>
    <w:rsid w:val="001E5FE9"/>
    <w:rsid w:val="001E66B6"/>
    <w:rsid w:val="001E71BE"/>
    <w:rsid w:val="001F003B"/>
    <w:rsid w:val="001F0323"/>
    <w:rsid w:val="001F46A7"/>
    <w:rsid w:val="0020061D"/>
    <w:rsid w:val="00202FFE"/>
    <w:rsid w:val="002033A0"/>
    <w:rsid w:val="00203CF4"/>
    <w:rsid w:val="00206E46"/>
    <w:rsid w:val="002071E5"/>
    <w:rsid w:val="00207228"/>
    <w:rsid w:val="00211821"/>
    <w:rsid w:val="00214F4F"/>
    <w:rsid w:val="0021618C"/>
    <w:rsid w:val="00216449"/>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4311D"/>
    <w:rsid w:val="0024363B"/>
    <w:rsid w:val="002437AE"/>
    <w:rsid w:val="00243E1C"/>
    <w:rsid w:val="002462B0"/>
    <w:rsid w:val="00246B00"/>
    <w:rsid w:val="00252734"/>
    <w:rsid w:val="00253223"/>
    <w:rsid w:val="00253747"/>
    <w:rsid w:val="00253DCC"/>
    <w:rsid w:val="00253FFC"/>
    <w:rsid w:val="00254B74"/>
    <w:rsid w:val="002554AD"/>
    <w:rsid w:val="002557DB"/>
    <w:rsid w:val="00260BD5"/>
    <w:rsid w:val="002623FA"/>
    <w:rsid w:val="002640BA"/>
    <w:rsid w:val="00264714"/>
    <w:rsid w:val="00264C75"/>
    <w:rsid w:val="002653D0"/>
    <w:rsid w:val="0027054D"/>
    <w:rsid w:val="0027077A"/>
    <w:rsid w:val="0027199A"/>
    <w:rsid w:val="002763CB"/>
    <w:rsid w:val="002772C4"/>
    <w:rsid w:val="00281A49"/>
    <w:rsid w:val="002827B1"/>
    <w:rsid w:val="00284E2F"/>
    <w:rsid w:val="00285BC3"/>
    <w:rsid w:val="00292F13"/>
    <w:rsid w:val="00294494"/>
    <w:rsid w:val="0029466A"/>
    <w:rsid w:val="0029596C"/>
    <w:rsid w:val="0029675E"/>
    <w:rsid w:val="002A059C"/>
    <w:rsid w:val="002A2761"/>
    <w:rsid w:val="002A27BC"/>
    <w:rsid w:val="002A5488"/>
    <w:rsid w:val="002A5509"/>
    <w:rsid w:val="002A5778"/>
    <w:rsid w:val="002A689B"/>
    <w:rsid w:val="002B0B4B"/>
    <w:rsid w:val="002B29B2"/>
    <w:rsid w:val="002B3969"/>
    <w:rsid w:val="002B3F41"/>
    <w:rsid w:val="002B4623"/>
    <w:rsid w:val="002B4A5B"/>
    <w:rsid w:val="002B5306"/>
    <w:rsid w:val="002C07FD"/>
    <w:rsid w:val="002C08CE"/>
    <w:rsid w:val="002C1862"/>
    <w:rsid w:val="002C4D5E"/>
    <w:rsid w:val="002D132D"/>
    <w:rsid w:val="002D15A4"/>
    <w:rsid w:val="002D24D0"/>
    <w:rsid w:val="002D293F"/>
    <w:rsid w:val="002D3D84"/>
    <w:rsid w:val="002D4B66"/>
    <w:rsid w:val="002D6E8E"/>
    <w:rsid w:val="002E08D8"/>
    <w:rsid w:val="002E1513"/>
    <w:rsid w:val="002E372F"/>
    <w:rsid w:val="002E591E"/>
    <w:rsid w:val="002E684A"/>
    <w:rsid w:val="002E6E10"/>
    <w:rsid w:val="002E7049"/>
    <w:rsid w:val="002E7FF3"/>
    <w:rsid w:val="002F1648"/>
    <w:rsid w:val="002F2BBC"/>
    <w:rsid w:val="002F3A43"/>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1C71"/>
    <w:rsid w:val="00342727"/>
    <w:rsid w:val="0034322E"/>
    <w:rsid w:val="00343971"/>
    <w:rsid w:val="00343E11"/>
    <w:rsid w:val="003450C7"/>
    <w:rsid w:val="00346842"/>
    <w:rsid w:val="00347A04"/>
    <w:rsid w:val="00347D69"/>
    <w:rsid w:val="0035022C"/>
    <w:rsid w:val="00353680"/>
    <w:rsid w:val="0035455A"/>
    <w:rsid w:val="00356DBF"/>
    <w:rsid w:val="00360C68"/>
    <w:rsid w:val="00361FB3"/>
    <w:rsid w:val="00362B48"/>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3FE2"/>
    <w:rsid w:val="0038419E"/>
    <w:rsid w:val="00384424"/>
    <w:rsid w:val="00384788"/>
    <w:rsid w:val="00386AFD"/>
    <w:rsid w:val="0039081F"/>
    <w:rsid w:val="0039106B"/>
    <w:rsid w:val="00391CDC"/>
    <w:rsid w:val="00392353"/>
    <w:rsid w:val="0039273B"/>
    <w:rsid w:val="003939D2"/>
    <w:rsid w:val="003958B8"/>
    <w:rsid w:val="00395995"/>
    <w:rsid w:val="00396DE0"/>
    <w:rsid w:val="00397BEB"/>
    <w:rsid w:val="003A0A6D"/>
    <w:rsid w:val="003A29CC"/>
    <w:rsid w:val="003A2B04"/>
    <w:rsid w:val="003A32FD"/>
    <w:rsid w:val="003A3307"/>
    <w:rsid w:val="003A3F95"/>
    <w:rsid w:val="003A503B"/>
    <w:rsid w:val="003A6439"/>
    <w:rsid w:val="003A77AC"/>
    <w:rsid w:val="003A79BF"/>
    <w:rsid w:val="003A7DD9"/>
    <w:rsid w:val="003B07D6"/>
    <w:rsid w:val="003B1C92"/>
    <w:rsid w:val="003B47A7"/>
    <w:rsid w:val="003B5995"/>
    <w:rsid w:val="003B69F3"/>
    <w:rsid w:val="003C0B0D"/>
    <w:rsid w:val="003C112E"/>
    <w:rsid w:val="003C1A5F"/>
    <w:rsid w:val="003C3CCE"/>
    <w:rsid w:val="003C5801"/>
    <w:rsid w:val="003C61F5"/>
    <w:rsid w:val="003D2EA5"/>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5379"/>
    <w:rsid w:val="003F6175"/>
    <w:rsid w:val="003F6482"/>
    <w:rsid w:val="003F67FF"/>
    <w:rsid w:val="00402832"/>
    <w:rsid w:val="004032E4"/>
    <w:rsid w:val="0040357F"/>
    <w:rsid w:val="0040643F"/>
    <w:rsid w:val="00406B61"/>
    <w:rsid w:val="00410186"/>
    <w:rsid w:val="0041109B"/>
    <w:rsid w:val="0041147C"/>
    <w:rsid w:val="0041341B"/>
    <w:rsid w:val="00413E0F"/>
    <w:rsid w:val="00415612"/>
    <w:rsid w:val="004177DC"/>
    <w:rsid w:val="00420BB2"/>
    <w:rsid w:val="00420E1D"/>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7422"/>
    <w:rsid w:val="004401EA"/>
    <w:rsid w:val="00445C55"/>
    <w:rsid w:val="00452C50"/>
    <w:rsid w:val="0045439F"/>
    <w:rsid w:val="004551C5"/>
    <w:rsid w:val="00455DD3"/>
    <w:rsid w:val="00456005"/>
    <w:rsid w:val="00456552"/>
    <w:rsid w:val="00460E5F"/>
    <w:rsid w:val="0046101F"/>
    <w:rsid w:val="00461027"/>
    <w:rsid w:val="00461E8C"/>
    <w:rsid w:val="00462193"/>
    <w:rsid w:val="00462721"/>
    <w:rsid w:val="0046365D"/>
    <w:rsid w:val="00465A37"/>
    <w:rsid w:val="00465B89"/>
    <w:rsid w:val="00466336"/>
    <w:rsid w:val="00467347"/>
    <w:rsid w:val="00467709"/>
    <w:rsid w:val="00470EB4"/>
    <w:rsid w:val="0047216D"/>
    <w:rsid w:val="00472B68"/>
    <w:rsid w:val="00473BBA"/>
    <w:rsid w:val="0047683B"/>
    <w:rsid w:val="004775CD"/>
    <w:rsid w:val="004819EB"/>
    <w:rsid w:val="00484AF8"/>
    <w:rsid w:val="004867FB"/>
    <w:rsid w:val="0048680A"/>
    <w:rsid w:val="0049084E"/>
    <w:rsid w:val="004910C5"/>
    <w:rsid w:val="00491475"/>
    <w:rsid w:val="00491B2F"/>
    <w:rsid w:val="004920EF"/>
    <w:rsid w:val="00492CF5"/>
    <w:rsid w:val="004933A7"/>
    <w:rsid w:val="004935FF"/>
    <w:rsid w:val="00493C1E"/>
    <w:rsid w:val="004958CC"/>
    <w:rsid w:val="00495D6A"/>
    <w:rsid w:val="00496A99"/>
    <w:rsid w:val="004A1366"/>
    <w:rsid w:val="004A2D3A"/>
    <w:rsid w:val="004A4E2D"/>
    <w:rsid w:val="004B32B2"/>
    <w:rsid w:val="004B3D94"/>
    <w:rsid w:val="004B7836"/>
    <w:rsid w:val="004C0E19"/>
    <w:rsid w:val="004C1B9C"/>
    <w:rsid w:val="004C2605"/>
    <w:rsid w:val="004C327F"/>
    <w:rsid w:val="004C338C"/>
    <w:rsid w:val="004C5F6D"/>
    <w:rsid w:val="004D28DB"/>
    <w:rsid w:val="004D4273"/>
    <w:rsid w:val="004D5A4C"/>
    <w:rsid w:val="004D7B11"/>
    <w:rsid w:val="004E1769"/>
    <w:rsid w:val="004E2449"/>
    <w:rsid w:val="004E2565"/>
    <w:rsid w:val="004E4008"/>
    <w:rsid w:val="004E4977"/>
    <w:rsid w:val="004E7AC3"/>
    <w:rsid w:val="004F0260"/>
    <w:rsid w:val="004F0DA1"/>
    <w:rsid w:val="004F0FCB"/>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654"/>
    <w:rsid w:val="00511FAE"/>
    <w:rsid w:val="00512099"/>
    <w:rsid w:val="00512BFD"/>
    <w:rsid w:val="00515E12"/>
    <w:rsid w:val="00517B60"/>
    <w:rsid w:val="0052046D"/>
    <w:rsid w:val="00521AF7"/>
    <w:rsid w:val="00521FC2"/>
    <w:rsid w:val="00522C8F"/>
    <w:rsid w:val="00525F9A"/>
    <w:rsid w:val="00530024"/>
    <w:rsid w:val="005300CD"/>
    <w:rsid w:val="00530DCF"/>
    <w:rsid w:val="00531EE8"/>
    <w:rsid w:val="0053321B"/>
    <w:rsid w:val="0053790E"/>
    <w:rsid w:val="005410D8"/>
    <w:rsid w:val="00544162"/>
    <w:rsid w:val="0054444F"/>
    <w:rsid w:val="005457D6"/>
    <w:rsid w:val="005461D7"/>
    <w:rsid w:val="00546B77"/>
    <w:rsid w:val="00547BD3"/>
    <w:rsid w:val="00550812"/>
    <w:rsid w:val="00551AE9"/>
    <w:rsid w:val="00552233"/>
    <w:rsid w:val="005537AF"/>
    <w:rsid w:val="00554B17"/>
    <w:rsid w:val="00555C32"/>
    <w:rsid w:val="005563D0"/>
    <w:rsid w:val="00557C8D"/>
    <w:rsid w:val="00560492"/>
    <w:rsid w:val="00562A56"/>
    <w:rsid w:val="00564B0D"/>
    <w:rsid w:val="00564B93"/>
    <w:rsid w:val="00564D0B"/>
    <w:rsid w:val="00565CA6"/>
    <w:rsid w:val="00580250"/>
    <w:rsid w:val="00582257"/>
    <w:rsid w:val="0058246B"/>
    <w:rsid w:val="0058372F"/>
    <w:rsid w:val="00584949"/>
    <w:rsid w:val="00585B04"/>
    <w:rsid w:val="005902A7"/>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C91"/>
    <w:rsid w:val="005D7B38"/>
    <w:rsid w:val="005E1237"/>
    <w:rsid w:val="005E1F5E"/>
    <w:rsid w:val="005E21B4"/>
    <w:rsid w:val="005E2DE2"/>
    <w:rsid w:val="005E41CF"/>
    <w:rsid w:val="005E7812"/>
    <w:rsid w:val="005F2554"/>
    <w:rsid w:val="005F4017"/>
    <w:rsid w:val="005F4680"/>
    <w:rsid w:val="005F51CE"/>
    <w:rsid w:val="005F7A79"/>
    <w:rsid w:val="006012FB"/>
    <w:rsid w:val="00601F50"/>
    <w:rsid w:val="006025E5"/>
    <w:rsid w:val="0060294C"/>
    <w:rsid w:val="00602D65"/>
    <w:rsid w:val="0060321E"/>
    <w:rsid w:val="00603688"/>
    <w:rsid w:val="006044E9"/>
    <w:rsid w:val="0060647B"/>
    <w:rsid w:val="006067C7"/>
    <w:rsid w:val="0060730C"/>
    <w:rsid w:val="00610985"/>
    <w:rsid w:val="006119CC"/>
    <w:rsid w:val="0061247E"/>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304A7"/>
    <w:rsid w:val="00631885"/>
    <w:rsid w:val="00631DC3"/>
    <w:rsid w:val="006336C2"/>
    <w:rsid w:val="006341C0"/>
    <w:rsid w:val="006359EE"/>
    <w:rsid w:val="00636998"/>
    <w:rsid w:val="00636B03"/>
    <w:rsid w:val="00636DE6"/>
    <w:rsid w:val="00640358"/>
    <w:rsid w:val="006406D8"/>
    <w:rsid w:val="00641C19"/>
    <w:rsid w:val="00651485"/>
    <w:rsid w:val="006535DB"/>
    <w:rsid w:val="00654FBC"/>
    <w:rsid w:val="00655C73"/>
    <w:rsid w:val="0065791E"/>
    <w:rsid w:val="006618FA"/>
    <w:rsid w:val="00661E40"/>
    <w:rsid w:val="006627CC"/>
    <w:rsid w:val="00664986"/>
    <w:rsid w:val="00664BA3"/>
    <w:rsid w:val="00672217"/>
    <w:rsid w:val="00673548"/>
    <w:rsid w:val="0067430B"/>
    <w:rsid w:val="00675FE6"/>
    <w:rsid w:val="006801C5"/>
    <w:rsid w:val="00680649"/>
    <w:rsid w:val="00683938"/>
    <w:rsid w:val="00684C47"/>
    <w:rsid w:val="00685F29"/>
    <w:rsid w:val="00690D2D"/>
    <w:rsid w:val="00691265"/>
    <w:rsid w:val="00692429"/>
    <w:rsid w:val="006950E0"/>
    <w:rsid w:val="00695DB2"/>
    <w:rsid w:val="0069647F"/>
    <w:rsid w:val="006A00C7"/>
    <w:rsid w:val="006A08C7"/>
    <w:rsid w:val="006A185F"/>
    <w:rsid w:val="006A1A84"/>
    <w:rsid w:val="006A1D7D"/>
    <w:rsid w:val="006A2A90"/>
    <w:rsid w:val="006A4600"/>
    <w:rsid w:val="006A4709"/>
    <w:rsid w:val="006A5DE5"/>
    <w:rsid w:val="006B0179"/>
    <w:rsid w:val="006B0598"/>
    <w:rsid w:val="006B081A"/>
    <w:rsid w:val="006B316C"/>
    <w:rsid w:val="006B334F"/>
    <w:rsid w:val="006B395F"/>
    <w:rsid w:val="006B4813"/>
    <w:rsid w:val="006B5F83"/>
    <w:rsid w:val="006C0833"/>
    <w:rsid w:val="006C178E"/>
    <w:rsid w:val="006C2C35"/>
    <w:rsid w:val="006C3EFA"/>
    <w:rsid w:val="006C4B17"/>
    <w:rsid w:val="006C501B"/>
    <w:rsid w:val="006C557B"/>
    <w:rsid w:val="006D06E3"/>
    <w:rsid w:val="006D32E6"/>
    <w:rsid w:val="006D7921"/>
    <w:rsid w:val="006D7BD2"/>
    <w:rsid w:val="006E024C"/>
    <w:rsid w:val="006E0DB5"/>
    <w:rsid w:val="006E1605"/>
    <w:rsid w:val="006E412A"/>
    <w:rsid w:val="006E6BDD"/>
    <w:rsid w:val="006E6FF0"/>
    <w:rsid w:val="006F083D"/>
    <w:rsid w:val="006F1B31"/>
    <w:rsid w:val="006F3941"/>
    <w:rsid w:val="006F4BE1"/>
    <w:rsid w:val="007007C2"/>
    <w:rsid w:val="00704465"/>
    <w:rsid w:val="00706472"/>
    <w:rsid w:val="00706536"/>
    <w:rsid w:val="00707EDB"/>
    <w:rsid w:val="007124CB"/>
    <w:rsid w:val="00714CCC"/>
    <w:rsid w:val="00715C70"/>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5DA8"/>
    <w:rsid w:val="00756805"/>
    <w:rsid w:val="00757CDB"/>
    <w:rsid w:val="00760364"/>
    <w:rsid w:val="00761EAA"/>
    <w:rsid w:val="007629C1"/>
    <w:rsid w:val="00763492"/>
    <w:rsid w:val="00765812"/>
    <w:rsid w:val="00767BF8"/>
    <w:rsid w:val="00767F3F"/>
    <w:rsid w:val="00770025"/>
    <w:rsid w:val="007746E8"/>
    <w:rsid w:val="0077521F"/>
    <w:rsid w:val="00775709"/>
    <w:rsid w:val="007762C7"/>
    <w:rsid w:val="007779B4"/>
    <w:rsid w:val="00777A45"/>
    <w:rsid w:val="00777C69"/>
    <w:rsid w:val="007810FA"/>
    <w:rsid w:val="007825AF"/>
    <w:rsid w:val="00785E83"/>
    <w:rsid w:val="007861DF"/>
    <w:rsid w:val="0079207A"/>
    <w:rsid w:val="0079430D"/>
    <w:rsid w:val="00796F4A"/>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3153"/>
    <w:rsid w:val="007C34B4"/>
    <w:rsid w:val="007C3C38"/>
    <w:rsid w:val="007C60C8"/>
    <w:rsid w:val="007C70C7"/>
    <w:rsid w:val="007C715E"/>
    <w:rsid w:val="007D15EE"/>
    <w:rsid w:val="007D26A3"/>
    <w:rsid w:val="007D26FE"/>
    <w:rsid w:val="007D3218"/>
    <w:rsid w:val="007D351A"/>
    <w:rsid w:val="007D3949"/>
    <w:rsid w:val="007D60BF"/>
    <w:rsid w:val="007D75FC"/>
    <w:rsid w:val="007D7E09"/>
    <w:rsid w:val="007E1971"/>
    <w:rsid w:val="007E36A9"/>
    <w:rsid w:val="007E3753"/>
    <w:rsid w:val="007E3C8A"/>
    <w:rsid w:val="007E46B1"/>
    <w:rsid w:val="007E4B3C"/>
    <w:rsid w:val="007F06D6"/>
    <w:rsid w:val="007F4055"/>
    <w:rsid w:val="007F443B"/>
    <w:rsid w:val="007F50D9"/>
    <w:rsid w:val="007F7F9A"/>
    <w:rsid w:val="008001D2"/>
    <w:rsid w:val="00802DBE"/>
    <w:rsid w:val="00803965"/>
    <w:rsid w:val="00804BC6"/>
    <w:rsid w:val="00805BB3"/>
    <w:rsid w:val="00806492"/>
    <w:rsid w:val="00807036"/>
    <w:rsid w:val="008075A7"/>
    <w:rsid w:val="00807BDA"/>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36AA9"/>
    <w:rsid w:val="008415D9"/>
    <w:rsid w:val="008419A2"/>
    <w:rsid w:val="0084424F"/>
    <w:rsid w:val="00844778"/>
    <w:rsid w:val="00844EAD"/>
    <w:rsid w:val="00845A04"/>
    <w:rsid w:val="0084609F"/>
    <w:rsid w:val="008475D3"/>
    <w:rsid w:val="008518F5"/>
    <w:rsid w:val="00851A74"/>
    <w:rsid w:val="008556D7"/>
    <w:rsid w:val="0085775F"/>
    <w:rsid w:val="00860267"/>
    <w:rsid w:val="00861D0A"/>
    <w:rsid w:val="00861F1A"/>
    <w:rsid w:val="008620EC"/>
    <w:rsid w:val="00862CC3"/>
    <w:rsid w:val="00864189"/>
    <w:rsid w:val="0086464C"/>
    <w:rsid w:val="008662DA"/>
    <w:rsid w:val="00872945"/>
    <w:rsid w:val="00873153"/>
    <w:rsid w:val="00873C0A"/>
    <w:rsid w:val="00873E2E"/>
    <w:rsid w:val="0087550C"/>
    <w:rsid w:val="008774FC"/>
    <w:rsid w:val="00877AF9"/>
    <w:rsid w:val="008818C9"/>
    <w:rsid w:val="0088279C"/>
    <w:rsid w:val="00883BEF"/>
    <w:rsid w:val="00890E8F"/>
    <w:rsid w:val="00891604"/>
    <w:rsid w:val="00891A8D"/>
    <w:rsid w:val="008923E8"/>
    <w:rsid w:val="008923EE"/>
    <w:rsid w:val="008927A4"/>
    <w:rsid w:val="00893D39"/>
    <w:rsid w:val="00894C2D"/>
    <w:rsid w:val="00895C63"/>
    <w:rsid w:val="008964B6"/>
    <w:rsid w:val="008964D6"/>
    <w:rsid w:val="00896B60"/>
    <w:rsid w:val="00896D19"/>
    <w:rsid w:val="00897B3B"/>
    <w:rsid w:val="008A1A17"/>
    <w:rsid w:val="008A2170"/>
    <w:rsid w:val="008A495C"/>
    <w:rsid w:val="008A4E94"/>
    <w:rsid w:val="008A539F"/>
    <w:rsid w:val="008A58CB"/>
    <w:rsid w:val="008A6BE4"/>
    <w:rsid w:val="008A7AB3"/>
    <w:rsid w:val="008B0025"/>
    <w:rsid w:val="008B0396"/>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271D"/>
    <w:rsid w:val="008F6DED"/>
    <w:rsid w:val="008F7D0F"/>
    <w:rsid w:val="008F7D83"/>
    <w:rsid w:val="008F7FBF"/>
    <w:rsid w:val="009006CF"/>
    <w:rsid w:val="00903E53"/>
    <w:rsid w:val="009064F7"/>
    <w:rsid w:val="0091016F"/>
    <w:rsid w:val="00910545"/>
    <w:rsid w:val="00911ADB"/>
    <w:rsid w:val="0091210A"/>
    <w:rsid w:val="009137CF"/>
    <w:rsid w:val="0091638A"/>
    <w:rsid w:val="0091668C"/>
    <w:rsid w:val="009169B8"/>
    <w:rsid w:val="00917303"/>
    <w:rsid w:val="00917582"/>
    <w:rsid w:val="00917F45"/>
    <w:rsid w:val="0092132D"/>
    <w:rsid w:val="00922337"/>
    <w:rsid w:val="00923FE2"/>
    <w:rsid w:val="00924214"/>
    <w:rsid w:val="00924280"/>
    <w:rsid w:val="0092459D"/>
    <w:rsid w:val="0092536C"/>
    <w:rsid w:val="00927A1B"/>
    <w:rsid w:val="009352EF"/>
    <w:rsid w:val="009362AE"/>
    <w:rsid w:val="00937696"/>
    <w:rsid w:val="00940C63"/>
    <w:rsid w:val="00942521"/>
    <w:rsid w:val="00942D58"/>
    <w:rsid w:val="00943341"/>
    <w:rsid w:val="00943363"/>
    <w:rsid w:val="00944949"/>
    <w:rsid w:val="00945AF4"/>
    <w:rsid w:val="009463E0"/>
    <w:rsid w:val="00946973"/>
    <w:rsid w:val="009502F0"/>
    <w:rsid w:val="009506AA"/>
    <w:rsid w:val="00953EA4"/>
    <w:rsid w:val="00954E72"/>
    <w:rsid w:val="00955E54"/>
    <w:rsid w:val="00956142"/>
    <w:rsid w:val="00957318"/>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128A"/>
    <w:rsid w:val="00982199"/>
    <w:rsid w:val="009838B8"/>
    <w:rsid w:val="00983ECB"/>
    <w:rsid w:val="0098426C"/>
    <w:rsid w:val="00984D05"/>
    <w:rsid w:val="009850D1"/>
    <w:rsid w:val="0098573A"/>
    <w:rsid w:val="009878F4"/>
    <w:rsid w:val="00990646"/>
    <w:rsid w:val="00990AFC"/>
    <w:rsid w:val="00991888"/>
    <w:rsid w:val="00991B97"/>
    <w:rsid w:val="00991BE1"/>
    <w:rsid w:val="00992052"/>
    <w:rsid w:val="00992673"/>
    <w:rsid w:val="009926C1"/>
    <w:rsid w:val="009938F2"/>
    <w:rsid w:val="00995BB0"/>
    <w:rsid w:val="00997121"/>
    <w:rsid w:val="009972F4"/>
    <w:rsid w:val="00997B40"/>
    <w:rsid w:val="00997C2D"/>
    <w:rsid w:val="00997C41"/>
    <w:rsid w:val="009A0F0A"/>
    <w:rsid w:val="009A4D40"/>
    <w:rsid w:val="009A4FFA"/>
    <w:rsid w:val="009A661A"/>
    <w:rsid w:val="009A7DF6"/>
    <w:rsid w:val="009B0909"/>
    <w:rsid w:val="009B1907"/>
    <w:rsid w:val="009B1929"/>
    <w:rsid w:val="009B1A3D"/>
    <w:rsid w:val="009B5CF4"/>
    <w:rsid w:val="009B6B19"/>
    <w:rsid w:val="009C1E1D"/>
    <w:rsid w:val="009C4005"/>
    <w:rsid w:val="009C7896"/>
    <w:rsid w:val="009D2619"/>
    <w:rsid w:val="009D27F4"/>
    <w:rsid w:val="009D2998"/>
    <w:rsid w:val="009D49BC"/>
    <w:rsid w:val="009D6314"/>
    <w:rsid w:val="009D7582"/>
    <w:rsid w:val="009E0146"/>
    <w:rsid w:val="009E06B7"/>
    <w:rsid w:val="009E0D73"/>
    <w:rsid w:val="009E2747"/>
    <w:rsid w:val="009E3446"/>
    <w:rsid w:val="009E448C"/>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4CF8"/>
    <w:rsid w:val="00A1549F"/>
    <w:rsid w:val="00A15651"/>
    <w:rsid w:val="00A1626F"/>
    <w:rsid w:val="00A16970"/>
    <w:rsid w:val="00A16D4B"/>
    <w:rsid w:val="00A16DF0"/>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2895"/>
    <w:rsid w:val="00A35328"/>
    <w:rsid w:val="00A37E13"/>
    <w:rsid w:val="00A415B6"/>
    <w:rsid w:val="00A45C29"/>
    <w:rsid w:val="00A45C80"/>
    <w:rsid w:val="00A4633B"/>
    <w:rsid w:val="00A4783D"/>
    <w:rsid w:val="00A5125D"/>
    <w:rsid w:val="00A51648"/>
    <w:rsid w:val="00A52893"/>
    <w:rsid w:val="00A52A13"/>
    <w:rsid w:val="00A52D7E"/>
    <w:rsid w:val="00A54F44"/>
    <w:rsid w:val="00A57AF9"/>
    <w:rsid w:val="00A57C76"/>
    <w:rsid w:val="00A57CE0"/>
    <w:rsid w:val="00A61663"/>
    <w:rsid w:val="00A61E44"/>
    <w:rsid w:val="00A62991"/>
    <w:rsid w:val="00A657C7"/>
    <w:rsid w:val="00A67D61"/>
    <w:rsid w:val="00A735DF"/>
    <w:rsid w:val="00A75E73"/>
    <w:rsid w:val="00A76AA4"/>
    <w:rsid w:val="00A80DE2"/>
    <w:rsid w:val="00A82468"/>
    <w:rsid w:val="00A82539"/>
    <w:rsid w:val="00A83E0D"/>
    <w:rsid w:val="00A845DC"/>
    <w:rsid w:val="00A87625"/>
    <w:rsid w:val="00A876B3"/>
    <w:rsid w:val="00A87D79"/>
    <w:rsid w:val="00A900CC"/>
    <w:rsid w:val="00A900D9"/>
    <w:rsid w:val="00A90257"/>
    <w:rsid w:val="00A90653"/>
    <w:rsid w:val="00A918E6"/>
    <w:rsid w:val="00A9206A"/>
    <w:rsid w:val="00A95668"/>
    <w:rsid w:val="00A96922"/>
    <w:rsid w:val="00A97255"/>
    <w:rsid w:val="00AA0D5F"/>
    <w:rsid w:val="00AA5AE5"/>
    <w:rsid w:val="00AA6562"/>
    <w:rsid w:val="00AA68EC"/>
    <w:rsid w:val="00AA798E"/>
    <w:rsid w:val="00AB3581"/>
    <w:rsid w:val="00AB6062"/>
    <w:rsid w:val="00AB65E5"/>
    <w:rsid w:val="00AB7C79"/>
    <w:rsid w:val="00AC215C"/>
    <w:rsid w:val="00AC3502"/>
    <w:rsid w:val="00AC384B"/>
    <w:rsid w:val="00AC4ADB"/>
    <w:rsid w:val="00AC4F8A"/>
    <w:rsid w:val="00AC7F1A"/>
    <w:rsid w:val="00AC7FBC"/>
    <w:rsid w:val="00AD179E"/>
    <w:rsid w:val="00AD255B"/>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0095"/>
    <w:rsid w:val="00AF4B43"/>
    <w:rsid w:val="00AF6725"/>
    <w:rsid w:val="00B00552"/>
    <w:rsid w:val="00B00E67"/>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056"/>
    <w:rsid w:val="00B26D41"/>
    <w:rsid w:val="00B27B6A"/>
    <w:rsid w:val="00B31690"/>
    <w:rsid w:val="00B33A02"/>
    <w:rsid w:val="00B34336"/>
    <w:rsid w:val="00B346E7"/>
    <w:rsid w:val="00B349F6"/>
    <w:rsid w:val="00B351AE"/>
    <w:rsid w:val="00B35597"/>
    <w:rsid w:val="00B36996"/>
    <w:rsid w:val="00B37BFA"/>
    <w:rsid w:val="00B4001E"/>
    <w:rsid w:val="00B40197"/>
    <w:rsid w:val="00B40980"/>
    <w:rsid w:val="00B4111B"/>
    <w:rsid w:val="00B412DE"/>
    <w:rsid w:val="00B415A8"/>
    <w:rsid w:val="00B45124"/>
    <w:rsid w:val="00B4542A"/>
    <w:rsid w:val="00B455E0"/>
    <w:rsid w:val="00B45ED9"/>
    <w:rsid w:val="00B46E53"/>
    <w:rsid w:val="00B47643"/>
    <w:rsid w:val="00B4779E"/>
    <w:rsid w:val="00B5023F"/>
    <w:rsid w:val="00B50510"/>
    <w:rsid w:val="00B5206A"/>
    <w:rsid w:val="00B5221A"/>
    <w:rsid w:val="00B531CC"/>
    <w:rsid w:val="00B53CBD"/>
    <w:rsid w:val="00B54D83"/>
    <w:rsid w:val="00B5613C"/>
    <w:rsid w:val="00B56CD9"/>
    <w:rsid w:val="00B600B1"/>
    <w:rsid w:val="00B61BFF"/>
    <w:rsid w:val="00B6217B"/>
    <w:rsid w:val="00B640CF"/>
    <w:rsid w:val="00B67FDD"/>
    <w:rsid w:val="00B707A7"/>
    <w:rsid w:val="00B72D75"/>
    <w:rsid w:val="00B72DF0"/>
    <w:rsid w:val="00B740D5"/>
    <w:rsid w:val="00B75A23"/>
    <w:rsid w:val="00B75A4E"/>
    <w:rsid w:val="00B76DC9"/>
    <w:rsid w:val="00B77286"/>
    <w:rsid w:val="00B77845"/>
    <w:rsid w:val="00B8023E"/>
    <w:rsid w:val="00B82E90"/>
    <w:rsid w:val="00B85F93"/>
    <w:rsid w:val="00B87EFA"/>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A2B"/>
    <w:rsid w:val="00BB74CF"/>
    <w:rsid w:val="00BB7706"/>
    <w:rsid w:val="00BB78BA"/>
    <w:rsid w:val="00BC01AE"/>
    <w:rsid w:val="00BC0925"/>
    <w:rsid w:val="00BC109C"/>
    <w:rsid w:val="00BC1CA7"/>
    <w:rsid w:val="00BC30F0"/>
    <w:rsid w:val="00BC48EB"/>
    <w:rsid w:val="00BC6F6B"/>
    <w:rsid w:val="00BC70FB"/>
    <w:rsid w:val="00BD29FC"/>
    <w:rsid w:val="00BD3A77"/>
    <w:rsid w:val="00BD3F59"/>
    <w:rsid w:val="00BD4B1B"/>
    <w:rsid w:val="00BD4DAA"/>
    <w:rsid w:val="00BD5056"/>
    <w:rsid w:val="00BD6F67"/>
    <w:rsid w:val="00BD7689"/>
    <w:rsid w:val="00BD783A"/>
    <w:rsid w:val="00BE11CD"/>
    <w:rsid w:val="00BE1B0B"/>
    <w:rsid w:val="00BE1EC4"/>
    <w:rsid w:val="00BE4884"/>
    <w:rsid w:val="00BE5CC3"/>
    <w:rsid w:val="00BE5E1B"/>
    <w:rsid w:val="00BE6BB8"/>
    <w:rsid w:val="00BE7AB5"/>
    <w:rsid w:val="00BE7CC7"/>
    <w:rsid w:val="00BF167D"/>
    <w:rsid w:val="00BF27CD"/>
    <w:rsid w:val="00BF438D"/>
    <w:rsid w:val="00BF4C79"/>
    <w:rsid w:val="00BF545F"/>
    <w:rsid w:val="00BF550E"/>
    <w:rsid w:val="00BF57BA"/>
    <w:rsid w:val="00BF6899"/>
    <w:rsid w:val="00BF7226"/>
    <w:rsid w:val="00C011D8"/>
    <w:rsid w:val="00C0205C"/>
    <w:rsid w:val="00C03705"/>
    <w:rsid w:val="00C03AA8"/>
    <w:rsid w:val="00C03C52"/>
    <w:rsid w:val="00C04A6C"/>
    <w:rsid w:val="00C05381"/>
    <w:rsid w:val="00C05511"/>
    <w:rsid w:val="00C10525"/>
    <w:rsid w:val="00C10E36"/>
    <w:rsid w:val="00C114ED"/>
    <w:rsid w:val="00C11F32"/>
    <w:rsid w:val="00C12D7A"/>
    <w:rsid w:val="00C150D0"/>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57739"/>
    <w:rsid w:val="00C61A49"/>
    <w:rsid w:val="00C62256"/>
    <w:rsid w:val="00C636B9"/>
    <w:rsid w:val="00C66707"/>
    <w:rsid w:val="00C727D3"/>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2486"/>
    <w:rsid w:val="00CC3045"/>
    <w:rsid w:val="00CC49A2"/>
    <w:rsid w:val="00CC5D74"/>
    <w:rsid w:val="00CC66D9"/>
    <w:rsid w:val="00CC75DE"/>
    <w:rsid w:val="00CD08BD"/>
    <w:rsid w:val="00CD3C40"/>
    <w:rsid w:val="00CD3E65"/>
    <w:rsid w:val="00CD5497"/>
    <w:rsid w:val="00CD6150"/>
    <w:rsid w:val="00CD61F8"/>
    <w:rsid w:val="00CD78CD"/>
    <w:rsid w:val="00CE0752"/>
    <w:rsid w:val="00CE345A"/>
    <w:rsid w:val="00CE597B"/>
    <w:rsid w:val="00CE70BC"/>
    <w:rsid w:val="00CE7957"/>
    <w:rsid w:val="00CF1533"/>
    <w:rsid w:val="00CF3234"/>
    <w:rsid w:val="00CF3B36"/>
    <w:rsid w:val="00CF3E1A"/>
    <w:rsid w:val="00CF6A0A"/>
    <w:rsid w:val="00CF7F6A"/>
    <w:rsid w:val="00D00BA5"/>
    <w:rsid w:val="00D01AEE"/>
    <w:rsid w:val="00D03B4D"/>
    <w:rsid w:val="00D05242"/>
    <w:rsid w:val="00D075FD"/>
    <w:rsid w:val="00D11C09"/>
    <w:rsid w:val="00D12609"/>
    <w:rsid w:val="00D128F7"/>
    <w:rsid w:val="00D13229"/>
    <w:rsid w:val="00D16836"/>
    <w:rsid w:val="00D206B4"/>
    <w:rsid w:val="00D20CF0"/>
    <w:rsid w:val="00D20F64"/>
    <w:rsid w:val="00D21D83"/>
    <w:rsid w:val="00D249F8"/>
    <w:rsid w:val="00D27FCE"/>
    <w:rsid w:val="00D3211A"/>
    <w:rsid w:val="00D32ABD"/>
    <w:rsid w:val="00D331E0"/>
    <w:rsid w:val="00D3455B"/>
    <w:rsid w:val="00D34CD6"/>
    <w:rsid w:val="00D353F6"/>
    <w:rsid w:val="00D354B4"/>
    <w:rsid w:val="00D37FBA"/>
    <w:rsid w:val="00D4032D"/>
    <w:rsid w:val="00D40554"/>
    <w:rsid w:val="00D409DC"/>
    <w:rsid w:val="00D42D92"/>
    <w:rsid w:val="00D434D2"/>
    <w:rsid w:val="00D43C01"/>
    <w:rsid w:val="00D455F3"/>
    <w:rsid w:val="00D463BD"/>
    <w:rsid w:val="00D46C0D"/>
    <w:rsid w:val="00D50225"/>
    <w:rsid w:val="00D50558"/>
    <w:rsid w:val="00D5075D"/>
    <w:rsid w:val="00D50A2F"/>
    <w:rsid w:val="00D51C21"/>
    <w:rsid w:val="00D52EEE"/>
    <w:rsid w:val="00D5331E"/>
    <w:rsid w:val="00D53679"/>
    <w:rsid w:val="00D537E7"/>
    <w:rsid w:val="00D53A59"/>
    <w:rsid w:val="00D53AB6"/>
    <w:rsid w:val="00D55A63"/>
    <w:rsid w:val="00D572D6"/>
    <w:rsid w:val="00D57819"/>
    <w:rsid w:val="00D6013A"/>
    <w:rsid w:val="00D61C0C"/>
    <w:rsid w:val="00D6205C"/>
    <w:rsid w:val="00D628DC"/>
    <w:rsid w:val="00D63048"/>
    <w:rsid w:val="00D6319D"/>
    <w:rsid w:val="00D6651A"/>
    <w:rsid w:val="00D67E67"/>
    <w:rsid w:val="00D70AFE"/>
    <w:rsid w:val="00D70B34"/>
    <w:rsid w:val="00D713DA"/>
    <w:rsid w:val="00D71DDE"/>
    <w:rsid w:val="00D7263F"/>
    <w:rsid w:val="00D7398B"/>
    <w:rsid w:val="00D73D55"/>
    <w:rsid w:val="00D75AFC"/>
    <w:rsid w:val="00D805F0"/>
    <w:rsid w:val="00D8486E"/>
    <w:rsid w:val="00D8564C"/>
    <w:rsid w:val="00D856F3"/>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62DD"/>
    <w:rsid w:val="00DD7407"/>
    <w:rsid w:val="00DE0811"/>
    <w:rsid w:val="00DE0934"/>
    <w:rsid w:val="00DE16B2"/>
    <w:rsid w:val="00DE2B79"/>
    <w:rsid w:val="00DE3805"/>
    <w:rsid w:val="00DE63A4"/>
    <w:rsid w:val="00DF013C"/>
    <w:rsid w:val="00DF2049"/>
    <w:rsid w:val="00DF2100"/>
    <w:rsid w:val="00DF436E"/>
    <w:rsid w:val="00DF546B"/>
    <w:rsid w:val="00DF582C"/>
    <w:rsid w:val="00DF5A67"/>
    <w:rsid w:val="00DF6924"/>
    <w:rsid w:val="00E023EA"/>
    <w:rsid w:val="00E039C7"/>
    <w:rsid w:val="00E04CBF"/>
    <w:rsid w:val="00E057C9"/>
    <w:rsid w:val="00E06BA3"/>
    <w:rsid w:val="00E07BFC"/>
    <w:rsid w:val="00E12084"/>
    <w:rsid w:val="00E127AB"/>
    <w:rsid w:val="00E12B65"/>
    <w:rsid w:val="00E12BE8"/>
    <w:rsid w:val="00E13D43"/>
    <w:rsid w:val="00E143AF"/>
    <w:rsid w:val="00E14DA9"/>
    <w:rsid w:val="00E151D9"/>
    <w:rsid w:val="00E20837"/>
    <w:rsid w:val="00E22F3B"/>
    <w:rsid w:val="00E231E1"/>
    <w:rsid w:val="00E2367E"/>
    <w:rsid w:val="00E24599"/>
    <w:rsid w:val="00E249A1"/>
    <w:rsid w:val="00E275F5"/>
    <w:rsid w:val="00E27653"/>
    <w:rsid w:val="00E30E9D"/>
    <w:rsid w:val="00E33D59"/>
    <w:rsid w:val="00E34229"/>
    <w:rsid w:val="00E3543A"/>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F92"/>
    <w:rsid w:val="00E64234"/>
    <w:rsid w:val="00E6525F"/>
    <w:rsid w:val="00E65395"/>
    <w:rsid w:val="00E66C0F"/>
    <w:rsid w:val="00E74570"/>
    <w:rsid w:val="00E75008"/>
    <w:rsid w:val="00E75E0A"/>
    <w:rsid w:val="00E7615E"/>
    <w:rsid w:val="00E77432"/>
    <w:rsid w:val="00E77B1C"/>
    <w:rsid w:val="00E77FFB"/>
    <w:rsid w:val="00E8020D"/>
    <w:rsid w:val="00E80D19"/>
    <w:rsid w:val="00E824AC"/>
    <w:rsid w:val="00E84024"/>
    <w:rsid w:val="00E84919"/>
    <w:rsid w:val="00E84FFD"/>
    <w:rsid w:val="00E85648"/>
    <w:rsid w:val="00E87567"/>
    <w:rsid w:val="00E90CC9"/>
    <w:rsid w:val="00E926B3"/>
    <w:rsid w:val="00E92C97"/>
    <w:rsid w:val="00E9625C"/>
    <w:rsid w:val="00E962C3"/>
    <w:rsid w:val="00E9665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1048"/>
    <w:rsid w:val="00ED1BF8"/>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5F00"/>
    <w:rsid w:val="00EF7507"/>
    <w:rsid w:val="00EF7B34"/>
    <w:rsid w:val="00F00285"/>
    <w:rsid w:val="00F0269B"/>
    <w:rsid w:val="00F04115"/>
    <w:rsid w:val="00F06DF9"/>
    <w:rsid w:val="00F07103"/>
    <w:rsid w:val="00F07216"/>
    <w:rsid w:val="00F10773"/>
    <w:rsid w:val="00F1234C"/>
    <w:rsid w:val="00F12946"/>
    <w:rsid w:val="00F12D6A"/>
    <w:rsid w:val="00F15CD3"/>
    <w:rsid w:val="00F21C36"/>
    <w:rsid w:val="00F22B9A"/>
    <w:rsid w:val="00F27638"/>
    <w:rsid w:val="00F30BC6"/>
    <w:rsid w:val="00F32319"/>
    <w:rsid w:val="00F329D6"/>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B3C"/>
    <w:rsid w:val="00F606E7"/>
    <w:rsid w:val="00F618AD"/>
    <w:rsid w:val="00F62D37"/>
    <w:rsid w:val="00F637DD"/>
    <w:rsid w:val="00F63CD9"/>
    <w:rsid w:val="00F6796F"/>
    <w:rsid w:val="00F743A4"/>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EFB"/>
    <w:rsid w:val="00F96D97"/>
    <w:rsid w:val="00F97CF3"/>
    <w:rsid w:val="00FA27F3"/>
    <w:rsid w:val="00FA3DF2"/>
    <w:rsid w:val="00FA5924"/>
    <w:rsid w:val="00FA77A3"/>
    <w:rsid w:val="00FA7DA1"/>
    <w:rsid w:val="00FB2CA0"/>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EBF"/>
    <w:rsid w:val="00FE2675"/>
    <w:rsid w:val="00FE2DE3"/>
    <w:rsid w:val="00FE3838"/>
    <w:rsid w:val="00FE3B26"/>
    <w:rsid w:val="00FE462C"/>
    <w:rsid w:val="00FE5597"/>
    <w:rsid w:val="00FE5A5B"/>
    <w:rsid w:val="00FE64D4"/>
    <w:rsid w:val="00FF0460"/>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A91863"/>
  <w15:chartTrackingRefBased/>
  <w15:docId w15:val="{97CE0563-6D45-6042-8936-80AEF08F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3C38"/>
    <w:pPr>
      <w:spacing w:after="160" w:line="259" w:lineRule="auto"/>
    </w:pPr>
    <w:rPr>
      <w:sz w:val="22"/>
      <w:szCs w:val="22"/>
      <w:lang w:val="en-US" w:eastAsia="en-US"/>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sz w:val="20"/>
      <w:szCs w:val="20"/>
      <w:lang w:val="en-GB" w:eastAsia="zh-CN"/>
    </w:rPr>
  </w:style>
  <w:style w:type="character" w:customStyle="1" w:styleId="berschrift7Zchn">
    <w:name w:val="Überschrift 7 Zchn"/>
    <w:link w:val="berschrift7"/>
    <w:rsid w:val="006A1A84"/>
    <w:rPr>
      <w:rFonts w:ascii="Arial" w:eastAsia="Times New Roman" w:hAnsi="Arial" w:cs="Arial"/>
      <w:sz w:val="20"/>
      <w:szCs w:val="20"/>
      <w:lang w:val="en-GB" w:eastAsia="zh-CN"/>
    </w:rPr>
  </w:style>
  <w:style w:type="character" w:customStyle="1" w:styleId="berschrift8Zchn">
    <w:name w:val="Überschrift 8 Zchn"/>
    <w:link w:val="berschrift8"/>
    <w:rsid w:val="006A1A84"/>
    <w:rPr>
      <w:rFonts w:ascii="Arial" w:eastAsia="Times New Roman" w:hAnsi="Arial" w:cs="Arial"/>
      <w:sz w:val="20"/>
      <w:szCs w:val="20"/>
      <w:lang w:val="en-GB" w:eastAsia="zh-CN"/>
    </w:rPr>
  </w:style>
  <w:style w:type="character" w:customStyle="1" w:styleId="berschrift9Zchn">
    <w:name w:val="Überschrift 9 Zchn"/>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lang w:val="en-US" w:eastAsia="en-US"/>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lang w:val="en-US" w:eastAsia="en-US"/>
    </w:rPr>
  </w:style>
  <w:style w:type="paragraph" w:customStyle="1" w:styleId="CRCoverPage">
    <w:name w:val="CR Cover Page"/>
    <w:rsid w:val="00B46E53"/>
    <w:pPr>
      <w:spacing w:after="120"/>
    </w:pPr>
    <w:rPr>
      <w:rFonts w:ascii="Arial" w:eastAsia="Times New Roman" w:hAnsi="Arial"/>
      <w:lang w:val="en-GB" w:eastAsia="en-US"/>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eastAsia="en-US"/>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eastAsia="en-US"/>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eastAsia="en-US"/>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customStyle="1" w:styleId="BesuchterHyperlink">
    <w:name w:val="BesuchterHyperlink"/>
    <w:aliases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27"/>
      </w:numPr>
      <w:tabs>
        <w:tab w:val="left" w:pos="1701"/>
      </w:tabs>
      <w:spacing w:after="120" w:line="240" w:lineRule="auto"/>
    </w:pPr>
    <w:rPr>
      <w:rFonts w:ascii="Times New Roman" w:eastAsia="MS Mincho" w:hAnsi="Times New Roman"/>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667587791">
      <w:bodyDiv w:val="1"/>
      <w:marLeft w:val="0"/>
      <w:marRight w:val="0"/>
      <w:marTop w:val="0"/>
      <w:marBottom w:val="0"/>
      <w:divBdr>
        <w:top w:val="none" w:sz="0" w:space="0" w:color="auto"/>
        <w:left w:val="none" w:sz="0" w:space="0" w:color="auto"/>
        <w:bottom w:val="none" w:sz="0" w:space="0" w:color="auto"/>
        <w:right w:val="none" w:sz="0" w:space="0" w:color="auto"/>
      </w:divBdr>
      <w:divsChild>
        <w:div w:id="393085251">
          <w:marLeft w:val="0"/>
          <w:marRight w:val="0"/>
          <w:marTop w:val="0"/>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a_XpuXvum5I6JIX6BJwP70wh5ivnOGUx3Y8ywSGhO6EkdQW_zWRvybLHudFeVpfmAnuPNyJDxyPQslVBKUGax885oT8zGrg0dolkvZA3S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EE78D-1071-45AF-B01E-1AE4E65FF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1414</Words>
  <Characters>8911</Characters>
  <Application>Microsoft Office Word</Application>
  <DocSecurity>0</DocSecurity>
  <Lines>74</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10305</CharactersWithSpaces>
  <SharedDoc>false</SharedDoc>
  <HLinks>
    <vt:vector size="6" baseType="variant">
      <vt:variant>
        <vt:i4>86</vt:i4>
      </vt:variant>
      <vt:variant>
        <vt:i4>12</vt:i4>
      </vt:variant>
      <vt:variant>
        <vt:i4>0</vt:i4>
      </vt:variant>
      <vt:variant>
        <vt:i4>5</vt:i4>
      </vt:variant>
      <vt:variant>
        <vt:lpwstr>http://www.baidu.com/link?url=a_XpuXvum5I6JIX6BJwP70wh5ivnOGUx3Y8ywSGhO6EkdQW_zWRvybLHudFeVpfmAnuPNyJDxyPQslVBKUGax885oT8zGrg0dolkvZA3SoC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Heyn, Thomas</cp:lastModifiedBy>
  <cp:revision>6</cp:revision>
  <cp:lastPrinted>2017-11-07T14:24:00Z</cp:lastPrinted>
  <dcterms:created xsi:type="dcterms:W3CDTF">2018-11-01T19:26:00Z</dcterms:created>
  <dcterms:modified xsi:type="dcterms:W3CDTF">2018-11-01T19:44:00Z</dcterms:modified>
</cp:coreProperties>
</file>