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0E34F376" w:rsidR="00895250" w:rsidRPr="00DF17A7"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DF17A7">
        <w:rPr>
          <w:rFonts w:ascii="Arial" w:eastAsia="MS Mincho" w:hAnsi="Arial"/>
          <w:b/>
          <w:sz w:val="24"/>
          <w:szCs w:val="24"/>
          <w:lang w:val="en-GB" w:eastAsia="x-none"/>
        </w:rPr>
        <w:t>3GPP TSG</w:t>
      </w:r>
      <w:r w:rsidR="002E4520">
        <w:rPr>
          <w:rFonts w:ascii="Arial" w:eastAsia="MS Mincho" w:hAnsi="Arial"/>
          <w:b/>
          <w:sz w:val="24"/>
          <w:szCs w:val="24"/>
          <w:lang w:val="en-GB" w:eastAsia="x-none"/>
        </w:rPr>
        <w:t>-RAN WG2 Meeting #103bis</w:t>
      </w:r>
      <w:r w:rsidR="002E4520">
        <w:rPr>
          <w:rFonts w:ascii="Arial" w:eastAsia="MS Mincho" w:hAnsi="Arial"/>
          <w:b/>
          <w:sz w:val="24"/>
          <w:szCs w:val="24"/>
          <w:lang w:val="en-GB" w:eastAsia="x-none"/>
        </w:rPr>
        <w:tab/>
        <w:t>R2-181</w:t>
      </w:r>
      <w:r w:rsidR="00611096">
        <w:rPr>
          <w:rFonts w:ascii="Arial" w:eastAsia="MS Mincho" w:hAnsi="Arial"/>
          <w:b/>
          <w:sz w:val="24"/>
          <w:szCs w:val="24"/>
          <w:lang w:val="en-GB" w:eastAsia="x-none"/>
        </w:rPr>
        <w:t>5372</w:t>
      </w:r>
    </w:p>
    <w:p w14:paraId="6877EE3A" w14:textId="368BA480" w:rsidR="00895250" w:rsidRPr="00DF17A7" w:rsidRDefault="002E4520"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Chengdu</w:t>
      </w:r>
      <w:r w:rsidR="00895250" w:rsidRPr="00DF17A7">
        <w:rPr>
          <w:rFonts w:ascii="Arial" w:eastAsia="MS Mincho" w:hAnsi="Arial"/>
          <w:b/>
          <w:sz w:val="24"/>
          <w:szCs w:val="24"/>
          <w:lang w:val="en-GB" w:eastAsia="x-none"/>
        </w:rPr>
        <w:t>,</w:t>
      </w:r>
      <w:r>
        <w:rPr>
          <w:rFonts w:ascii="Arial" w:eastAsia="MS Mincho" w:hAnsi="Arial"/>
          <w:b/>
          <w:sz w:val="24"/>
          <w:szCs w:val="24"/>
          <w:lang w:val="en-GB" w:eastAsia="x-none"/>
        </w:rPr>
        <w:t xml:space="preserve"> China, 8th - 12th October 2018</w:t>
      </w:r>
    </w:p>
    <w:p w14:paraId="41F9B491" w14:textId="49EFE19E" w:rsidR="0097167E" w:rsidRPr="00DF17A7"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DF17A7" w:rsidRDefault="00A07E02" w:rsidP="00A07E02">
      <w:pPr>
        <w:pStyle w:val="3GPPHeader"/>
        <w:rPr>
          <w:rFonts w:ascii="Arial" w:hAnsi="Arial" w:cs="Arial"/>
          <w:color w:val="FF0000"/>
          <w:szCs w:val="24"/>
          <w:lang w:eastAsia="zh-TW"/>
        </w:rPr>
      </w:pPr>
    </w:p>
    <w:p w14:paraId="027912C8" w14:textId="6BADAC29" w:rsidR="00A07E02" w:rsidRPr="00DF17A7" w:rsidRDefault="00A07E02" w:rsidP="00A07E02">
      <w:pPr>
        <w:pStyle w:val="3GPPHeader"/>
        <w:rPr>
          <w:rFonts w:ascii="Arial" w:hAnsi="Arial" w:cs="Arial"/>
          <w:szCs w:val="24"/>
        </w:rPr>
      </w:pPr>
      <w:r w:rsidRPr="00DF17A7">
        <w:rPr>
          <w:rFonts w:ascii="Arial" w:hAnsi="Arial" w:cs="Arial"/>
          <w:szCs w:val="24"/>
        </w:rPr>
        <w:t>Agenda Item:</w:t>
      </w:r>
      <w:r w:rsidRPr="00DF17A7">
        <w:rPr>
          <w:rFonts w:ascii="Arial" w:hAnsi="Arial" w:cs="Arial"/>
          <w:szCs w:val="24"/>
        </w:rPr>
        <w:tab/>
      </w:r>
      <w:r w:rsidR="00611096">
        <w:rPr>
          <w:rFonts w:ascii="Arial" w:hAnsi="Arial" w:cs="Arial"/>
          <w:szCs w:val="24"/>
        </w:rPr>
        <w:t>12</w:t>
      </w:r>
      <w:r w:rsidR="0059607F" w:rsidRPr="00DF17A7">
        <w:rPr>
          <w:rFonts w:ascii="Arial" w:hAnsi="Arial" w:cs="Arial"/>
          <w:szCs w:val="24"/>
        </w:rPr>
        <w:t>.</w:t>
      </w:r>
      <w:r w:rsidR="00611096">
        <w:rPr>
          <w:rFonts w:ascii="Arial" w:hAnsi="Arial" w:cs="Arial"/>
          <w:szCs w:val="24"/>
        </w:rPr>
        <w:t>1</w:t>
      </w:r>
      <w:r w:rsidR="009861DC" w:rsidRPr="00DF17A7">
        <w:rPr>
          <w:rFonts w:ascii="Arial" w:hAnsi="Arial" w:cs="Arial"/>
          <w:szCs w:val="24"/>
        </w:rPr>
        <w:t>.</w:t>
      </w:r>
      <w:r w:rsidR="00611096">
        <w:rPr>
          <w:rFonts w:ascii="Arial" w:hAnsi="Arial" w:cs="Arial"/>
          <w:szCs w:val="24"/>
        </w:rPr>
        <w:t>2</w:t>
      </w:r>
    </w:p>
    <w:p w14:paraId="79D236BA" w14:textId="77777777" w:rsidR="00A07E02" w:rsidRPr="00DF17A7" w:rsidRDefault="00A07E02" w:rsidP="00A07E02">
      <w:pPr>
        <w:pStyle w:val="3GPPHeader"/>
        <w:rPr>
          <w:rFonts w:ascii="Arial" w:hAnsi="Arial" w:cs="Arial"/>
          <w:szCs w:val="24"/>
        </w:rPr>
      </w:pPr>
      <w:r w:rsidRPr="00DF17A7">
        <w:rPr>
          <w:rFonts w:ascii="Arial" w:hAnsi="Arial" w:cs="Arial"/>
          <w:szCs w:val="24"/>
        </w:rPr>
        <w:t xml:space="preserve">Source: </w:t>
      </w:r>
      <w:r w:rsidRPr="00DF17A7">
        <w:rPr>
          <w:rFonts w:ascii="Arial" w:hAnsi="Arial" w:cs="Arial"/>
          <w:szCs w:val="24"/>
        </w:rPr>
        <w:tab/>
        <w:t>MediaTek Inc.</w:t>
      </w:r>
    </w:p>
    <w:p w14:paraId="108A86FF" w14:textId="65030283" w:rsidR="00A07E02" w:rsidRPr="00DF17A7" w:rsidRDefault="00FF0668" w:rsidP="00A07E02">
      <w:pPr>
        <w:pStyle w:val="3GPPHeaderArial"/>
        <w:tabs>
          <w:tab w:val="left" w:pos="1701"/>
        </w:tabs>
        <w:rPr>
          <w:b/>
          <w:sz w:val="24"/>
          <w:lang w:val="en-GB" w:eastAsia="zh-TW"/>
        </w:rPr>
      </w:pPr>
      <w:r w:rsidRPr="00DF17A7">
        <w:rPr>
          <w:b/>
          <w:sz w:val="24"/>
          <w:lang w:val="en-GB"/>
        </w:rPr>
        <w:t xml:space="preserve">Title:  </w:t>
      </w:r>
      <w:r w:rsidRPr="00DF17A7">
        <w:rPr>
          <w:b/>
          <w:sz w:val="24"/>
          <w:lang w:val="en-GB"/>
        </w:rPr>
        <w:tab/>
      </w:r>
      <w:r w:rsidR="002F5F5F">
        <w:rPr>
          <w:b/>
          <w:sz w:val="24"/>
          <w:lang w:val="en-GB"/>
        </w:rPr>
        <w:t xml:space="preserve">Mobile-terminated Early Data Transmission </w:t>
      </w:r>
    </w:p>
    <w:p w14:paraId="2D698DC6" w14:textId="77777777" w:rsidR="00A07E02" w:rsidRPr="00DF17A7" w:rsidRDefault="00A07E02" w:rsidP="00A07E02">
      <w:pPr>
        <w:pStyle w:val="3GPPHeaderArial"/>
        <w:tabs>
          <w:tab w:val="left" w:pos="1701"/>
        </w:tabs>
        <w:rPr>
          <w:b/>
          <w:sz w:val="24"/>
          <w:lang w:val="en-GB" w:eastAsia="zh-TW"/>
        </w:rPr>
      </w:pPr>
    </w:p>
    <w:p w14:paraId="4570B40E" w14:textId="77777777" w:rsidR="00A07E02" w:rsidRPr="00DF17A7" w:rsidRDefault="00A07E02" w:rsidP="00A07E02">
      <w:pPr>
        <w:pStyle w:val="3GPPHeader"/>
        <w:rPr>
          <w:rFonts w:ascii="Arial" w:hAnsi="Arial" w:cs="Arial"/>
          <w:szCs w:val="24"/>
        </w:rPr>
      </w:pPr>
      <w:r w:rsidRPr="00DF17A7">
        <w:rPr>
          <w:rFonts w:ascii="Arial" w:hAnsi="Arial" w:cs="Arial"/>
          <w:szCs w:val="24"/>
        </w:rPr>
        <w:t>Document for:</w:t>
      </w:r>
      <w:r w:rsidRPr="00DF17A7">
        <w:rPr>
          <w:rFonts w:ascii="Arial" w:hAnsi="Arial" w:cs="Arial"/>
          <w:szCs w:val="24"/>
        </w:rPr>
        <w:tab/>
        <w:t>Discussion and decision</w:t>
      </w:r>
    </w:p>
    <w:p w14:paraId="0FB84FBC" w14:textId="77777777" w:rsidR="00A07E02" w:rsidRPr="00DF17A7" w:rsidRDefault="00A07E02" w:rsidP="00A07E02">
      <w:pPr>
        <w:pStyle w:val="1"/>
        <w:overflowPunct w:val="0"/>
        <w:autoSpaceDE w:val="0"/>
        <w:autoSpaceDN w:val="0"/>
        <w:adjustRightInd w:val="0"/>
        <w:rPr>
          <w:rFonts w:eastAsia="新細明體" w:cs="Arial"/>
        </w:rPr>
      </w:pPr>
      <w:r w:rsidRPr="00DF17A7">
        <w:rPr>
          <w:rFonts w:eastAsia="新細明體" w:cs="Arial"/>
        </w:rPr>
        <w:t>Introduction</w:t>
      </w:r>
      <w:bookmarkStart w:id="2" w:name="OLE_LINK39"/>
      <w:bookmarkStart w:id="3" w:name="OLE_LINK38"/>
      <w:bookmarkStart w:id="4" w:name="OLE_LINK37"/>
    </w:p>
    <w:p w14:paraId="41AE5976" w14:textId="30262069" w:rsidR="00211501" w:rsidRPr="002E067A" w:rsidRDefault="00211501" w:rsidP="00211501">
      <w:pPr>
        <w:ind w:right="-99"/>
      </w:pPr>
      <w:r w:rsidRPr="002E067A">
        <w:t xml:space="preserve">In WID on Rel-16 enhancements for NB-IoT [1], </w:t>
      </w:r>
      <w:r w:rsidR="00FD6E6C" w:rsidRPr="002E067A">
        <w:t>one</w:t>
      </w:r>
      <w:r w:rsidRPr="002E067A">
        <w:t xml:space="preserve"> objective to imp</w:t>
      </w:r>
      <w:r w:rsidR="003A56DA">
        <w:t xml:space="preserve">rove DL transmission efficiency is </w:t>
      </w:r>
      <w:r w:rsidR="00845E56">
        <w:t xml:space="preserve">described as </w:t>
      </w:r>
    </w:p>
    <w:p w14:paraId="42EFE824" w14:textId="77777777" w:rsidR="00211501" w:rsidRPr="00BE6C0C" w:rsidRDefault="00211501" w:rsidP="00211501">
      <w:pPr>
        <w:rPr>
          <w:b/>
          <w:bCs/>
        </w:rPr>
      </w:pPr>
      <w:r w:rsidRPr="00BE6C0C">
        <w:rPr>
          <w:b/>
          <w:bCs/>
        </w:rPr>
        <w:t>Improved DL transmission efficiency and/or UE power consumption:</w:t>
      </w:r>
    </w:p>
    <w:p w14:paraId="08A99336" w14:textId="77777777" w:rsidR="00211501" w:rsidRPr="00BE6C0C" w:rsidRDefault="00211501" w:rsidP="00211501">
      <w:pPr>
        <w:numPr>
          <w:ilvl w:val="0"/>
          <w:numId w:val="12"/>
        </w:numPr>
        <w:overflowPunct w:val="0"/>
        <w:autoSpaceDE w:val="0"/>
        <w:autoSpaceDN w:val="0"/>
        <w:adjustRightInd w:val="0"/>
        <w:textAlignment w:val="baseline"/>
        <w:rPr>
          <w:bCs/>
        </w:rPr>
      </w:pPr>
      <w:r w:rsidRPr="00BE6C0C">
        <w:rPr>
          <w:bCs/>
        </w:rPr>
        <w:t>Specify support for mobile-terminated (MT) early data transmission (EDT) [RAN2</w:t>
      </w:r>
      <w:r>
        <w:rPr>
          <w:bCs/>
        </w:rPr>
        <w:t>, RAN3</w:t>
      </w:r>
      <w:r w:rsidRPr="00BE6C0C">
        <w:rPr>
          <w:bCs/>
        </w:rPr>
        <w:t>]</w:t>
      </w:r>
    </w:p>
    <w:p w14:paraId="25F0176F" w14:textId="006B57F1" w:rsidR="00FD6E6C" w:rsidRDefault="00211501" w:rsidP="00FD6E6C">
      <w:pPr>
        <w:numPr>
          <w:ilvl w:val="0"/>
          <w:numId w:val="12"/>
        </w:numPr>
        <w:overflowPunct w:val="0"/>
        <w:autoSpaceDE w:val="0"/>
        <w:autoSpaceDN w:val="0"/>
        <w:adjustRightInd w:val="0"/>
        <w:textAlignment w:val="baseline"/>
        <w:rPr>
          <w:bCs/>
        </w:rPr>
      </w:pPr>
      <w:bookmarkStart w:id="5" w:name="_Hlk515907437"/>
      <w:r w:rsidRPr="00BE6C0C">
        <w:rPr>
          <w:bCs/>
        </w:rPr>
        <w:t>Specify support for UE-group wake-up signal (WUS) [RAN1, RAN2, RAN4]</w:t>
      </w:r>
      <w:bookmarkEnd w:id="5"/>
    </w:p>
    <w:p w14:paraId="31196F65" w14:textId="77777777" w:rsidR="00845E56" w:rsidRPr="00845E56" w:rsidRDefault="00845E56" w:rsidP="00845E56">
      <w:pPr>
        <w:overflowPunct w:val="0"/>
        <w:autoSpaceDE w:val="0"/>
        <w:autoSpaceDN w:val="0"/>
        <w:adjustRightInd w:val="0"/>
        <w:ind w:left="720"/>
        <w:textAlignment w:val="baseline"/>
        <w:rPr>
          <w:bCs/>
        </w:rPr>
      </w:pPr>
    </w:p>
    <w:p w14:paraId="5DE58BFA" w14:textId="531B60D0" w:rsidR="00763361" w:rsidRPr="002E067A" w:rsidRDefault="00FD6E6C" w:rsidP="002E067A">
      <w:pPr>
        <w:overflowPunct w:val="0"/>
        <w:autoSpaceDE w:val="0"/>
        <w:autoSpaceDN w:val="0"/>
        <w:adjustRightInd w:val="0"/>
        <w:textAlignment w:val="baseline"/>
        <w:rPr>
          <w:bCs/>
        </w:rPr>
      </w:pPr>
      <w:r>
        <w:rPr>
          <w:bCs/>
        </w:rPr>
        <w:t xml:space="preserve">In this paper, we discuss the scope </w:t>
      </w:r>
      <w:r w:rsidR="005472A6">
        <w:rPr>
          <w:bCs/>
        </w:rPr>
        <w:t xml:space="preserve">and the design </w:t>
      </w:r>
      <w:r>
        <w:rPr>
          <w:bCs/>
        </w:rPr>
        <w:t xml:space="preserve">of </w:t>
      </w:r>
      <w:r w:rsidR="002F5F5F" w:rsidRPr="002F5F5F">
        <w:rPr>
          <w:bCs/>
        </w:rPr>
        <w:t xml:space="preserve">Mobile-terminated Early Data Transmission </w:t>
      </w:r>
      <w:r w:rsidR="002F5F5F">
        <w:rPr>
          <w:bCs/>
        </w:rPr>
        <w:t>(</w:t>
      </w:r>
      <w:r>
        <w:rPr>
          <w:bCs/>
        </w:rPr>
        <w:t>MT EDT</w:t>
      </w:r>
      <w:r w:rsidR="002F5F5F">
        <w:rPr>
          <w:bCs/>
        </w:rPr>
        <w:t>)</w:t>
      </w:r>
      <w:r>
        <w:rPr>
          <w:bCs/>
        </w:rPr>
        <w:t xml:space="preserve">. </w:t>
      </w:r>
    </w:p>
    <w:p w14:paraId="4A37D6DA" w14:textId="73784FC0" w:rsidR="00763361" w:rsidRPr="00763361" w:rsidRDefault="002E067A" w:rsidP="00763361">
      <w:pPr>
        <w:pStyle w:val="1"/>
        <w:overflowPunct w:val="0"/>
        <w:autoSpaceDE w:val="0"/>
        <w:autoSpaceDN w:val="0"/>
        <w:adjustRightInd w:val="0"/>
        <w:rPr>
          <w:rFonts w:eastAsia="新細明體" w:cs="Arial"/>
        </w:rPr>
      </w:pPr>
      <w:r>
        <w:rPr>
          <w:rFonts w:eastAsia="新細明體" w:cs="Arial"/>
        </w:rPr>
        <w:t>Discussion</w:t>
      </w:r>
      <w:r w:rsidR="00763361" w:rsidRPr="00763361">
        <w:rPr>
          <w:rFonts w:eastAsia="新細明體" w:cs="Arial"/>
        </w:rPr>
        <w:t xml:space="preserve"> </w:t>
      </w:r>
    </w:p>
    <w:p w14:paraId="35AEFBB8" w14:textId="0D279129" w:rsidR="00845E56" w:rsidRDefault="00845E56" w:rsidP="00845E56">
      <w:pPr>
        <w:jc w:val="both"/>
      </w:pPr>
      <w:r>
        <w:t xml:space="preserve">In Rel-15 </w:t>
      </w:r>
      <w:r w:rsidRPr="00763361">
        <w:t>WI</w:t>
      </w:r>
      <w:r>
        <w:t>D</w:t>
      </w:r>
      <w:r w:rsidRPr="00763361">
        <w:t xml:space="preserve"> Further Enhancements of NB-IoT</w:t>
      </w:r>
      <w:r w:rsidR="00982F8D">
        <w:t xml:space="preserve"> [</w:t>
      </w:r>
      <w:r w:rsidR="00191129">
        <w:t>2</w:t>
      </w:r>
      <w:r w:rsidR="00982F8D">
        <w:t>]</w:t>
      </w:r>
      <w:r>
        <w:t>, mobile originated (MO) early data transmission (EDT) is specified. An idle mode UE is able to transmit UL data in M</w:t>
      </w:r>
      <w:r w:rsidR="0053127F">
        <w:t>SG</w:t>
      </w:r>
      <w:r>
        <w:t xml:space="preserve">3 </w:t>
      </w:r>
      <w:r w:rsidR="005F5306">
        <w:t>in</w:t>
      </w:r>
      <w:r>
        <w:t xml:space="preserve"> the random access procedure, carrying </w:t>
      </w:r>
      <w:r w:rsidR="00210C8F">
        <w:t xml:space="preserve">TB size </w:t>
      </w:r>
      <w:r>
        <w:t xml:space="preserve">between 328 and 1000 bits. After successful reception by eNB, </w:t>
      </w:r>
      <w:r w:rsidR="00B440DC">
        <w:t>the</w:t>
      </w:r>
      <w:r w:rsidR="005F5306">
        <w:t xml:space="preserve"> DL data can be transmitted in MSG4 </w:t>
      </w:r>
      <w:r w:rsidR="0096256B">
        <w:t xml:space="preserve">in the NAS container </w:t>
      </w:r>
      <w:r w:rsidR="005F5306">
        <w:t xml:space="preserve">together with RRC connection release message. Then, </w:t>
      </w:r>
      <w:r>
        <w:t xml:space="preserve">the random access procedure terminates and the UE does not transit to the connected mode. </w:t>
      </w:r>
    </w:p>
    <w:p w14:paraId="19EE403F" w14:textId="77777777" w:rsidR="007B7165" w:rsidRDefault="007B7165" w:rsidP="00845E56">
      <w:pPr>
        <w:jc w:val="both"/>
      </w:pPr>
    </w:p>
    <w:p w14:paraId="642362A3" w14:textId="053EBF9A" w:rsidR="007B7165" w:rsidRDefault="00982F8D" w:rsidP="00845E56">
      <w:pPr>
        <w:jc w:val="both"/>
      </w:pPr>
      <w:r>
        <w:t xml:space="preserve">The EDT for CP </w:t>
      </w:r>
      <w:r w:rsidR="00210C8F" w:rsidRPr="00011FAE">
        <w:rPr>
          <w:lang w:val="en-GB"/>
        </w:rPr>
        <w:t>CIoT EPS Optimizations</w:t>
      </w:r>
      <w:r w:rsidR="00210C8F">
        <w:t xml:space="preserve"> </w:t>
      </w:r>
      <w:r>
        <w:t xml:space="preserve">and UP </w:t>
      </w:r>
      <w:r w:rsidR="00210C8F" w:rsidRPr="00011FAE">
        <w:rPr>
          <w:lang w:val="en-GB"/>
        </w:rPr>
        <w:t>CIoT EPS Optimizations</w:t>
      </w:r>
      <w:r w:rsidR="00210C8F">
        <w:t xml:space="preserve"> </w:t>
      </w:r>
      <w:r>
        <w:t>procedure</w:t>
      </w:r>
      <w:r w:rsidR="00210C8F">
        <w:t>s</w:t>
      </w:r>
      <w:r>
        <w:t xml:space="preserve"> are listed in Figure 1 and Figure 2, respectively. </w:t>
      </w:r>
    </w:p>
    <w:p w14:paraId="4B09F8B5" w14:textId="77777777" w:rsidR="003806F3" w:rsidRDefault="003806F3" w:rsidP="00845E56">
      <w:pPr>
        <w:jc w:val="both"/>
      </w:pPr>
    </w:p>
    <w:p w14:paraId="004C0FFA" w14:textId="25C9D801" w:rsidR="007B7165" w:rsidRPr="00011FAE" w:rsidRDefault="003F1F7B" w:rsidP="007B7165">
      <w:pPr>
        <w:pStyle w:val="TH"/>
        <w:rPr>
          <w:lang w:eastAsia="ja-JP"/>
        </w:rPr>
      </w:pPr>
      <w:r>
        <w:pict w14:anchorId="69F63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198.8pt">
            <v:imagedata r:id="rId8" o:title=""/>
          </v:shape>
        </w:pict>
      </w:r>
    </w:p>
    <w:p w14:paraId="1C2F5F85" w14:textId="4AEE8FC1" w:rsidR="007B7165" w:rsidRDefault="007B7165" w:rsidP="00982F8D">
      <w:pPr>
        <w:jc w:val="center"/>
        <w:rPr>
          <w:lang w:val="en-GB"/>
        </w:rPr>
      </w:pPr>
      <w:r w:rsidRPr="00011FAE">
        <w:rPr>
          <w:lang w:val="en-GB"/>
        </w:rPr>
        <w:t xml:space="preserve">Figure </w:t>
      </w:r>
      <w:r w:rsidR="00DC4B2D">
        <w:rPr>
          <w:lang w:val="en-GB"/>
        </w:rPr>
        <w:t>1</w:t>
      </w:r>
      <w:r w:rsidRPr="00011FAE">
        <w:rPr>
          <w:lang w:val="en-GB"/>
        </w:rPr>
        <w:t xml:space="preserve">: </w:t>
      </w:r>
      <w:r w:rsidR="00DC4B2D">
        <w:rPr>
          <w:lang w:val="en-GB"/>
        </w:rPr>
        <w:t>MO</w:t>
      </w:r>
      <w:r w:rsidR="00210C8F">
        <w:rPr>
          <w:lang w:val="en-GB"/>
        </w:rPr>
        <w:t xml:space="preserve"> </w:t>
      </w:r>
      <w:r w:rsidRPr="00011FAE">
        <w:rPr>
          <w:lang w:val="en-GB"/>
        </w:rPr>
        <w:t>EDT for Control Plane CIoT EPS Optimizations</w:t>
      </w:r>
    </w:p>
    <w:p w14:paraId="0061434B" w14:textId="77777777" w:rsidR="007B7165" w:rsidRDefault="007B7165" w:rsidP="007B7165">
      <w:pPr>
        <w:jc w:val="both"/>
        <w:rPr>
          <w:lang w:val="en-GB"/>
        </w:rPr>
      </w:pPr>
    </w:p>
    <w:p w14:paraId="5CBF3DA2" w14:textId="77777777" w:rsidR="007B7165" w:rsidRPr="00011FAE" w:rsidRDefault="007B7165" w:rsidP="007B7165">
      <w:pPr>
        <w:pStyle w:val="TH"/>
        <w:rPr>
          <w:lang w:eastAsia="ja-JP"/>
        </w:rPr>
      </w:pPr>
      <w:r w:rsidRPr="00011FAE">
        <w:object w:dxaOrig="10728" w:dyaOrig="6216" w14:anchorId="2AE63656">
          <v:shape id="_x0000_i1026" type="#_x0000_t75" style="width:412.65pt;height:239.1pt" o:ole="">
            <v:imagedata r:id="rId9" o:title=""/>
          </v:shape>
          <o:OLEObject Type="Embed" ProgID="Visio.Drawing.15" ShapeID="_x0000_i1026" DrawAspect="Content" ObjectID="_1599650759" r:id="rId10"/>
        </w:object>
      </w:r>
    </w:p>
    <w:p w14:paraId="49CB01BE" w14:textId="6BE43760" w:rsidR="00DC4B2D" w:rsidRDefault="00DC4B2D" w:rsidP="00DC4B2D">
      <w:pPr>
        <w:jc w:val="center"/>
        <w:rPr>
          <w:lang w:val="en-GB"/>
        </w:rPr>
      </w:pPr>
      <w:r w:rsidRPr="00011FAE">
        <w:rPr>
          <w:lang w:val="en-GB"/>
        </w:rPr>
        <w:t xml:space="preserve">Figure </w:t>
      </w:r>
      <w:r>
        <w:rPr>
          <w:lang w:val="en-GB"/>
        </w:rPr>
        <w:t>2</w:t>
      </w:r>
      <w:r w:rsidRPr="00011FAE">
        <w:rPr>
          <w:lang w:val="en-GB"/>
        </w:rPr>
        <w:t xml:space="preserve">: </w:t>
      </w:r>
      <w:r>
        <w:rPr>
          <w:lang w:val="en-GB"/>
        </w:rPr>
        <w:t xml:space="preserve">MO </w:t>
      </w:r>
      <w:r w:rsidRPr="00011FAE">
        <w:rPr>
          <w:lang w:val="en-GB"/>
        </w:rPr>
        <w:t xml:space="preserve">EDT for </w:t>
      </w:r>
      <w:r>
        <w:rPr>
          <w:lang w:val="en-GB"/>
        </w:rPr>
        <w:t xml:space="preserve">User </w:t>
      </w:r>
      <w:r w:rsidRPr="00011FAE">
        <w:rPr>
          <w:lang w:val="en-GB"/>
        </w:rPr>
        <w:t>Plane CIoT EPS Optimizations</w:t>
      </w:r>
    </w:p>
    <w:p w14:paraId="13CD6DEA" w14:textId="084A9267" w:rsidR="00982F8D" w:rsidRDefault="00681A6D" w:rsidP="00681A6D">
      <w:pPr>
        <w:pStyle w:val="1"/>
        <w:overflowPunct w:val="0"/>
        <w:autoSpaceDE w:val="0"/>
        <w:autoSpaceDN w:val="0"/>
        <w:adjustRightInd w:val="0"/>
        <w:rPr>
          <w:rFonts w:ascii="Calibri" w:eastAsiaTheme="minorEastAsia" w:hAnsi="Calibri"/>
          <w:szCs w:val="22"/>
          <w:lang w:eastAsia="zh-TW"/>
        </w:rPr>
      </w:pPr>
      <w:r>
        <w:rPr>
          <w:rFonts w:ascii="Calibri" w:eastAsiaTheme="minorEastAsia" w:hAnsi="Calibri"/>
          <w:szCs w:val="22"/>
          <w:lang w:eastAsia="zh-TW"/>
        </w:rPr>
        <w:t xml:space="preserve">MT </w:t>
      </w:r>
      <w:r w:rsidR="00DC4B2D">
        <w:rPr>
          <w:rFonts w:ascii="Calibri" w:eastAsiaTheme="minorEastAsia" w:hAnsi="Calibri"/>
          <w:szCs w:val="22"/>
          <w:lang w:eastAsia="zh-TW"/>
        </w:rPr>
        <w:t>EDT</w:t>
      </w:r>
      <w:r w:rsidR="008D0274">
        <w:rPr>
          <w:rFonts w:ascii="Calibri" w:eastAsiaTheme="minorEastAsia" w:hAnsi="Calibri"/>
          <w:szCs w:val="22"/>
          <w:lang w:eastAsia="zh-TW"/>
        </w:rPr>
        <w:t xml:space="preserve"> </w:t>
      </w:r>
    </w:p>
    <w:p w14:paraId="6318913B" w14:textId="3AE44C46" w:rsidR="001A4749" w:rsidRDefault="000E6DF1" w:rsidP="000E6DF1">
      <w:pPr>
        <w:spacing w:after="240"/>
        <w:rPr>
          <w:rFonts w:cs="Arial"/>
          <w:lang w:val="en-GB"/>
        </w:rPr>
      </w:pPr>
      <w:r>
        <w:rPr>
          <w:rFonts w:cs="Arial"/>
          <w:lang w:val="en-GB"/>
        </w:rPr>
        <w:t xml:space="preserve">In R15, only MO EDT has been specified. </w:t>
      </w:r>
      <w:r w:rsidR="001A4749">
        <w:rPr>
          <w:rFonts w:cs="Arial"/>
          <w:lang w:val="en-GB"/>
        </w:rPr>
        <w:t xml:space="preserve">For MT data transmission, </w:t>
      </w:r>
      <w:r w:rsidR="001A4749">
        <w:t xml:space="preserve">by </w:t>
      </w:r>
      <w:r w:rsidR="00DC4B2D">
        <w:t xml:space="preserve">the </w:t>
      </w:r>
      <w:r w:rsidR="001A4749" w:rsidRPr="003C01B4">
        <w:t xml:space="preserve">current mechanism </w:t>
      </w:r>
      <w:r w:rsidR="00210C8F">
        <w:t xml:space="preserve">it </w:t>
      </w:r>
      <w:r w:rsidR="001A4749" w:rsidRPr="003C01B4">
        <w:t xml:space="preserve">needs to go through the </w:t>
      </w:r>
      <w:r w:rsidR="001A4749">
        <w:t xml:space="preserve">full </w:t>
      </w:r>
      <w:r w:rsidR="001A4749" w:rsidRPr="003C01B4">
        <w:t xml:space="preserve">RRC Connection </w:t>
      </w:r>
      <w:r w:rsidR="001A4749">
        <w:t>setup/resume</w:t>
      </w:r>
      <w:r w:rsidR="001A4749" w:rsidRPr="003C01B4">
        <w:t xml:space="preserve"> procedure for </w:t>
      </w:r>
      <w:r w:rsidR="00DC4B2D">
        <w:t>an idle UE</w:t>
      </w:r>
      <w:r w:rsidR="001A4749">
        <w:t>,</w:t>
      </w:r>
      <w:r w:rsidR="00DC4B2D">
        <w:t xml:space="preserve"> which</w:t>
      </w:r>
      <w:r w:rsidR="001A4749">
        <w:t xml:space="preserve"> </w:t>
      </w:r>
      <w:r w:rsidR="00DC4B2D">
        <w:t>involves</w:t>
      </w:r>
      <w:r w:rsidR="001A4749" w:rsidRPr="003C01B4">
        <w:t xml:space="preserve"> </w:t>
      </w:r>
      <w:r w:rsidR="001A4749">
        <w:t>paging and random access</w:t>
      </w:r>
      <w:r w:rsidR="001A4749" w:rsidRPr="003C01B4">
        <w:t xml:space="preserve"> procedure</w:t>
      </w:r>
      <w:r w:rsidR="001A4749">
        <w:t>s</w:t>
      </w:r>
      <w:r w:rsidR="001A4749" w:rsidRPr="003C01B4">
        <w:t xml:space="preserve">. </w:t>
      </w:r>
      <w:r w:rsidR="00DC4B2D">
        <w:t xml:space="preserve">The </w:t>
      </w:r>
      <w:r w:rsidR="001A4749" w:rsidRPr="003C01B4">
        <w:t>DL data</w:t>
      </w:r>
      <w:r w:rsidR="001A4749">
        <w:t xml:space="preserve"> is transmitted in MSG6</w:t>
      </w:r>
      <w:r w:rsidR="001A4749" w:rsidRPr="003C01B4">
        <w:t>.</w:t>
      </w:r>
    </w:p>
    <w:p w14:paraId="37348B0A" w14:textId="61A382ED" w:rsidR="001A4749" w:rsidRDefault="001A4749" w:rsidP="001A4749">
      <w:pPr>
        <w:spacing w:after="240"/>
      </w:pPr>
      <w:r>
        <w:t xml:space="preserve">To improve the DL transmission efficiency, MT EDT is considered in R16 NB-IOT scope. </w:t>
      </w:r>
      <w:r w:rsidR="000E6DF1">
        <w:t xml:space="preserve">MT EDT may benefit from lower signaling overhead, lower latency, and UE power saving. The </w:t>
      </w:r>
      <w:r w:rsidR="00DC4B2D">
        <w:t>MT</w:t>
      </w:r>
      <w:r w:rsidR="000E6DF1">
        <w:t xml:space="preserve"> EDT</w:t>
      </w:r>
      <w:r w:rsidR="00DC4B2D">
        <w:t xml:space="preserve"> (or so called DL EDT)</w:t>
      </w:r>
      <w:r w:rsidR="000E6DF1">
        <w:t xml:space="preserve"> may be transmitted with the following options. </w:t>
      </w:r>
    </w:p>
    <w:p w14:paraId="055FB759" w14:textId="75C6D6BF" w:rsidR="002C74FD" w:rsidRPr="001A4749" w:rsidRDefault="000E6DF1" w:rsidP="001A4749">
      <w:pPr>
        <w:pStyle w:val="2"/>
      </w:pPr>
      <w:r w:rsidRPr="001A4749">
        <w:t xml:space="preserve">DL data </w:t>
      </w:r>
      <w:r w:rsidR="00E77360" w:rsidRPr="001A4749">
        <w:t xml:space="preserve">is </w:t>
      </w:r>
      <w:r w:rsidRPr="001A4749">
        <w:t xml:space="preserve">transmitted with the paging </w:t>
      </w:r>
    </w:p>
    <w:p w14:paraId="4DA7D208" w14:textId="77777777" w:rsidR="00E77360" w:rsidRPr="00E77360" w:rsidRDefault="00E77360" w:rsidP="002C74FD">
      <w:pPr>
        <w:jc w:val="both"/>
        <w:rPr>
          <w:rFonts w:asciiTheme="minorHAnsi" w:hAnsiTheme="minorHAnsi"/>
          <w:b/>
        </w:rPr>
      </w:pPr>
    </w:p>
    <w:p w14:paraId="6DB77B9B" w14:textId="55666852" w:rsidR="002C74FD" w:rsidRDefault="000E6DF1" w:rsidP="004D723B">
      <w:pPr>
        <w:pStyle w:val="afb"/>
        <w:numPr>
          <w:ilvl w:val="0"/>
          <w:numId w:val="40"/>
        </w:numPr>
        <w:jc w:val="both"/>
      </w:pPr>
      <w:r>
        <w:t xml:space="preserve">Option 1: </w:t>
      </w:r>
      <w:r w:rsidR="002C74FD">
        <w:t xml:space="preserve">The DL data is included in a NAS message and is transmitted in paging message. </w:t>
      </w:r>
    </w:p>
    <w:p w14:paraId="41FD5FDF" w14:textId="3053D68A" w:rsidR="002C74FD" w:rsidRDefault="002C74FD" w:rsidP="007818E6">
      <w:pPr>
        <w:ind w:left="426"/>
        <w:jc w:val="both"/>
      </w:pPr>
    </w:p>
    <w:p w14:paraId="67683EE7" w14:textId="4933299B" w:rsidR="000E6DF1" w:rsidRDefault="000E6DF1" w:rsidP="004D723B">
      <w:pPr>
        <w:pStyle w:val="afb"/>
        <w:numPr>
          <w:ilvl w:val="0"/>
          <w:numId w:val="40"/>
        </w:numPr>
        <w:jc w:val="both"/>
      </w:pPr>
      <w:r>
        <w:t xml:space="preserve">Option 2: </w:t>
      </w:r>
      <w:r w:rsidR="002C74FD">
        <w:t xml:space="preserve">A </w:t>
      </w:r>
      <w:r w:rsidR="002C74FD" w:rsidRPr="002C74FD">
        <w:t xml:space="preserve">paging message </w:t>
      </w:r>
      <w:r w:rsidR="007818E6">
        <w:t>carries</w:t>
      </w:r>
      <w:r w:rsidR="002C74FD" w:rsidRPr="002C74FD">
        <w:t xml:space="preserve"> </w:t>
      </w:r>
      <w:r w:rsidR="002C74FD">
        <w:t>a UE specific RNTI</w:t>
      </w:r>
      <w:r w:rsidR="002C74FD" w:rsidRPr="002C74FD">
        <w:t xml:space="preserve"> </w:t>
      </w:r>
      <w:r w:rsidR="000B3A46" w:rsidRPr="002C74FD">
        <w:t>in the paging record</w:t>
      </w:r>
      <w:r w:rsidR="000B3A46">
        <w:t xml:space="preserve"> to indicate the DL data afterward</w:t>
      </w:r>
      <w:r w:rsidR="002C74FD" w:rsidRPr="002C74FD">
        <w:t xml:space="preserve">. The network uses </w:t>
      </w:r>
      <w:r w:rsidR="00210C8F">
        <w:t>the UE specific</w:t>
      </w:r>
      <w:r w:rsidR="002C74FD" w:rsidRPr="002C74FD">
        <w:t xml:space="preserve"> RNTI to scramble the</w:t>
      </w:r>
      <w:r w:rsidR="00210C8F">
        <w:t xml:space="preserve"> DL data </w:t>
      </w:r>
      <w:r w:rsidR="002C74FD" w:rsidRPr="002C74FD">
        <w:t>DCI</w:t>
      </w:r>
      <w:r w:rsidR="00210C8F">
        <w:t xml:space="preserve"> </w:t>
      </w:r>
      <w:r w:rsidR="002C74FD" w:rsidRPr="002C74FD">
        <w:t>in NPDCCH for a UE</w:t>
      </w:r>
      <w:r w:rsidR="000B3A46">
        <w:t xml:space="preserve"> after paging message</w:t>
      </w:r>
      <w:r w:rsidR="002C74FD" w:rsidRPr="002C74FD">
        <w:t xml:space="preserve">. </w:t>
      </w:r>
      <w:r w:rsidR="00210C8F">
        <w:t xml:space="preserve">The </w:t>
      </w:r>
      <w:r w:rsidR="002C74FD" w:rsidRPr="002C74FD">
        <w:t xml:space="preserve">UE uses this </w:t>
      </w:r>
      <w:r w:rsidR="00210C8F">
        <w:t>UE specific</w:t>
      </w:r>
      <w:r w:rsidR="00210C8F" w:rsidRPr="002C74FD">
        <w:t xml:space="preserve"> </w:t>
      </w:r>
      <w:r w:rsidR="002C74FD" w:rsidRPr="002C74FD">
        <w:t>RNTI to continue monitoring the NPDCCH a</w:t>
      </w:r>
      <w:r w:rsidR="000B3A46">
        <w:t>fter decoding the paging</w:t>
      </w:r>
      <w:r w:rsidR="002C74FD" w:rsidRPr="002C74FD">
        <w:t xml:space="preserve">. The DL data is </w:t>
      </w:r>
      <w:r w:rsidR="000B3A46">
        <w:t xml:space="preserve">then </w:t>
      </w:r>
      <w:r w:rsidR="002C74FD" w:rsidRPr="002C74FD">
        <w:t xml:space="preserve">transmitted in the following </w:t>
      </w:r>
      <w:r w:rsidR="007818E6">
        <w:t>N</w:t>
      </w:r>
      <w:r w:rsidR="002C74FD" w:rsidRPr="002C74FD">
        <w:t>PDSCH.</w:t>
      </w:r>
    </w:p>
    <w:p w14:paraId="63A85587" w14:textId="77777777" w:rsidR="002C74FD" w:rsidRDefault="002C74FD" w:rsidP="002C74FD">
      <w:pPr>
        <w:jc w:val="both"/>
        <w:rPr>
          <w:rFonts w:asciiTheme="minorHAnsi" w:hAnsiTheme="minorHAnsi"/>
        </w:rPr>
      </w:pPr>
    </w:p>
    <w:p w14:paraId="684BBD16" w14:textId="4E53473A" w:rsidR="002C74FD" w:rsidRPr="002C74FD" w:rsidRDefault="002C74FD" w:rsidP="002C74FD">
      <w:pPr>
        <w:jc w:val="both"/>
        <w:rPr>
          <w:rFonts w:asciiTheme="minorHAnsi" w:hAnsiTheme="minorHAnsi"/>
        </w:rPr>
      </w:pPr>
      <w:r w:rsidRPr="002C74FD">
        <w:rPr>
          <w:rFonts w:asciiTheme="minorHAnsi" w:hAnsiTheme="minorHAnsi"/>
        </w:rPr>
        <w:t xml:space="preserve">For option 1 and option 2, the </w:t>
      </w:r>
      <w:r>
        <w:rPr>
          <w:rFonts w:asciiTheme="minorHAnsi" w:hAnsiTheme="minorHAnsi"/>
        </w:rPr>
        <w:t xml:space="preserve">biggest problem is </w:t>
      </w:r>
      <w:r w:rsidR="000B3A46">
        <w:rPr>
          <w:rFonts w:asciiTheme="minorHAnsi" w:hAnsiTheme="minorHAnsi"/>
        </w:rPr>
        <w:t>that all</w:t>
      </w:r>
      <w:r w:rsidR="000B3A46">
        <w:t xml:space="preserve"> the </w:t>
      </w:r>
      <w:r w:rsidR="007818E6">
        <w:t>cells</w:t>
      </w:r>
      <w:r w:rsidR="000B3A46">
        <w:t xml:space="preserve"> in the </w:t>
      </w:r>
      <w:r w:rsidR="007818E6">
        <w:t xml:space="preserve">tracking area where the UE </w:t>
      </w:r>
      <w:r w:rsidR="00BA674F">
        <w:t>is registed</w:t>
      </w:r>
      <w:r w:rsidR="007818E6">
        <w:t xml:space="preserve"> should</w:t>
      </w:r>
      <w:r w:rsidR="000B3A46">
        <w:t xml:space="preserve"> send the DL data together, which </w:t>
      </w:r>
      <w:r w:rsidR="007818E6">
        <w:t xml:space="preserve">is not efficient at all and </w:t>
      </w:r>
      <w:r w:rsidR="000B3A46">
        <w:t>leads to the significant resource overhead.</w:t>
      </w:r>
    </w:p>
    <w:p w14:paraId="10FD8108" w14:textId="77777777" w:rsidR="002C74FD" w:rsidRDefault="002C74FD" w:rsidP="007818E6">
      <w:pPr>
        <w:jc w:val="both"/>
        <w:rPr>
          <w:rFonts w:asciiTheme="minorHAnsi" w:hAnsiTheme="minorHAnsi"/>
          <w:b/>
        </w:rPr>
      </w:pPr>
    </w:p>
    <w:p w14:paraId="6E3F8600" w14:textId="7FCF0247" w:rsidR="00E94060" w:rsidRDefault="00E94060" w:rsidP="007818E6">
      <w:pPr>
        <w:jc w:val="both"/>
        <w:rPr>
          <w:rFonts w:asciiTheme="minorHAnsi" w:hAnsiTheme="minorHAnsi"/>
          <w:b/>
        </w:rPr>
      </w:pPr>
      <w:r>
        <w:rPr>
          <w:rFonts w:asciiTheme="minorHAnsi" w:hAnsiTheme="minorHAnsi"/>
          <w:b/>
        </w:rPr>
        <w:t xml:space="preserve">Observation 1: </w:t>
      </w:r>
      <w:r w:rsidR="00DB1CD3">
        <w:rPr>
          <w:rFonts w:asciiTheme="minorHAnsi" w:hAnsiTheme="minorHAnsi"/>
          <w:b/>
        </w:rPr>
        <w:t>MT</w:t>
      </w:r>
      <w:r>
        <w:rPr>
          <w:rFonts w:asciiTheme="minorHAnsi" w:hAnsiTheme="minorHAnsi"/>
          <w:b/>
        </w:rPr>
        <w:t xml:space="preserve"> EDT transmission in the paging</w:t>
      </w:r>
      <w:r w:rsidR="00DC4B2D">
        <w:rPr>
          <w:rFonts w:asciiTheme="minorHAnsi" w:hAnsiTheme="minorHAnsi"/>
          <w:b/>
        </w:rPr>
        <w:t xml:space="preserve"> procedure</w:t>
      </w:r>
      <w:r>
        <w:rPr>
          <w:rFonts w:asciiTheme="minorHAnsi" w:hAnsiTheme="minorHAnsi"/>
          <w:b/>
        </w:rPr>
        <w:t xml:space="preserve"> involves the cells in a tracking area</w:t>
      </w:r>
      <w:r w:rsidR="00DB1CD3">
        <w:rPr>
          <w:rFonts w:asciiTheme="minorHAnsi" w:hAnsiTheme="minorHAnsi"/>
          <w:b/>
        </w:rPr>
        <w:t xml:space="preserve"> to send the DL data; </w:t>
      </w:r>
      <w:r>
        <w:rPr>
          <w:rFonts w:asciiTheme="minorHAnsi" w:hAnsiTheme="minorHAnsi"/>
          <w:b/>
        </w:rPr>
        <w:t>the</w:t>
      </w:r>
      <w:r w:rsidR="00DB1CD3">
        <w:rPr>
          <w:rFonts w:asciiTheme="minorHAnsi" w:hAnsiTheme="minorHAnsi"/>
          <w:b/>
        </w:rPr>
        <w:t xml:space="preserve"> DL data</w:t>
      </w:r>
      <w:r>
        <w:rPr>
          <w:rFonts w:asciiTheme="minorHAnsi" w:hAnsiTheme="minorHAnsi"/>
          <w:b/>
        </w:rPr>
        <w:t xml:space="preserve"> transmission is inefficient. </w:t>
      </w:r>
    </w:p>
    <w:p w14:paraId="1604A5BD" w14:textId="77777777" w:rsidR="00E94060" w:rsidRDefault="00E94060" w:rsidP="007818E6">
      <w:pPr>
        <w:jc w:val="both"/>
        <w:rPr>
          <w:rFonts w:asciiTheme="minorHAnsi" w:hAnsiTheme="minorHAnsi"/>
          <w:b/>
        </w:rPr>
      </w:pPr>
    </w:p>
    <w:p w14:paraId="3B35239E" w14:textId="1760DC6D" w:rsidR="00E77360" w:rsidRDefault="00E77360" w:rsidP="007818E6">
      <w:pPr>
        <w:jc w:val="both"/>
        <w:rPr>
          <w:rFonts w:asciiTheme="minorHAnsi" w:hAnsiTheme="minorHAnsi"/>
          <w:b/>
        </w:rPr>
      </w:pPr>
      <w:r>
        <w:rPr>
          <w:rFonts w:asciiTheme="minorHAnsi" w:hAnsiTheme="minorHAnsi"/>
          <w:b/>
        </w:rPr>
        <w:t xml:space="preserve">Proposal 1: </w:t>
      </w:r>
      <w:r w:rsidR="00DB1CD3">
        <w:rPr>
          <w:rFonts w:asciiTheme="minorHAnsi" w:hAnsiTheme="minorHAnsi"/>
          <w:b/>
        </w:rPr>
        <w:t>MT</w:t>
      </w:r>
      <w:r w:rsidR="00E94060">
        <w:rPr>
          <w:rFonts w:asciiTheme="minorHAnsi" w:hAnsiTheme="minorHAnsi"/>
          <w:b/>
        </w:rPr>
        <w:t xml:space="preserve"> EDT transmission in the paging phase should be avoided. </w:t>
      </w:r>
    </w:p>
    <w:p w14:paraId="0B44A631" w14:textId="77777777" w:rsidR="002C74FD" w:rsidRDefault="002C74FD" w:rsidP="002C74FD">
      <w:pPr>
        <w:jc w:val="both"/>
        <w:rPr>
          <w:rFonts w:asciiTheme="minorHAnsi" w:hAnsiTheme="minorHAnsi"/>
          <w:b/>
        </w:rPr>
      </w:pPr>
    </w:p>
    <w:p w14:paraId="25420A0C" w14:textId="0A85423E" w:rsidR="000E6DF1" w:rsidRPr="002219D7" w:rsidRDefault="000E6DF1" w:rsidP="002219D7">
      <w:pPr>
        <w:pStyle w:val="2"/>
      </w:pPr>
      <w:r w:rsidRPr="002219D7">
        <w:lastRenderedPageBreak/>
        <w:t xml:space="preserve">DL data </w:t>
      </w:r>
      <w:r w:rsidR="00E77360" w:rsidRPr="002219D7">
        <w:t xml:space="preserve">is </w:t>
      </w:r>
      <w:r w:rsidRPr="002219D7">
        <w:t>transmitted with the RA procedure</w:t>
      </w:r>
    </w:p>
    <w:p w14:paraId="3B7AEB9C" w14:textId="4EC488F7" w:rsidR="002219D7" w:rsidRPr="007818E6" w:rsidRDefault="002219D7" w:rsidP="002219D7">
      <w:pPr>
        <w:jc w:val="both"/>
        <w:rPr>
          <w:rFonts w:asciiTheme="minorHAnsi" w:hAnsiTheme="minorHAnsi"/>
        </w:rPr>
      </w:pPr>
      <w:r w:rsidRPr="007818E6">
        <w:rPr>
          <w:rFonts w:asciiTheme="minorHAnsi" w:hAnsiTheme="minorHAnsi"/>
        </w:rPr>
        <w:t xml:space="preserve">The </w:t>
      </w:r>
      <w:r>
        <w:rPr>
          <w:rFonts w:asciiTheme="minorHAnsi" w:hAnsiTheme="minorHAnsi"/>
        </w:rPr>
        <w:t>other option</w:t>
      </w:r>
      <w:r w:rsidR="00210C8F">
        <w:rPr>
          <w:rFonts w:asciiTheme="minorHAnsi" w:hAnsiTheme="minorHAnsi"/>
        </w:rPr>
        <w:t>s</w:t>
      </w:r>
      <w:r>
        <w:rPr>
          <w:rFonts w:asciiTheme="minorHAnsi" w:hAnsiTheme="minorHAnsi"/>
        </w:rPr>
        <w:t xml:space="preserve"> </w:t>
      </w:r>
      <w:r w:rsidR="00210C8F">
        <w:rPr>
          <w:rFonts w:asciiTheme="minorHAnsi" w:hAnsiTheme="minorHAnsi"/>
        </w:rPr>
        <w:t>are</w:t>
      </w:r>
      <w:r>
        <w:rPr>
          <w:rFonts w:asciiTheme="minorHAnsi" w:hAnsiTheme="minorHAnsi"/>
        </w:rPr>
        <w:t xml:space="preserve"> to transmit DL data in the Random Access procedure, </w:t>
      </w:r>
    </w:p>
    <w:p w14:paraId="3A316E33" w14:textId="77777777" w:rsidR="00E77360" w:rsidRPr="00210C8F" w:rsidRDefault="00E77360" w:rsidP="00E77360">
      <w:pPr>
        <w:ind w:left="426"/>
        <w:jc w:val="both"/>
      </w:pPr>
    </w:p>
    <w:p w14:paraId="718837F0" w14:textId="3C89BFF9" w:rsidR="000E6DF1" w:rsidRDefault="000E6DF1" w:rsidP="004D723B">
      <w:pPr>
        <w:pStyle w:val="afb"/>
        <w:numPr>
          <w:ilvl w:val="0"/>
          <w:numId w:val="40"/>
        </w:numPr>
        <w:jc w:val="both"/>
      </w:pPr>
      <w:r>
        <w:t xml:space="preserve">Option 3: DL data </w:t>
      </w:r>
      <w:r w:rsidR="002219D7">
        <w:t xml:space="preserve">is </w:t>
      </w:r>
      <w:r>
        <w:t>transmitted in MSG2</w:t>
      </w:r>
      <w:r w:rsidR="002219D7">
        <w:t>.</w:t>
      </w:r>
    </w:p>
    <w:p w14:paraId="3701B040" w14:textId="77777777" w:rsidR="006D1E2C" w:rsidRDefault="006D1E2C" w:rsidP="006D1E2C">
      <w:pPr>
        <w:pStyle w:val="afb"/>
        <w:ind w:left="786"/>
        <w:jc w:val="both"/>
      </w:pPr>
    </w:p>
    <w:p w14:paraId="2460F773" w14:textId="77777777" w:rsidR="006D1E2C" w:rsidRDefault="006D1E2C" w:rsidP="006D1E2C">
      <w:pPr>
        <w:pStyle w:val="afb"/>
        <w:numPr>
          <w:ilvl w:val="0"/>
          <w:numId w:val="40"/>
        </w:numPr>
        <w:jc w:val="both"/>
      </w:pPr>
      <w:r>
        <w:t>Option 4: DL data is transmitted in MSG4.</w:t>
      </w:r>
    </w:p>
    <w:p w14:paraId="474104C6" w14:textId="77777777" w:rsidR="006D1E2C" w:rsidRDefault="006D1E2C" w:rsidP="006D1E2C">
      <w:pPr>
        <w:pStyle w:val="afb"/>
        <w:ind w:left="786"/>
        <w:jc w:val="both"/>
      </w:pPr>
    </w:p>
    <w:p w14:paraId="56D346F0" w14:textId="28DE8366" w:rsidR="006D1E2C" w:rsidRDefault="00B440E1" w:rsidP="000E6DF1">
      <w:pPr>
        <w:spacing w:after="240"/>
        <w:rPr>
          <w:rFonts w:cs="Arial"/>
          <w:lang w:val="en-GB"/>
        </w:rPr>
      </w:pPr>
      <w:r>
        <w:rPr>
          <w:rFonts w:cs="Arial"/>
          <w:lang w:val="en-GB"/>
        </w:rPr>
        <w:t xml:space="preserve">By the current </w:t>
      </w:r>
      <w:r w:rsidR="00210C8F">
        <w:rPr>
          <w:rFonts w:cs="Arial"/>
          <w:lang w:val="en-GB"/>
        </w:rPr>
        <w:t xml:space="preserve">MT data transmission </w:t>
      </w:r>
      <w:r>
        <w:rPr>
          <w:rFonts w:cs="Arial"/>
          <w:lang w:val="en-GB"/>
        </w:rPr>
        <w:t xml:space="preserve">mechanism, after receiving </w:t>
      </w:r>
      <w:r w:rsidR="00DB1CD3">
        <w:rPr>
          <w:rFonts w:cs="Arial"/>
          <w:lang w:val="en-GB"/>
        </w:rPr>
        <w:t>a</w:t>
      </w:r>
      <w:r>
        <w:rPr>
          <w:rFonts w:cs="Arial"/>
          <w:lang w:val="en-GB"/>
        </w:rPr>
        <w:t xml:space="preserve"> paging message, </w:t>
      </w:r>
      <w:r w:rsidR="00DB1CD3">
        <w:rPr>
          <w:rFonts w:cs="Arial"/>
          <w:lang w:val="en-GB"/>
        </w:rPr>
        <w:t>a</w:t>
      </w:r>
      <w:r>
        <w:rPr>
          <w:rFonts w:cs="Arial"/>
          <w:lang w:val="en-GB"/>
        </w:rPr>
        <w:t xml:space="preserve"> UE should send the paging response before receiving DL data. </w:t>
      </w:r>
      <w:r w:rsidR="000114AB">
        <w:rPr>
          <w:rFonts w:cs="Arial"/>
          <w:lang w:val="en-GB"/>
        </w:rPr>
        <w:t>Otherwise, i</w:t>
      </w:r>
      <w:r w:rsidR="000114AB" w:rsidRPr="000114AB">
        <w:rPr>
          <w:rFonts w:cs="Arial"/>
          <w:lang w:val="en-GB"/>
        </w:rPr>
        <w:t>f the MME receives no response from the UE to the Paging Request message, it may repeat the paging</w:t>
      </w:r>
      <w:r w:rsidR="000114AB">
        <w:rPr>
          <w:rFonts w:cs="Arial"/>
          <w:lang w:val="en-GB"/>
        </w:rPr>
        <w:t>.</w:t>
      </w:r>
      <w:r w:rsidR="00620ECC">
        <w:rPr>
          <w:rFonts w:cs="Arial"/>
          <w:lang w:val="en-GB"/>
        </w:rPr>
        <w:t xml:space="preserve"> </w:t>
      </w:r>
    </w:p>
    <w:p w14:paraId="44F604FA" w14:textId="08A7B1D8" w:rsidR="00691146" w:rsidRDefault="0053127F" w:rsidP="000E6DF1">
      <w:pPr>
        <w:spacing w:after="240"/>
        <w:rPr>
          <w:rFonts w:cs="Arial"/>
          <w:lang w:val="en-GB"/>
        </w:rPr>
      </w:pPr>
      <w:r>
        <w:rPr>
          <w:rFonts w:cs="Arial"/>
          <w:lang w:val="en-GB"/>
        </w:rPr>
        <w:t xml:space="preserve">If DL EDT transmitted in MSG2, there is no UL opportunity </w:t>
      </w:r>
      <w:r w:rsidR="006D1E2C">
        <w:rPr>
          <w:rFonts w:cs="Arial"/>
          <w:lang w:val="en-GB"/>
        </w:rPr>
        <w:t xml:space="preserve">for UE to transmit </w:t>
      </w:r>
      <w:r>
        <w:rPr>
          <w:rFonts w:cs="Arial"/>
          <w:lang w:val="en-GB"/>
        </w:rPr>
        <w:t>paging response before DL data</w:t>
      </w:r>
      <w:r w:rsidR="00DB1CD3">
        <w:rPr>
          <w:rFonts w:cs="Arial"/>
          <w:lang w:val="en-GB"/>
        </w:rPr>
        <w:t xml:space="preserve">. To support option 3, it might have large Core Network impact and a huge spec impact. </w:t>
      </w:r>
    </w:p>
    <w:p w14:paraId="5C114EB3" w14:textId="255B6521" w:rsidR="006D1E2C" w:rsidRDefault="006D1E2C" w:rsidP="000E6DF1">
      <w:pPr>
        <w:spacing w:after="240"/>
        <w:rPr>
          <w:rFonts w:cs="Arial"/>
          <w:lang w:val="en-GB"/>
        </w:rPr>
      </w:pPr>
      <w:r>
        <w:rPr>
          <w:rFonts w:cs="Arial"/>
          <w:lang w:val="en-GB"/>
        </w:rPr>
        <w:t xml:space="preserve">With option 4, if UE is aware of that the DL EDT </w:t>
      </w:r>
      <w:r w:rsidR="00210C8F">
        <w:rPr>
          <w:rFonts w:cs="Arial"/>
          <w:lang w:val="en-GB"/>
        </w:rPr>
        <w:t>is</w:t>
      </w:r>
      <w:r>
        <w:rPr>
          <w:rFonts w:cs="Arial"/>
          <w:lang w:val="en-GB"/>
        </w:rPr>
        <w:t xml:space="preserve"> </w:t>
      </w:r>
      <w:r w:rsidR="00210C8F">
        <w:rPr>
          <w:rFonts w:cs="Arial"/>
          <w:lang w:val="en-GB"/>
        </w:rPr>
        <w:t xml:space="preserve">going to be </w:t>
      </w:r>
      <w:r>
        <w:rPr>
          <w:rFonts w:cs="Arial"/>
          <w:lang w:val="en-GB"/>
        </w:rPr>
        <w:t xml:space="preserve">used, </w:t>
      </w:r>
      <w:r w:rsidR="00210C8F">
        <w:rPr>
          <w:rFonts w:cs="Arial"/>
          <w:lang w:val="en-GB"/>
        </w:rPr>
        <w:t>the UE triggers the EDT procedure specified in R15</w:t>
      </w:r>
      <w:r w:rsidR="008105F4">
        <w:rPr>
          <w:rFonts w:cs="Arial"/>
          <w:lang w:val="en-GB"/>
        </w:rPr>
        <w:t xml:space="preserve"> for MO EDT</w:t>
      </w:r>
      <w:r w:rsidR="00210C8F">
        <w:rPr>
          <w:rFonts w:cs="Arial"/>
          <w:lang w:val="en-GB"/>
        </w:rPr>
        <w:t xml:space="preserve">, and </w:t>
      </w:r>
      <w:r>
        <w:rPr>
          <w:rFonts w:cs="Arial"/>
          <w:lang w:val="en-GB"/>
        </w:rPr>
        <w:t xml:space="preserve">it </w:t>
      </w:r>
      <w:r w:rsidR="00210C8F">
        <w:rPr>
          <w:rFonts w:cs="Arial"/>
          <w:lang w:val="en-GB"/>
        </w:rPr>
        <w:t>has</w:t>
      </w:r>
      <w:r>
        <w:rPr>
          <w:rFonts w:cs="Arial"/>
          <w:lang w:val="en-GB"/>
        </w:rPr>
        <w:t xml:space="preserve"> the chance to send the paging response in MSG3. </w:t>
      </w:r>
      <w:r w:rsidR="00691146">
        <w:rPr>
          <w:rFonts w:cs="Arial"/>
          <w:lang w:val="en-GB"/>
        </w:rPr>
        <w:t xml:space="preserve">By this way, it </w:t>
      </w:r>
      <w:r w:rsidR="00210C8F">
        <w:rPr>
          <w:rFonts w:cs="Arial"/>
          <w:lang w:val="en-GB"/>
        </w:rPr>
        <w:t>has</w:t>
      </w:r>
      <w:r w:rsidR="00691146">
        <w:rPr>
          <w:rFonts w:cs="Arial"/>
          <w:lang w:val="en-GB"/>
        </w:rPr>
        <w:t xml:space="preserve"> less impact on the current specification and in addition, the DL EDT can mostly reuse the UL EDT procedure. </w:t>
      </w:r>
      <w:r>
        <w:rPr>
          <w:rFonts w:cs="Arial"/>
          <w:lang w:val="en-GB"/>
        </w:rPr>
        <w:t xml:space="preserve"> </w:t>
      </w:r>
      <w:r w:rsidR="00691146">
        <w:rPr>
          <w:rFonts w:cs="Arial"/>
          <w:lang w:val="en-GB"/>
        </w:rPr>
        <w:t xml:space="preserve">The detailed operation of </w:t>
      </w:r>
      <w:r w:rsidR="00DB1CD3">
        <w:rPr>
          <w:rFonts w:cs="Arial"/>
          <w:lang w:val="en-GB"/>
        </w:rPr>
        <w:t>MT</w:t>
      </w:r>
      <w:r w:rsidR="00691146">
        <w:rPr>
          <w:rFonts w:cs="Arial"/>
          <w:lang w:val="en-GB"/>
        </w:rPr>
        <w:t xml:space="preserve"> EDT is described in the following sections. </w:t>
      </w:r>
      <w:r>
        <w:rPr>
          <w:rFonts w:cs="Arial"/>
          <w:lang w:val="en-GB"/>
        </w:rPr>
        <w:t xml:space="preserve">  </w:t>
      </w:r>
    </w:p>
    <w:p w14:paraId="02DD6927" w14:textId="4D351F83" w:rsidR="004D723B" w:rsidRPr="004D723B" w:rsidRDefault="004D723B" w:rsidP="000E6DF1">
      <w:pPr>
        <w:spacing w:after="240"/>
        <w:rPr>
          <w:b/>
        </w:rPr>
      </w:pPr>
      <w:r w:rsidRPr="004D723B">
        <w:rPr>
          <w:b/>
        </w:rPr>
        <w:t>Observation 2: DL EDT transmitted in MSG2 has large core network impact</w:t>
      </w:r>
      <w:r w:rsidR="00DB1CD3">
        <w:rPr>
          <w:b/>
        </w:rPr>
        <w:t xml:space="preserve"> and specification impact</w:t>
      </w:r>
      <w:r w:rsidRPr="004D723B">
        <w:rPr>
          <w:b/>
        </w:rPr>
        <w:t xml:space="preserve">. </w:t>
      </w:r>
    </w:p>
    <w:p w14:paraId="54EA6B30" w14:textId="7D5EF3D7" w:rsidR="004D723B" w:rsidRPr="004D723B" w:rsidRDefault="004D723B" w:rsidP="000E6DF1">
      <w:pPr>
        <w:spacing w:after="240"/>
        <w:rPr>
          <w:b/>
        </w:rPr>
      </w:pPr>
      <w:r w:rsidRPr="004D723B">
        <w:rPr>
          <w:b/>
        </w:rPr>
        <w:t xml:space="preserve">Proposal 2: DL EDT in MSG2 should not be supported. </w:t>
      </w:r>
    </w:p>
    <w:p w14:paraId="7D4094D6" w14:textId="7ECFAF1C" w:rsidR="006D1E2C" w:rsidRPr="006D1E2C" w:rsidRDefault="006D1E2C" w:rsidP="0053127F">
      <w:pPr>
        <w:jc w:val="both"/>
        <w:rPr>
          <w:b/>
        </w:rPr>
      </w:pPr>
      <w:r w:rsidRPr="006D1E2C">
        <w:rPr>
          <w:b/>
        </w:rPr>
        <w:t>Proposal 3:</w:t>
      </w:r>
      <w:r w:rsidR="00DB1CD3">
        <w:rPr>
          <w:b/>
        </w:rPr>
        <w:t xml:space="preserve"> To </w:t>
      </w:r>
      <w:r w:rsidR="00B505F2">
        <w:rPr>
          <w:rFonts w:cs="Arial"/>
          <w:b/>
          <w:lang w:val="en-GB"/>
        </w:rPr>
        <w:t>reduce the</w:t>
      </w:r>
      <w:r w:rsidR="00DB1CD3" w:rsidRPr="00DB1CD3">
        <w:rPr>
          <w:rFonts w:cs="Arial"/>
          <w:b/>
          <w:lang w:val="en-GB"/>
        </w:rPr>
        <w:t xml:space="preserve"> </w:t>
      </w:r>
      <w:r w:rsidR="00DB1CD3">
        <w:rPr>
          <w:rFonts w:cs="Arial"/>
          <w:b/>
          <w:lang w:val="en-GB"/>
        </w:rPr>
        <w:t xml:space="preserve">specification </w:t>
      </w:r>
      <w:r w:rsidR="00DB1CD3" w:rsidRPr="00DB1CD3">
        <w:rPr>
          <w:rFonts w:cs="Arial"/>
          <w:b/>
          <w:lang w:val="en-GB"/>
        </w:rPr>
        <w:t xml:space="preserve">impact </w:t>
      </w:r>
      <w:r w:rsidR="00DB1CD3">
        <w:rPr>
          <w:rFonts w:cs="Arial"/>
          <w:b/>
          <w:lang w:val="en-GB"/>
        </w:rPr>
        <w:t xml:space="preserve">and to </w:t>
      </w:r>
      <w:r w:rsidR="00DB1CD3" w:rsidRPr="00DB1CD3">
        <w:rPr>
          <w:rFonts w:cs="Arial"/>
          <w:b/>
          <w:lang w:val="en-GB"/>
        </w:rPr>
        <w:t xml:space="preserve">mostly reuse the </w:t>
      </w:r>
      <w:r w:rsidR="00210C8F">
        <w:rPr>
          <w:rFonts w:cs="Arial"/>
          <w:b/>
          <w:lang w:val="en-GB"/>
        </w:rPr>
        <w:t>MO</w:t>
      </w:r>
      <w:r w:rsidR="00DB1CD3" w:rsidRPr="00DB1CD3">
        <w:rPr>
          <w:rFonts w:cs="Arial"/>
          <w:b/>
          <w:lang w:val="en-GB"/>
        </w:rPr>
        <w:t xml:space="preserve"> EDT procedure</w:t>
      </w:r>
      <w:r w:rsidR="00DB1CD3">
        <w:rPr>
          <w:rFonts w:cs="Arial"/>
          <w:b/>
          <w:lang w:val="en-GB"/>
        </w:rPr>
        <w:t xml:space="preserve">, </w:t>
      </w:r>
      <w:r w:rsidR="00DB1CD3">
        <w:rPr>
          <w:b/>
        </w:rPr>
        <w:t>MT</w:t>
      </w:r>
      <w:r w:rsidRPr="006D1E2C">
        <w:rPr>
          <w:b/>
        </w:rPr>
        <w:t xml:space="preserve"> EDT in MSG4</w:t>
      </w:r>
      <w:r w:rsidR="00DB1CD3">
        <w:rPr>
          <w:b/>
        </w:rPr>
        <w:t xml:space="preserve"> should be </w:t>
      </w:r>
      <w:r w:rsidR="002012CF">
        <w:rPr>
          <w:b/>
        </w:rPr>
        <w:t>supported</w:t>
      </w:r>
      <w:r w:rsidRPr="006D1E2C">
        <w:rPr>
          <w:b/>
        </w:rPr>
        <w:t xml:space="preserve">. </w:t>
      </w:r>
    </w:p>
    <w:p w14:paraId="71C298F0" w14:textId="77777777" w:rsidR="006D1E2C" w:rsidRDefault="006D1E2C" w:rsidP="0053127F">
      <w:pPr>
        <w:jc w:val="both"/>
      </w:pPr>
    </w:p>
    <w:p w14:paraId="4802A00D" w14:textId="5B6D6F63" w:rsidR="006D1E2C" w:rsidRDefault="00DB1CD3" w:rsidP="006D1E2C">
      <w:pPr>
        <w:pStyle w:val="1"/>
      </w:pPr>
      <w:r>
        <w:t>M</w:t>
      </w:r>
      <w:r w:rsidR="00210C8F">
        <w:t>T</w:t>
      </w:r>
      <w:r w:rsidR="006D1E2C">
        <w:t xml:space="preserve"> EDT in MSG4 </w:t>
      </w:r>
    </w:p>
    <w:p w14:paraId="7D761EC0" w14:textId="68ABC30C" w:rsidR="00DB1CD3" w:rsidRDefault="00210C8F" w:rsidP="00DB1CD3">
      <w:pPr>
        <w:jc w:val="both"/>
      </w:pPr>
      <w:r>
        <w:t>Assume the network and UE support EDT applications. To have MT EDT in MSG4, f</w:t>
      </w:r>
      <w:r w:rsidR="00691146">
        <w:t xml:space="preserve">irst, </w:t>
      </w:r>
      <w:r w:rsidR="00720743">
        <w:t xml:space="preserve">an EDT indication should be </w:t>
      </w:r>
      <w:r w:rsidR="00DC4B2D">
        <w:t>sent</w:t>
      </w:r>
      <w:r w:rsidR="00720743">
        <w:t xml:space="preserve"> in the paging message to </w:t>
      </w:r>
      <w:r w:rsidR="00DC4B2D">
        <w:t>inform</w:t>
      </w:r>
      <w:r w:rsidR="00720743">
        <w:t xml:space="preserve"> </w:t>
      </w:r>
      <w:r>
        <w:t>a</w:t>
      </w:r>
      <w:r w:rsidR="00720743">
        <w:t xml:space="preserve"> UE</w:t>
      </w:r>
      <w:r w:rsidR="00DC4B2D">
        <w:t xml:space="preserve"> </w:t>
      </w:r>
      <w:r>
        <w:t xml:space="preserve">that DL data transmission </w:t>
      </w:r>
      <w:r w:rsidR="00C12055">
        <w:t xml:space="preserve">will </w:t>
      </w:r>
      <w:r>
        <w:t xml:space="preserve">go through the EDT procedure. </w:t>
      </w:r>
      <w:r w:rsidR="00DC4B2D">
        <w:t>Then, UE</w:t>
      </w:r>
      <w:r>
        <w:t xml:space="preserve"> triggers </w:t>
      </w:r>
      <w:r w:rsidR="00DC4B2D">
        <w:t xml:space="preserve">the EDT procedure as specified in R15. </w:t>
      </w:r>
      <w:r>
        <w:t xml:space="preserve">UE transmits the preamble </w:t>
      </w:r>
      <w:r w:rsidR="00C12055">
        <w:t xml:space="preserve">(MSG1) </w:t>
      </w:r>
      <w:r>
        <w:t xml:space="preserve">in the EDT preamble resource. </w:t>
      </w:r>
      <w:r w:rsidR="00C12055">
        <w:t xml:space="preserve">UE receives RAR (MSG2) to indicate a larger size of MSG3. By using the procedure of </w:t>
      </w:r>
      <w:r w:rsidR="00DC4B2D">
        <w:t>MO EDT</w:t>
      </w:r>
      <w:r w:rsidR="00DB1CD3">
        <w:t xml:space="preserve">, </w:t>
      </w:r>
      <w:r w:rsidR="006D1E2C">
        <w:t xml:space="preserve">UE </w:t>
      </w:r>
      <w:r w:rsidR="00C12055">
        <w:t xml:space="preserve">can send the </w:t>
      </w:r>
      <w:r w:rsidR="006D1E2C">
        <w:t xml:space="preserve">paging response </w:t>
      </w:r>
      <w:r w:rsidR="00C12055">
        <w:t xml:space="preserve">(e.g., NAS service request) and UL data, if any, </w:t>
      </w:r>
      <w:r w:rsidR="006D1E2C">
        <w:t xml:space="preserve">in MSG3. Note that </w:t>
      </w:r>
      <w:r w:rsidR="00C12055">
        <w:t>in</w:t>
      </w:r>
      <w:r w:rsidR="00691146">
        <w:t xml:space="preserve"> the legacy </w:t>
      </w:r>
      <w:r w:rsidR="006D1E2C">
        <w:t>mechanism, the paging response is sent in MSG5.</w:t>
      </w:r>
      <w:r w:rsidR="00DC4B2D">
        <w:t xml:space="preserve"> </w:t>
      </w:r>
      <w:r w:rsidR="00C12055">
        <w:t>T</w:t>
      </w:r>
      <w:r w:rsidR="00DC4B2D">
        <w:t>hen, the UE receive</w:t>
      </w:r>
      <w:r w:rsidR="00C12055">
        <w:t>s</w:t>
      </w:r>
      <w:r w:rsidR="00DC4B2D">
        <w:t xml:space="preserve"> the DL data </w:t>
      </w:r>
      <w:r w:rsidR="00C12055">
        <w:t xml:space="preserve">together with RRC release message </w:t>
      </w:r>
      <w:r w:rsidR="00DC4B2D">
        <w:t>in MSG4.</w:t>
      </w:r>
      <w:r w:rsidR="00C12055">
        <w:t xml:space="preserve"> </w:t>
      </w:r>
      <w:r w:rsidR="00DB1CD3">
        <w:t xml:space="preserve">Then, the random access procedure terminates and the UE does not transit to the connected mode. </w:t>
      </w:r>
    </w:p>
    <w:p w14:paraId="20669361" w14:textId="77777777" w:rsidR="00C12055" w:rsidRDefault="00C12055" w:rsidP="00DB1CD3">
      <w:pPr>
        <w:jc w:val="both"/>
      </w:pPr>
    </w:p>
    <w:p w14:paraId="1A30B8EC" w14:textId="22B4E8E6" w:rsidR="00C12055" w:rsidRDefault="008105F4" w:rsidP="00DB1CD3">
      <w:pPr>
        <w:jc w:val="both"/>
      </w:pPr>
      <w:r>
        <w:t xml:space="preserve">R15 MO EDT supports DL data transmission in MSG4. For MT EDT, as long as EDT indication is carried in the paging message to trigger UE to go through EDT procedure, paging response </w:t>
      </w:r>
      <w:r w:rsidR="002012CF">
        <w:t>and UL data (if any)</w:t>
      </w:r>
      <w:r>
        <w:t xml:space="preserve"> can be sent in MSG3 and DL data can be sent in MSG4</w:t>
      </w:r>
      <w:r w:rsidR="00B505F2">
        <w:t xml:space="preserve">, the same as the MO EDT. </w:t>
      </w:r>
      <w:r>
        <w:t xml:space="preserve">MT EDT can mostly reuse the MO EDT procedures. </w:t>
      </w:r>
      <w:r w:rsidR="002012CF">
        <w:t>A</w:t>
      </w:r>
      <w:r>
        <w:t>ny issues, e.g., security for MSG4,</w:t>
      </w:r>
      <w:r w:rsidR="00D221D9">
        <w:t xml:space="preserve"> re-transmission for MSG4, </w:t>
      </w:r>
      <w:r>
        <w:t xml:space="preserve">fall back mechanisms, resolved in MO EDT can apply to MT EDT by nature. </w:t>
      </w:r>
      <w:r w:rsidR="00B505F2">
        <w:t>T</w:t>
      </w:r>
      <w:r w:rsidR="002012CF">
        <w:t xml:space="preserve">he specification impact </w:t>
      </w:r>
      <w:r w:rsidR="00B505F2">
        <w:t xml:space="preserve">for MT EDT </w:t>
      </w:r>
      <w:r w:rsidR="002012CF">
        <w:t>is</w:t>
      </w:r>
      <w:r w:rsidR="00D221D9">
        <w:t xml:space="preserve"> then </w:t>
      </w:r>
      <w:r w:rsidR="002012CF">
        <w:t>reduced</w:t>
      </w:r>
      <w:r w:rsidR="00D221D9">
        <w:t xml:space="preserve"> </w:t>
      </w:r>
      <w:r w:rsidR="00B505F2">
        <w:t xml:space="preserve">and we don’t need to maintain two solutions (one for MO EDT and one for MT EDT) for EDT. </w:t>
      </w:r>
      <w:r>
        <w:t xml:space="preserve"> </w:t>
      </w:r>
    </w:p>
    <w:p w14:paraId="2B06502B" w14:textId="77777777" w:rsidR="006D1E2C" w:rsidRDefault="006D1E2C" w:rsidP="0053127F">
      <w:pPr>
        <w:jc w:val="both"/>
      </w:pPr>
    </w:p>
    <w:p w14:paraId="5707AD32" w14:textId="07A70044" w:rsidR="00DC4B2D" w:rsidRDefault="00DC4B2D" w:rsidP="0053127F">
      <w:pPr>
        <w:jc w:val="both"/>
        <w:rPr>
          <w:b/>
        </w:rPr>
      </w:pPr>
      <w:r w:rsidRPr="00DC4B2D">
        <w:rPr>
          <w:b/>
        </w:rPr>
        <w:t xml:space="preserve">Proposal 4: </w:t>
      </w:r>
      <w:r w:rsidR="00B505F2">
        <w:rPr>
          <w:b/>
        </w:rPr>
        <w:t>To support</w:t>
      </w:r>
      <w:r w:rsidRPr="00DC4B2D">
        <w:rPr>
          <w:b/>
        </w:rPr>
        <w:t xml:space="preserve"> MT EDT</w:t>
      </w:r>
      <w:r w:rsidR="00C12055">
        <w:rPr>
          <w:b/>
        </w:rPr>
        <w:t xml:space="preserve"> in MSG4</w:t>
      </w:r>
      <w:r w:rsidRPr="00DC4B2D">
        <w:rPr>
          <w:b/>
        </w:rPr>
        <w:t xml:space="preserve">, an EDT indication should be sent in the paging message to inform the UE to go through the EDT procedure.  </w:t>
      </w:r>
    </w:p>
    <w:p w14:paraId="2CC1D99E" w14:textId="77777777" w:rsidR="00B505F2" w:rsidRDefault="00B505F2" w:rsidP="0053127F">
      <w:pPr>
        <w:jc w:val="both"/>
        <w:rPr>
          <w:b/>
        </w:rPr>
      </w:pPr>
    </w:p>
    <w:p w14:paraId="23C63C9F" w14:textId="155F21C9" w:rsidR="00B505F2" w:rsidRPr="00DC4B2D" w:rsidRDefault="00B505F2" w:rsidP="0053127F">
      <w:pPr>
        <w:jc w:val="both"/>
        <w:rPr>
          <w:b/>
        </w:rPr>
      </w:pPr>
      <w:r>
        <w:rPr>
          <w:b/>
        </w:rPr>
        <w:t xml:space="preserve">Proposal 5: MT EDT procedure shares the same EDT procedure as MO EDT. </w:t>
      </w:r>
    </w:p>
    <w:p w14:paraId="768E956F" w14:textId="77777777" w:rsidR="00DC4B2D" w:rsidRDefault="00DC4B2D" w:rsidP="0053127F">
      <w:pPr>
        <w:jc w:val="both"/>
      </w:pPr>
    </w:p>
    <w:p w14:paraId="378696E6" w14:textId="106D3D15" w:rsidR="00DB1CD3" w:rsidRPr="00DB1CD3" w:rsidRDefault="00DB1CD3" w:rsidP="0053127F">
      <w:pPr>
        <w:jc w:val="both"/>
        <w:rPr>
          <w:b/>
        </w:rPr>
      </w:pPr>
      <w:r w:rsidRPr="00DB1CD3">
        <w:rPr>
          <w:b/>
        </w:rPr>
        <w:t xml:space="preserve">Proposal </w:t>
      </w:r>
      <w:r w:rsidR="00B505F2">
        <w:rPr>
          <w:b/>
        </w:rPr>
        <w:t>6</w:t>
      </w:r>
      <w:r w:rsidRPr="00DB1CD3">
        <w:rPr>
          <w:b/>
        </w:rPr>
        <w:t xml:space="preserve">: </w:t>
      </w:r>
      <w:r>
        <w:rPr>
          <w:b/>
        </w:rPr>
        <w:t>For MT EDT, the p</w:t>
      </w:r>
      <w:r w:rsidRPr="00DB1CD3">
        <w:rPr>
          <w:b/>
        </w:rPr>
        <w:t xml:space="preserve">aging response </w:t>
      </w:r>
      <w:r w:rsidR="00B505F2">
        <w:rPr>
          <w:b/>
        </w:rPr>
        <w:t>is</w:t>
      </w:r>
      <w:r w:rsidRPr="00DB1CD3">
        <w:rPr>
          <w:b/>
        </w:rPr>
        <w:t xml:space="preserve"> sent in MSG3. </w:t>
      </w:r>
    </w:p>
    <w:p w14:paraId="0CE0C8DA" w14:textId="77777777" w:rsidR="008F324F" w:rsidRDefault="008F324F" w:rsidP="0053127F">
      <w:pPr>
        <w:jc w:val="both"/>
      </w:pPr>
    </w:p>
    <w:p w14:paraId="22B93D43" w14:textId="1E5A64FC" w:rsidR="008F324F" w:rsidRPr="00011FAE" w:rsidRDefault="008F324F" w:rsidP="008F324F">
      <w:r w:rsidRPr="00011FAE">
        <w:lastRenderedPageBreak/>
        <w:t xml:space="preserve">The </w:t>
      </w:r>
      <w:r>
        <w:t xml:space="preserve">MT </w:t>
      </w:r>
      <w:r w:rsidRPr="00011FAE">
        <w:t xml:space="preserve">EDT procedure for Control Plane CIoT EPS optimizations is illustrated </w:t>
      </w:r>
      <w:r>
        <w:t>Figure 3</w:t>
      </w:r>
      <w:r w:rsidRPr="00011FAE">
        <w:t>.</w:t>
      </w:r>
    </w:p>
    <w:p w14:paraId="648F5A09" w14:textId="77777777" w:rsidR="00691146" w:rsidRDefault="00691146" w:rsidP="0053127F">
      <w:pPr>
        <w:jc w:val="both"/>
      </w:pPr>
    </w:p>
    <w:p w14:paraId="5C520FA1" w14:textId="0422DEC9" w:rsidR="0060267C" w:rsidRDefault="00BA674F" w:rsidP="00843747">
      <w:pPr>
        <w:jc w:val="center"/>
      </w:pPr>
      <w:r>
        <w:object w:dxaOrig="10936" w:dyaOrig="6923" w14:anchorId="19065C5A">
          <v:shape id="_x0000_i1027" type="#_x0000_t75" style="width:436.3pt;height:276.2pt" o:ole="">
            <v:imagedata r:id="rId11" o:title=""/>
          </v:shape>
          <o:OLEObject Type="Embed" ProgID="Visio.Drawing.11" ShapeID="_x0000_i1027" DrawAspect="Content" ObjectID="_1599650760" r:id="rId12"/>
        </w:object>
      </w:r>
    </w:p>
    <w:p w14:paraId="6B2A0818" w14:textId="77777777" w:rsidR="0060267C" w:rsidRDefault="0060267C" w:rsidP="0053127F">
      <w:pPr>
        <w:jc w:val="both"/>
      </w:pPr>
    </w:p>
    <w:p w14:paraId="62687C33" w14:textId="6273399B" w:rsidR="00843747" w:rsidRDefault="00DB1CD3" w:rsidP="00843747">
      <w:pPr>
        <w:jc w:val="center"/>
        <w:rPr>
          <w:lang w:val="en-GB"/>
        </w:rPr>
      </w:pPr>
      <w:r>
        <w:rPr>
          <w:lang w:val="en-GB"/>
        </w:rPr>
        <w:t xml:space="preserve">Figure 3: </w:t>
      </w:r>
      <w:r w:rsidR="00DC4B2D">
        <w:rPr>
          <w:lang w:val="en-GB"/>
        </w:rPr>
        <w:t>MT</w:t>
      </w:r>
      <w:r w:rsidR="00843747">
        <w:rPr>
          <w:lang w:val="en-GB"/>
        </w:rPr>
        <w:t xml:space="preserve"> </w:t>
      </w:r>
      <w:r w:rsidR="00843747" w:rsidRPr="00011FAE">
        <w:rPr>
          <w:lang w:val="en-GB"/>
        </w:rPr>
        <w:t>EDT for Control Plane CIoT EPS Optimizations</w:t>
      </w:r>
    </w:p>
    <w:p w14:paraId="349DBF1B" w14:textId="77777777" w:rsidR="008F324F" w:rsidRDefault="008F324F" w:rsidP="009E4395">
      <w:pPr>
        <w:rPr>
          <w:lang w:val="en-GB"/>
        </w:rPr>
      </w:pPr>
    </w:p>
    <w:p w14:paraId="66E602B4" w14:textId="07F87789" w:rsidR="009E4395" w:rsidRDefault="009E4395" w:rsidP="009E4395">
      <w:pPr>
        <w:pStyle w:val="B1"/>
        <w:numPr>
          <w:ilvl w:val="0"/>
          <w:numId w:val="44"/>
        </w:numPr>
      </w:pPr>
      <w:r>
        <w:t>T</w:t>
      </w:r>
      <w:r w:rsidRPr="00990165">
        <w:t xml:space="preserve">he Serving GW sends a Downlink Data Notification message to the MME for which it has control plane connectivity for the given UE. </w:t>
      </w:r>
    </w:p>
    <w:p w14:paraId="675A1C91" w14:textId="70CB5A55" w:rsidR="009E4395" w:rsidRDefault="009E4395" w:rsidP="009E4395">
      <w:pPr>
        <w:pStyle w:val="B1"/>
        <w:numPr>
          <w:ilvl w:val="0"/>
          <w:numId w:val="44"/>
        </w:numPr>
      </w:pPr>
      <w:r>
        <w:t>T</w:t>
      </w:r>
      <w:r w:rsidRPr="00990165">
        <w:t>he MME sends a Paging message to each eNodeB belonging to the tracking area(s) in which the UE is registered.</w:t>
      </w:r>
    </w:p>
    <w:p w14:paraId="63D1006A" w14:textId="1CDD0BB1" w:rsidR="009E4395" w:rsidRDefault="009E4395" w:rsidP="009E4395">
      <w:pPr>
        <w:pStyle w:val="B1"/>
        <w:numPr>
          <w:ilvl w:val="0"/>
          <w:numId w:val="44"/>
        </w:numPr>
      </w:pPr>
      <w:r w:rsidRPr="00990165">
        <w:t>If eNodeBs receive paging messages from the MME, the UE is paged by the eNodeBs.</w:t>
      </w:r>
      <w:r w:rsidR="00BA674F">
        <w:t xml:space="preserve"> An EDT indication is carried in the paging message to inform UE for MT EDT and to trigger UE to perform EDT procedure. </w:t>
      </w:r>
    </w:p>
    <w:p w14:paraId="283623C0" w14:textId="75A8D979" w:rsidR="00BA674F" w:rsidRDefault="00BA674F" w:rsidP="00BA674F">
      <w:pPr>
        <w:pStyle w:val="B1"/>
        <w:numPr>
          <w:ilvl w:val="0"/>
          <w:numId w:val="44"/>
        </w:numPr>
      </w:pPr>
      <w:r w:rsidRPr="00011FAE">
        <w:t xml:space="preserve">Upon </w:t>
      </w:r>
      <w:r>
        <w:t>receiving EDT indication in the paging message</w:t>
      </w:r>
      <w:r w:rsidRPr="00011FAE">
        <w:t>, the UE initiates the early data transmission procedure and selects a random access preamble configured for EDT.</w:t>
      </w:r>
    </w:p>
    <w:p w14:paraId="292F8A06" w14:textId="2D47C028" w:rsidR="00BA674F" w:rsidRPr="00011FAE" w:rsidRDefault="003F1F7B" w:rsidP="00BA674F">
      <w:pPr>
        <w:pStyle w:val="B1"/>
        <w:numPr>
          <w:ilvl w:val="0"/>
          <w:numId w:val="44"/>
        </w:numPr>
      </w:pPr>
      <w:r>
        <w:t xml:space="preserve">The </w:t>
      </w:r>
      <w:r w:rsidR="00BA674F">
        <w:t>UE receives RAR from eNodeBs.</w:t>
      </w:r>
    </w:p>
    <w:p w14:paraId="40064C53" w14:textId="34A3935A" w:rsidR="00BA674F" w:rsidRPr="00011FAE" w:rsidRDefault="003F1F7B" w:rsidP="00BA674F">
      <w:pPr>
        <w:pStyle w:val="B1"/>
        <w:numPr>
          <w:ilvl w:val="0"/>
          <w:numId w:val="44"/>
        </w:numPr>
      </w:pPr>
      <w:r>
        <w:t xml:space="preserve">The </w:t>
      </w:r>
      <w:r w:rsidR="00BA674F" w:rsidRPr="00011FAE">
        <w:t xml:space="preserve">UE sends </w:t>
      </w:r>
      <w:r w:rsidR="00BA674F" w:rsidRPr="00011FAE">
        <w:rPr>
          <w:i/>
        </w:rPr>
        <w:t>RRCEarlyDataRequest</w:t>
      </w:r>
      <w:r w:rsidR="00BA674F" w:rsidRPr="00011FAE">
        <w:t xml:space="preserve"> message </w:t>
      </w:r>
      <w:r w:rsidR="00BA674F">
        <w:t xml:space="preserve">with paging response </w:t>
      </w:r>
      <w:r w:rsidR="00BA674F" w:rsidRPr="00011FAE">
        <w:t>n CCCH.</w:t>
      </w:r>
    </w:p>
    <w:p w14:paraId="4CAAE23F" w14:textId="410CF569" w:rsidR="00BA674F" w:rsidRPr="00011FAE" w:rsidRDefault="00BA674F" w:rsidP="00BA674F">
      <w:pPr>
        <w:pStyle w:val="B1"/>
        <w:numPr>
          <w:ilvl w:val="0"/>
          <w:numId w:val="44"/>
        </w:numPr>
      </w:pPr>
      <w:r w:rsidRPr="00011FAE">
        <w:t>The eNB initiates the S1-AP Initial UE message procedure to forward the NAS message and establish the S1 connection. The eNB may indicate in this procedure that this connection is triggered for EDT.</w:t>
      </w:r>
    </w:p>
    <w:p w14:paraId="52B65969" w14:textId="68BC6B98" w:rsidR="00BA674F" w:rsidRDefault="00BA674F" w:rsidP="00BA674F">
      <w:pPr>
        <w:pStyle w:val="B1"/>
        <w:numPr>
          <w:ilvl w:val="0"/>
          <w:numId w:val="44"/>
        </w:numPr>
      </w:pPr>
      <w:r w:rsidRPr="00011FAE">
        <w:t>The MME requests the S-GW to re-activate the EPS bearers for the UE.</w:t>
      </w:r>
    </w:p>
    <w:p w14:paraId="48C9836F" w14:textId="0B6097A4" w:rsidR="00BA674F" w:rsidRPr="00011FAE" w:rsidRDefault="00BA674F" w:rsidP="00BA674F">
      <w:pPr>
        <w:pStyle w:val="B1"/>
        <w:numPr>
          <w:ilvl w:val="0"/>
          <w:numId w:val="44"/>
        </w:numPr>
      </w:pPr>
      <w:r w:rsidRPr="00011FAE">
        <w:t xml:space="preserve">If </w:t>
      </w:r>
      <w:r>
        <w:t>uplink</w:t>
      </w:r>
      <w:r w:rsidRPr="00011FAE">
        <w:t xml:space="preserve"> data are available, </w:t>
      </w:r>
      <w:r>
        <w:t>t</w:t>
      </w:r>
      <w:r w:rsidRPr="00011FAE">
        <w:t>he MME sends the uplink data to the S-GW.</w:t>
      </w:r>
    </w:p>
    <w:p w14:paraId="2CA47F6D" w14:textId="3B45F2F2" w:rsidR="00BA674F" w:rsidRPr="00011FAE" w:rsidRDefault="00BA674F" w:rsidP="00BA674F">
      <w:pPr>
        <w:pStyle w:val="B1"/>
        <w:numPr>
          <w:ilvl w:val="0"/>
          <w:numId w:val="44"/>
        </w:numPr>
      </w:pPr>
      <w:r>
        <w:t>T</w:t>
      </w:r>
      <w:r w:rsidRPr="00011FAE">
        <w:t>he S-GW sends the downlink data to the MME.</w:t>
      </w:r>
    </w:p>
    <w:p w14:paraId="3DB9349E" w14:textId="264E5F59" w:rsidR="00BA674F" w:rsidRPr="00011FAE" w:rsidRDefault="00BA674F" w:rsidP="00BA674F">
      <w:pPr>
        <w:pStyle w:val="B1"/>
        <w:numPr>
          <w:ilvl w:val="0"/>
          <w:numId w:val="44"/>
        </w:numPr>
      </w:pPr>
      <w:r>
        <w:t>The</w:t>
      </w:r>
      <w:r w:rsidRPr="00011FAE">
        <w:t xml:space="preserve"> MME forwards the data to the eNB via DL NAS Transport procedure and may also indicate whether further data are expected. Otherwise, the MME may trigger Connection Establishment Indication procedure and also indicate whether further data are expected.</w:t>
      </w:r>
    </w:p>
    <w:p w14:paraId="052457D6" w14:textId="4E728BC2" w:rsidR="00BA674F" w:rsidRPr="00011FAE" w:rsidRDefault="00BA674F" w:rsidP="00BA674F">
      <w:pPr>
        <w:pStyle w:val="B1"/>
        <w:numPr>
          <w:ilvl w:val="0"/>
          <w:numId w:val="44"/>
        </w:numPr>
      </w:pPr>
      <w:r>
        <w:t>I</w:t>
      </w:r>
      <w:r w:rsidRPr="00011FAE">
        <w:t xml:space="preserve">f no further data are expected, the eNB can send the </w:t>
      </w:r>
      <w:r w:rsidRPr="00011FAE">
        <w:rPr>
          <w:i/>
        </w:rPr>
        <w:t>RRCEarlyDataComplete</w:t>
      </w:r>
      <w:r w:rsidRPr="00011FAE">
        <w:t xml:space="preserve"> message on CCCH to keep the UE in RRC_IDLE. If downlink data were received in step 6, they are concatenated in </w:t>
      </w:r>
      <w:r w:rsidRPr="00011FAE">
        <w:rPr>
          <w:i/>
        </w:rPr>
        <w:t xml:space="preserve">RRCEarlyDataComplete </w:t>
      </w:r>
      <w:r w:rsidRPr="00011FAE">
        <w:t>message.</w:t>
      </w:r>
    </w:p>
    <w:p w14:paraId="5E4A5653" w14:textId="26E9B617" w:rsidR="00BA674F" w:rsidRPr="00011FAE" w:rsidRDefault="00BA674F" w:rsidP="00BA674F">
      <w:pPr>
        <w:pStyle w:val="B1"/>
        <w:numPr>
          <w:ilvl w:val="0"/>
          <w:numId w:val="44"/>
        </w:numPr>
      </w:pPr>
      <w:r w:rsidRPr="00011FAE">
        <w:t>The S1 connection is released and the EPS bearers are deactivated.</w:t>
      </w:r>
    </w:p>
    <w:p w14:paraId="75DF19B8" w14:textId="71189AC9" w:rsidR="00843747" w:rsidRPr="008F324F" w:rsidRDefault="008F324F" w:rsidP="00BA674F">
      <w:r w:rsidRPr="00011FAE">
        <w:lastRenderedPageBreak/>
        <w:t xml:space="preserve">The </w:t>
      </w:r>
      <w:r>
        <w:t xml:space="preserve">MT </w:t>
      </w:r>
      <w:r w:rsidRPr="00011FAE">
        <w:t xml:space="preserve">EDT procedure for </w:t>
      </w:r>
      <w:r>
        <w:t>User</w:t>
      </w:r>
      <w:r w:rsidRPr="00011FAE">
        <w:t xml:space="preserve"> Plane CIoT EPS optimizations is illustrated </w:t>
      </w:r>
      <w:r>
        <w:t>Figure 4</w:t>
      </w:r>
      <w:r w:rsidRPr="00011FAE">
        <w:t>.</w:t>
      </w:r>
    </w:p>
    <w:p w14:paraId="0AEA946B" w14:textId="77777777" w:rsidR="00843747" w:rsidRDefault="00843747" w:rsidP="00843747">
      <w:pPr>
        <w:jc w:val="center"/>
        <w:rPr>
          <w:lang w:val="en-GB"/>
        </w:rPr>
      </w:pPr>
    </w:p>
    <w:p w14:paraId="468567F8" w14:textId="54C2C75C" w:rsidR="0060267C" w:rsidRDefault="009E4395" w:rsidP="00DC4B2D">
      <w:pPr>
        <w:jc w:val="center"/>
      </w:pPr>
      <w:r>
        <w:object w:dxaOrig="10733" w:dyaOrig="6980" w14:anchorId="5F6EB5CD">
          <v:shape id="_x0000_i1028" type="#_x0000_t75" style="width:426.1pt;height:276.7pt" o:ole="">
            <v:imagedata r:id="rId13" o:title=""/>
          </v:shape>
          <o:OLEObject Type="Embed" ProgID="Visio.Drawing.11" ShapeID="_x0000_i1028" DrawAspect="Content" ObjectID="_1599650761" r:id="rId14"/>
        </w:object>
      </w:r>
    </w:p>
    <w:p w14:paraId="24F06DBF" w14:textId="36DFA422" w:rsidR="00DC4B2D" w:rsidRDefault="00DB1CD3" w:rsidP="00DC4B2D">
      <w:pPr>
        <w:jc w:val="center"/>
        <w:rPr>
          <w:lang w:val="en-GB"/>
        </w:rPr>
      </w:pPr>
      <w:r>
        <w:rPr>
          <w:lang w:val="en-GB"/>
        </w:rPr>
        <w:t xml:space="preserve">Figure 4: </w:t>
      </w:r>
      <w:r w:rsidR="00DC4B2D">
        <w:rPr>
          <w:lang w:val="en-GB"/>
        </w:rPr>
        <w:t xml:space="preserve">MT </w:t>
      </w:r>
      <w:r w:rsidR="00DC4B2D" w:rsidRPr="00011FAE">
        <w:rPr>
          <w:lang w:val="en-GB"/>
        </w:rPr>
        <w:t xml:space="preserve">EDT for </w:t>
      </w:r>
      <w:r w:rsidR="00DC4B2D">
        <w:rPr>
          <w:lang w:val="en-GB"/>
        </w:rPr>
        <w:t>User</w:t>
      </w:r>
      <w:r w:rsidR="00DC4B2D" w:rsidRPr="00011FAE">
        <w:rPr>
          <w:lang w:val="en-GB"/>
        </w:rPr>
        <w:t xml:space="preserve"> Plane CIoT EPS Optimizations</w:t>
      </w:r>
    </w:p>
    <w:p w14:paraId="34CF3932" w14:textId="77777777" w:rsidR="0060267C" w:rsidRDefault="0060267C" w:rsidP="0053127F">
      <w:pPr>
        <w:jc w:val="both"/>
      </w:pPr>
    </w:p>
    <w:p w14:paraId="4D28A77C" w14:textId="3CE64D5B" w:rsidR="008F324F" w:rsidRDefault="008F324F" w:rsidP="008F324F">
      <w:pPr>
        <w:pStyle w:val="B1"/>
        <w:numPr>
          <w:ilvl w:val="0"/>
          <w:numId w:val="45"/>
        </w:numPr>
      </w:pPr>
      <w:r>
        <w:t>T</w:t>
      </w:r>
      <w:r w:rsidRPr="00990165">
        <w:t xml:space="preserve">he Serving GW sends a Downlink Data Notification message to the MME for which it has connectivity for the given UE. </w:t>
      </w:r>
    </w:p>
    <w:p w14:paraId="2BAE0C2D" w14:textId="77777777" w:rsidR="008F324F" w:rsidRDefault="008F324F" w:rsidP="008F324F">
      <w:pPr>
        <w:pStyle w:val="B1"/>
        <w:numPr>
          <w:ilvl w:val="0"/>
          <w:numId w:val="45"/>
        </w:numPr>
      </w:pPr>
      <w:r>
        <w:t>T</w:t>
      </w:r>
      <w:r w:rsidRPr="00990165">
        <w:t>he MME sends a Paging message to each eNodeB belonging to the tracking area(s) in which the UE is registered.</w:t>
      </w:r>
    </w:p>
    <w:p w14:paraId="4F15E2CD" w14:textId="77777777" w:rsidR="008F324F" w:rsidRDefault="008F324F" w:rsidP="008F324F">
      <w:pPr>
        <w:pStyle w:val="B1"/>
        <w:numPr>
          <w:ilvl w:val="0"/>
          <w:numId w:val="45"/>
        </w:numPr>
      </w:pPr>
      <w:r w:rsidRPr="00990165">
        <w:t>If eNodeBs receive paging messages from the MME, the UE is paged by the eNodeBs.</w:t>
      </w:r>
      <w:r>
        <w:t xml:space="preserve"> An EDT indication is carried in the paging message to inform UE for MT EDT and to trigger UE to perform EDT procedure. </w:t>
      </w:r>
    </w:p>
    <w:p w14:paraId="63458EED" w14:textId="1C62B471" w:rsidR="008F324F" w:rsidRDefault="008F324F" w:rsidP="008F324F">
      <w:pPr>
        <w:pStyle w:val="B1"/>
        <w:numPr>
          <w:ilvl w:val="0"/>
          <w:numId w:val="45"/>
        </w:numPr>
      </w:pPr>
      <w:r>
        <w:t>T</w:t>
      </w:r>
      <w:r w:rsidRPr="00011FAE">
        <w:t>he UE initiates the early data transmission procedure and selects a random access preamble configured for EDT.</w:t>
      </w:r>
    </w:p>
    <w:p w14:paraId="0761316C" w14:textId="0258AEDA" w:rsidR="008F324F" w:rsidRPr="00011FAE" w:rsidRDefault="003F1F7B" w:rsidP="008F324F">
      <w:pPr>
        <w:pStyle w:val="B1"/>
        <w:numPr>
          <w:ilvl w:val="0"/>
          <w:numId w:val="45"/>
        </w:numPr>
      </w:pPr>
      <w:r>
        <w:t xml:space="preserve">The </w:t>
      </w:r>
      <w:bookmarkStart w:id="6" w:name="_GoBack"/>
      <w:bookmarkEnd w:id="6"/>
      <w:r w:rsidR="008F324F">
        <w:t>UE receives RAR from eNodeBs.</w:t>
      </w:r>
    </w:p>
    <w:p w14:paraId="7E8913B4" w14:textId="11B10B66" w:rsidR="008F324F" w:rsidRPr="00011FAE" w:rsidRDefault="008F324F" w:rsidP="008F324F">
      <w:pPr>
        <w:pStyle w:val="B1"/>
        <w:numPr>
          <w:ilvl w:val="0"/>
          <w:numId w:val="45"/>
        </w:numPr>
      </w:pPr>
      <w:r w:rsidRPr="00011FAE">
        <w:t xml:space="preserve">The UE sends an </w:t>
      </w:r>
      <w:r w:rsidRPr="00011FAE">
        <w:rPr>
          <w:i/>
        </w:rPr>
        <w:t>RRCConnectionResumeRequest</w:t>
      </w:r>
      <w:r w:rsidRPr="00011FAE">
        <w:t xml:space="preserve"> to the eNB, including its Resume ID, the establishment cause, and an authentication token. The UE resumes all SRBs and DRBs, derives new security keys using the </w:t>
      </w:r>
      <w:r w:rsidRPr="00011FAE">
        <w:rPr>
          <w:i/>
        </w:rPr>
        <w:t>NextHopChainingCount</w:t>
      </w:r>
      <w:r w:rsidRPr="00011FAE">
        <w:t xml:space="preserve"> provided in the </w:t>
      </w:r>
      <w:r w:rsidRPr="00011FAE">
        <w:rPr>
          <w:i/>
        </w:rPr>
        <w:t>RRCConnectionRelease</w:t>
      </w:r>
      <w:r w:rsidRPr="00011FAE">
        <w:t xml:space="preserve"> message of the previous connection and re-establishes the AS security. The user data are ciphered and transmitted on DTCH multiplexed with the </w:t>
      </w:r>
      <w:r w:rsidRPr="00011FAE">
        <w:rPr>
          <w:i/>
        </w:rPr>
        <w:t>RRCConnectionResumeRequest</w:t>
      </w:r>
      <w:r w:rsidRPr="00011FAE">
        <w:t xml:space="preserve"> message on CCCH.</w:t>
      </w:r>
    </w:p>
    <w:p w14:paraId="6BC5D906" w14:textId="500F124F" w:rsidR="008F324F" w:rsidRPr="00011FAE" w:rsidRDefault="008F324F" w:rsidP="008F324F">
      <w:pPr>
        <w:pStyle w:val="B1"/>
        <w:numPr>
          <w:ilvl w:val="0"/>
          <w:numId w:val="45"/>
        </w:numPr>
      </w:pPr>
      <w:r w:rsidRPr="00011FAE">
        <w:t>The eNB initiates the S1-AP Context Resume procedure to resume the S1 connection and re-activate the S1-U bearers.</w:t>
      </w:r>
    </w:p>
    <w:p w14:paraId="2023A61B" w14:textId="5453EC68" w:rsidR="008F324F" w:rsidRPr="00011FAE" w:rsidRDefault="008F324F" w:rsidP="008F324F">
      <w:pPr>
        <w:pStyle w:val="B1"/>
        <w:numPr>
          <w:ilvl w:val="0"/>
          <w:numId w:val="45"/>
        </w:numPr>
      </w:pPr>
      <w:r w:rsidRPr="00011FAE">
        <w:t>The MME requests the S-GW to re-activate the S1-U bearers for the UE.</w:t>
      </w:r>
    </w:p>
    <w:p w14:paraId="12A81514" w14:textId="32A13C68" w:rsidR="008F324F" w:rsidRPr="00011FAE" w:rsidRDefault="008F324F" w:rsidP="008F324F">
      <w:pPr>
        <w:pStyle w:val="B1"/>
        <w:numPr>
          <w:ilvl w:val="0"/>
          <w:numId w:val="45"/>
        </w:numPr>
      </w:pPr>
      <w:r w:rsidRPr="00011FAE">
        <w:t>The MME confirms the UE context resumption to the eNB.</w:t>
      </w:r>
    </w:p>
    <w:p w14:paraId="553D6DBE" w14:textId="1DDE484E" w:rsidR="008F324F" w:rsidRPr="00011FAE" w:rsidRDefault="008F324F" w:rsidP="008F324F">
      <w:pPr>
        <w:pStyle w:val="B1"/>
        <w:numPr>
          <w:ilvl w:val="0"/>
          <w:numId w:val="45"/>
        </w:numPr>
      </w:pPr>
      <w:r>
        <w:t>If uplink</w:t>
      </w:r>
      <w:r w:rsidRPr="00011FAE">
        <w:t xml:space="preserve"> data are available</w:t>
      </w:r>
      <w:r>
        <w:rPr>
          <w:rFonts w:eastAsiaTheme="minorEastAsia" w:hint="eastAsia"/>
          <w:lang w:eastAsia="zh-TW"/>
        </w:rPr>
        <w:t>, t</w:t>
      </w:r>
      <w:r w:rsidRPr="00011FAE">
        <w:t>he uplink data are delivered to the S-GW.</w:t>
      </w:r>
    </w:p>
    <w:p w14:paraId="30A7E4D2" w14:textId="5283CE2A" w:rsidR="008F324F" w:rsidRPr="00011FAE" w:rsidRDefault="008F324F" w:rsidP="008F324F">
      <w:pPr>
        <w:pStyle w:val="B1"/>
        <w:numPr>
          <w:ilvl w:val="0"/>
          <w:numId w:val="45"/>
        </w:numPr>
      </w:pPr>
      <w:r>
        <w:t>T</w:t>
      </w:r>
      <w:r w:rsidRPr="00011FAE">
        <w:t>he S-GW sends the downlink data to the eNB.</w:t>
      </w:r>
    </w:p>
    <w:p w14:paraId="34021B1D" w14:textId="258913E6" w:rsidR="008F324F" w:rsidRPr="00011FAE" w:rsidRDefault="008F324F" w:rsidP="008F324F">
      <w:pPr>
        <w:pStyle w:val="B1"/>
        <w:numPr>
          <w:ilvl w:val="0"/>
          <w:numId w:val="45"/>
        </w:numPr>
      </w:pPr>
      <w:r w:rsidRPr="00011FAE">
        <w:t>If no further data are expected from the S-GW, the eNB can initiate the suspension of the S1 connection and the deactivation of the S1-U bearers.</w:t>
      </w:r>
    </w:p>
    <w:p w14:paraId="09048422" w14:textId="767486A1" w:rsidR="00BA6CB2" w:rsidRPr="008F324F" w:rsidRDefault="008F324F" w:rsidP="008F324F">
      <w:pPr>
        <w:pStyle w:val="B1"/>
        <w:numPr>
          <w:ilvl w:val="0"/>
          <w:numId w:val="45"/>
        </w:numPr>
      </w:pPr>
      <w:r w:rsidRPr="00011FAE">
        <w:lastRenderedPageBreak/>
        <w:t xml:space="preserve">The eNB sends the </w:t>
      </w:r>
      <w:r w:rsidRPr="00011FAE">
        <w:rPr>
          <w:i/>
        </w:rPr>
        <w:t>RRCConnectionRelease</w:t>
      </w:r>
      <w:r w:rsidRPr="00011FAE">
        <w:t xml:space="preserve"> message to keep the UE in RRC_IDLE. The message includes the </w:t>
      </w:r>
      <w:r w:rsidRPr="00011FAE">
        <w:rPr>
          <w:i/>
        </w:rPr>
        <w:t>releaseCause</w:t>
      </w:r>
      <w:r w:rsidRPr="00011FAE">
        <w:t xml:space="preserve"> set to </w:t>
      </w:r>
      <w:r w:rsidRPr="00011FAE">
        <w:rPr>
          <w:i/>
        </w:rPr>
        <w:t>rrc-Suspend</w:t>
      </w:r>
      <w:r w:rsidRPr="00011FAE">
        <w:t xml:space="preserve">, the </w:t>
      </w:r>
      <w:r w:rsidRPr="00011FAE">
        <w:rPr>
          <w:i/>
        </w:rPr>
        <w:t>resumeID,</w:t>
      </w:r>
      <w:r w:rsidRPr="00011FAE">
        <w:t xml:space="preserve"> the </w:t>
      </w:r>
      <w:r w:rsidRPr="00011FAE">
        <w:rPr>
          <w:i/>
        </w:rPr>
        <w:t>NextHopChainingCount</w:t>
      </w:r>
      <w:r w:rsidRPr="00011FAE">
        <w:t xml:space="preserve"> and </w:t>
      </w:r>
      <w:r w:rsidRPr="00011FAE">
        <w:rPr>
          <w:i/>
        </w:rPr>
        <w:t>drb-ContinueROHC</w:t>
      </w:r>
      <w:r w:rsidRPr="00011FAE">
        <w:t xml:space="preserve"> which are stored by the UE. If downlink data were received in step 6, they are sent ciphered on DTCH multiplexed with the </w:t>
      </w:r>
      <w:r w:rsidRPr="00011FAE">
        <w:rPr>
          <w:i/>
        </w:rPr>
        <w:t>RRCConnectionRelease</w:t>
      </w:r>
      <w:r w:rsidRPr="00011FAE">
        <w:t xml:space="preserve"> message on DCCH.</w:t>
      </w:r>
    </w:p>
    <w:p w14:paraId="3BA84601" w14:textId="0F4E013D" w:rsidR="003C01B4" w:rsidRDefault="00F60935" w:rsidP="00F60935">
      <w:pPr>
        <w:pStyle w:val="1"/>
        <w:overflowPunct w:val="0"/>
        <w:autoSpaceDE w:val="0"/>
        <w:autoSpaceDN w:val="0"/>
        <w:adjustRightInd w:val="0"/>
        <w:rPr>
          <w:rFonts w:eastAsia="新細明體" w:cs="Arial"/>
        </w:rPr>
      </w:pPr>
      <w:r w:rsidRPr="00F60935">
        <w:rPr>
          <w:rFonts w:eastAsia="新細明體" w:cs="Arial"/>
        </w:rPr>
        <w:t xml:space="preserve">Conclusion </w:t>
      </w:r>
    </w:p>
    <w:p w14:paraId="2EF6D982" w14:textId="514B2186" w:rsidR="00F60935" w:rsidRDefault="00F60935" w:rsidP="00F60935">
      <w:pPr>
        <w:rPr>
          <w:lang w:val="en-GB" w:eastAsia="en-US"/>
        </w:rPr>
      </w:pPr>
      <w:r>
        <w:rPr>
          <w:lang w:val="en-GB" w:eastAsia="en-US"/>
        </w:rPr>
        <w:t>In this paper, the scope on MT EDT is discussed. The observations and the proposals are made as follows.</w:t>
      </w:r>
    </w:p>
    <w:p w14:paraId="2C7AFF5C" w14:textId="77777777" w:rsidR="00191129" w:rsidRDefault="00191129" w:rsidP="00F60935">
      <w:pPr>
        <w:rPr>
          <w:lang w:val="en-GB" w:eastAsia="en-US"/>
        </w:rPr>
      </w:pPr>
    </w:p>
    <w:p w14:paraId="68A6BE4E" w14:textId="77777777" w:rsidR="009E4395" w:rsidRDefault="009E4395" w:rsidP="009E4395">
      <w:pPr>
        <w:jc w:val="both"/>
        <w:rPr>
          <w:rFonts w:asciiTheme="minorHAnsi" w:hAnsiTheme="minorHAnsi"/>
          <w:b/>
        </w:rPr>
      </w:pPr>
      <w:r>
        <w:rPr>
          <w:rFonts w:asciiTheme="minorHAnsi" w:hAnsiTheme="minorHAnsi"/>
          <w:b/>
        </w:rPr>
        <w:t xml:space="preserve">Observation 1: MT EDT transmission in the paging procedure involves the cells in a tracking area to send the DL data; the DL data transmission is inefficient. </w:t>
      </w:r>
    </w:p>
    <w:p w14:paraId="07D2BAC7" w14:textId="77777777" w:rsidR="009E4395" w:rsidRDefault="009E4395" w:rsidP="009E4395">
      <w:pPr>
        <w:jc w:val="both"/>
        <w:rPr>
          <w:rFonts w:asciiTheme="minorHAnsi" w:hAnsiTheme="minorHAnsi"/>
          <w:b/>
        </w:rPr>
      </w:pPr>
    </w:p>
    <w:p w14:paraId="5FDFA60D" w14:textId="160D5B4D" w:rsidR="009E4395" w:rsidRPr="009E4395" w:rsidRDefault="009E4395" w:rsidP="009E4395">
      <w:pPr>
        <w:spacing w:after="240"/>
        <w:rPr>
          <w:b/>
        </w:rPr>
      </w:pPr>
      <w:r w:rsidRPr="004D723B">
        <w:rPr>
          <w:b/>
        </w:rPr>
        <w:t>Observation 2: DL EDT transmitted in MSG2 has large core network impact</w:t>
      </w:r>
      <w:r>
        <w:rPr>
          <w:b/>
        </w:rPr>
        <w:t xml:space="preserve"> and specification impact</w:t>
      </w:r>
      <w:r w:rsidRPr="004D723B">
        <w:rPr>
          <w:b/>
        </w:rPr>
        <w:t xml:space="preserve">. </w:t>
      </w:r>
    </w:p>
    <w:p w14:paraId="21F23A42" w14:textId="77777777" w:rsidR="009E4395" w:rsidRDefault="009E4395" w:rsidP="009E4395">
      <w:pPr>
        <w:jc w:val="both"/>
        <w:rPr>
          <w:rFonts w:asciiTheme="minorHAnsi" w:hAnsiTheme="minorHAnsi"/>
          <w:b/>
        </w:rPr>
      </w:pPr>
      <w:r>
        <w:rPr>
          <w:rFonts w:asciiTheme="minorHAnsi" w:hAnsiTheme="minorHAnsi"/>
          <w:b/>
        </w:rPr>
        <w:t xml:space="preserve">Proposal 1: MT EDT transmission in the paging phase should be avoided. </w:t>
      </w:r>
    </w:p>
    <w:p w14:paraId="137DA8C4" w14:textId="77777777" w:rsidR="00191129" w:rsidRDefault="00191129" w:rsidP="00191129">
      <w:pPr>
        <w:jc w:val="both"/>
        <w:rPr>
          <w:rFonts w:asciiTheme="minorHAnsi" w:hAnsiTheme="minorHAnsi"/>
          <w:b/>
        </w:rPr>
      </w:pPr>
    </w:p>
    <w:p w14:paraId="54D8D9BE" w14:textId="77777777" w:rsidR="009E4395" w:rsidRPr="004D723B" w:rsidRDefault="009E4395" w:rsidP="009E4395">
      <w:pPr>
        <w:spacing w:after="240"/>
        <w:rPr>
          <w:b/>
        </w:rPr>
      </w:pPr>
      <w:r w:rsidRPr="004D723B">
        <w:rPr>
          <w:b/>
        </w:rPr>
        <w:t xml:space="preserve">Proposal 2: DL EDT in MSG2 should not be supported. </w:t>
      </w:r>
    </w:p>
    <w:p w14:paraId="70BF8B96" w14:textId="77777777" w:rsidR="00B505F2" w:rsidRPr="006D1E2C" w:rsidRDefault="00B505F2" w:rsidP="00B505F2">
      <w:pPr>
        <w:jc w:val="both"/>
        <w:rPr>
          <w:b/>
        </w:rPr>
      </w:pPr>
      <w:r w:rsidRPr="006D1E2C">
        <w:rPr>
          <w:b/>
        </w:rPr>
        <w:t>Proposal 3:</w:t>
      </w:r>
      <w:r>
        <w:rPr>
          <w:b/>
        </w:rPr>
        <w:t xml:space="preserve"> To </w:t>
      </w:r>
      <w:r>
        <w:rPr>
          <w:rFonts w:cs="Arial"/>
          <w:b/>
          <w:lang w:val="en-GB"/>
        </w:rPr>
        <w:t>reduce the</w:t>
      </w:r>
      <w:r w:rsidRPr="00DB1CD3">
        <w:rPr>
          <w:rFonts w:cs="Arial"/>
          <w:b/>
          <w:lang w:val="en-GB"/>
        </w:rPr>
        <w:t xml:space="preserve"> </w:t>
      </w:r>
      <w:r>
        <w:rPr>
          <w:rFonts w:cs="Arial"/>
          <w:b/>
          <w:lang w:val="en-GB"/>
        </w:rPr>
        <w:t xml:space="preserve">specification </w:t>
      </w:r>
      <w:r w:rsidRPr="00DB1CD3">
        <w:rPr>
          <w:rFonts w:cs="Arial"/>
          <w:b/>
          <w:lang w:val="en-GB"/>
        </w:rPr>
        <w:t xml:space="preserve">impact </w:t>
      </w:r>
      <w:r>
        <w:rPr>
          <w:rFonts w:cs="Arial"/>
          <w:b/>
          <w:lang w:val="en-GB"/>
        </w:rPr>
        <w:t xml:space="preserve">and to </w:t>
      </w:r>
      <w:r w:rsidRPr="00DB1CD3">
        <w:rPr>
          <w:rFonts w:cs="Arial"/>
          <w:b/>
          <w:lang w:val="en-GB"/>
        </w:rPr>
        <w:t xml:space="preserve">mostly reuse the </w:t>
      </w:r>
      <w:r>
        <w:rPr>
          <w:rFonts w:cs="Arial"/>
          <w:b/>
          <w:lang w:val="en-GB"/>
        </w:rPr>
        <w:t>MO</w:t>
      </w:r>
      <w:r w:rsidRPr="00DB1CD3">
        <w:rPr>
          <w:rFonts w:cs="Arial"/>
          <w:b/>
          <w:lang w:val="en-GB"/>
        </w:rPr>
        <w:t xml:space="preserve"> EDT procedure</w:t>
      </w:r>
      <w:r>
        <w:rPr>
          <w:rFonts w:cs="Arial"/>
          <w:b/>
          <w:lang w:val="en-GB"/>
        </w:rPr>
        <w:t xml:space="preserve">, </w:t>
      </w:r>
      <w:r>
        <w:rPr>
          <w:b/>
        </w:rPr>
        <w:t>MT</w:t>
      </w:r>
      <w:r w:rsidRPr="006D1E2C">
        <w:rPr>
          <w:b/>
        </w:rPr>
        <w:t xml:space="preserve"> EDT in MSG4</w:t>
      </w:r>
      <w:r>
        <w:rPr>
          <w:b/>
        </w:rPr>
        <w:t xml:space="preserve"> should be supported</w:t>
      </w:r>
      <w:r w:rsidRPr="006D1E2C">
        <w:rPr>
          <w:b/>
        </w:rPr>
        <w:t xml:space="preserve">. </w:t>
      </w:r>
    </w:p>
    <w:p w14:paraId="37E585B1" w14:textId="77777777" w:rsidR="009E4395" w:rsidRDefault="009E4395" w:rsidP="00191129">
      <w:pPr>
        <w:jc w:val="both"/>
        <w:rPr>
          <w:b/>
        </w:rPr>
      </w:pPr>
    </w:p>
    <w:p w14:paraId="5CF69E5D" w14:textId="77777777" w:rsidR="00B505F2" w:rsidRDefault="00B505F2" w:rsidP="00B505F2">
      <w:pPr>
        <w:jc w:val="both"/>
        <w:rPr>
          <w:b/>
        </w:rPr>
      </w:pPr>
      <w:r w:rsidRPr="00DC4B2D">
        <w:rPr>
          <w:b/>
        </w:rPr>
        <w:t xml:space="preserve">Proposal 4: </w:t>
      </w:r>
      <w:r>
        <w:rPr>
          <w:b/>
        </w:rPr>
        <w:t>To support</w:t>
      </w:r>
      <w:r w:rsidRPr="00DC4B2D">
        <w:rPr>
          <w:b/>
        </w:rPr>
        <w:t xml:space="preserve"> MT EDT</w:t>
      </w:r>
      <w:r>
        <w:rPr>
          <w:b/>
        </w:rPr>
        <w:t xml:space="preserve"> in MSG4</w:t>
      </w:r>
      <w:r w:rsidRPr="00DC4B2D">
        <w:rPr>
          <w:b/>
        </w:rPr>
        <w:t xml:space="preserve">, an EDT indication should be sent in the paging message to inform the UE to go through the EDT procedure.  </w:t>
      </w:r>
    </w:p>
    <w:p w14:paraId="7C262FEC" w14:textId="77777777" w:rsidR="00B505F2" w:rsidRDefault="00B505F2" w:rsidP="00B505F2">
      <w:pPr>
        <w:jc w:val="both"/>
        <w:rPr>
          <w:b/>
        </w:rPr>
      </w:pPr>
    </w:p>
    <w:p w14:paraId="60095E47" w14:textId="77777777" w:rsidR="00B505F2" w:rsidRPr="00DC4B2D" w:rsidRDefault="00B505F2" w:rsidP="00B505F2">
      <w:pPr>
        <w:jc w:val="both"/>
        <w:rPr>
          <w:b/>
        </w:rPr>
      </w:pPr>
      <w:r>
        <w:rPr>
          <w:b/>
        </w:rPr>
        <w:t xml:space="preserve">Proposal 5: MT EDT procedure shares the same EDT procedure as MO EDT. </w:t>
      </w:r>
    </w:p>
    <w:p w14:paraId="6272B936" w14:textId="77777777" w:rsidR="00B505F2" w:rsidRDefault="00B505F2" w:rsidP="00B505F2">
      <w:pPr>
        <w:jc w:val="both"/>
      </w:pPr>
    </w:p>
    <w:p w14:paraId="66382A47" w14:textId="77777777" w:rsidR="00B505F2" w:rsidRPr="00DB1CD3" w:rsidRDefault="00B505F2" w:rsidP="00B505F2">
      <w:pPr>
        <w:jc w:val="both"/>
        <w:rPr>
          <w:b/>
        </w:rPr>
      </w:pPr>
      <w:r w:rsidRPr="00DB1CD3">
        <w:rPr>
          <w:b/>
        </w:rPr>
        <w:t xml:space="preserve">Proposal </w:t>
      </w:r>
      <w:r>
        <w:rPr>
          <w:b/>
        </w:rPr>
        <w:t>6</w:t>
      </w:r>
      <w:r w:rsidRPr="00DB1CD3">
        <w:rPr>
          <w:b/>
        </w:rPr>
        <w:t xml:space="preserve">: </w:t>
      </w:r>
      <w:r>
        <w:rPr>
          <w:b/>
        </w:rPr>
        <w:t>For MT EDT, the p</w:t>
      </w:r>
      <w:r w:rsidRPr="00DB1CD3">
        <w:rPr>
          <w:b/>
        </w:rPr>
        <w:t xml:space="preserve">aging response </w:t>
      </w:r>
      <w:r>
        <w:rPr>
          <w:b/>
        </w:rPr>
        <w:t>is</w:t>
      </w:r>
      <w:r w:rsidRPr="00DB1CD3">
        <w:rPr>
          <w:b/>
        </w:rPr>
        <w:t xml:space="preserve"> sent in MSG3. </w:t>
      </w:r>
    </w:p>
    <w:p w14:paraId="2150E7F5" w14:textId="77777777" w:rsidR="00191129" w:rsidRDefault="00191129" w:rsidP="00191129">
      <w:pPr>
        <w:jc w:val="both"/>
        <w:rPr>
          <w:rFonts w:asciiTheme="minorHAnsi" w:hAnsiTheme="minorHAnsi"/>
          <w:b/>
        </w:rPr>
      </w:pPr>
    </w:p>
    <w:p w14:paraId="3E9232EA" w14:textId="3EF464EB" w:rsidR="00F60935" w:rsidRDefault="00F60935" w:rsidP="00F60935">
      <w:pPr>
        <w:pStyle w:val="1"/>
        <w:overflowPunct w:val="0"/>
        <w:autoSpaceDE w:val="0"/>
        <w:autoSpaceDN w:val="0"/>
        <w:adjustRightInd w:val="0"/>
        <w:rPr>
          <w:rFonts w:ascii="Calibri" w:eastAsiaTheme="minorEastAsia" w:hAnsi="Calibri"/>
          <w:szCs w:val="22"/>
          <w:lang w:eastAsia="zh-TW"/>
        </w:rPr>
      </w:pPr>
      <w:r>
        <w:rPr>
          <w:rFonts w:ascii="Calibri" w:eastAsiaTheme="minorEastAsia" w:hAnsi="Calibri"/>
          <w:szCs w:val="22"/>
          <w:lang w:eastAsia="zh-TW"/>
        </w:rPr>
        <w:t>References</w:t>
      </w:r>
    </w:p>
    <w:p w14:paraId="624DC20A" w14:textId="27D9010C" w:rsidR="000E6DF1" w:rsidRDefault="00191129" w:rsidP="000E6DF1">
      <w:pPr>
        <w:rPr>
          <w:lang w:val="en-GB"/>
        </w:rPr>
      </w:pPr>
      <w:r>
        <w:rPr>
          <w:lang w:val="en-GB"/>
        </w:rPr>
        <w:t>[1]</w:t>
      </w:r>
      <w:r w:rsidR="003806F3">
        <w:rPr>
          <w:lang w:val="en-GB"/>
        </w:rPr>
        <w:t xml:space="preserve"> </w:t>
      </w:r>
      <w:r w:rsidR="003806F3" w:rsidRPr="003806F3">
        <w:rPr>
          <w:lang w:val="en-GB"/>
        </w:rPr>
        <w:t>RP-181451</w:t>
      </w:r>
      <w:r w:rsidR="003806F3">
        <w:rPr>
          <w:lang w:val="en-GB"/>
        </w:rPr>
        <w:t xml:space="preserve">, </w:t>
      </w:r>
      <w:r w:rsidR="003806F3" w:rsidRPr="003806F3">
        <w:rPr>
          <w:lang w:val="en-GB"/>
        </w:rPr>
        <w:t>Rel-16 enhancements for NB-IoT</w:t>
      </w:r>
    </w:p>
    <w:p w14:paraId="5D98D499" w14:textId="77777777" w:rsidR="00191129" w:rsidRDefault="00191129" w:rsidP="000E6DF1">
      <w:pPr>
        <w:rPr>
          <w:lang w:val="en-GB"/>
        </w:rPr>
      </w:pPr>
    </w:p>
    <w:p w14:paraId="08475251" w14:textId="1C74ACE7" w:rsidR="00191129" w:rsidRDefault="00191129" w:rsidP="000E6DF1">
      <w:pPr>
        <w:rPr>
          <w:lang w:val="en-GB"/>
        </w:rPr>
      </w:pPr>
      <w:r>
        <w:rPr>
          <w:lang w:val="en-GB"/>
        </w:rPr>
        <w:t>[2]</w:t>
      </w:r>
      <w:r w:rsidR="003806F3">
        <w:rPr>
          <w:lang w:val="en-GB"/>
        </w:rPr>
        <w:t xml:space="preserve"> </w:t>
      </w:r>
      <w:r w:rsidR="003806F3" w:rsidRPr="00551605">
        <w:t>RP-172063</w:t>
      </w:r>
      <w:r w:rsidR="003806F3">
        <w:t xml:space="preserve">, </w:t>
      </w:r>
      <w:r w:rsidR="003806F3" w:rsidRPr="003806F3">
        <w:t>WID: Further NB-IoT enhancements</w:t>
      </w:r>
    </w:p>
    <w:bookmarkEnd w:id="0"/>
    <w:bookmarkEnd w:id="1"/>
    <w:bookmarkEnd w:id="2"/>
    <w:bookmarkEnd w:id="3"/>
    <w:bookmarkEnd w:id="4"/>
    <w:p w14:paraId="122ECFDD" w14:textId="77777777" w:rsidR="00191129" w:rsidRDefault="00191129" w:rsidP="000E6DF1">
      <w:pPr>
        <w:rPr>
          <w:lang w:val="en-GB"/>
        </w:rPr>
      </w:pPr>
    </w:p>
    <w:sectPr w:rsidR="00191129" w:rsidSect="00E70F1A">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367E2" w14:textId="77777777" w:rsidR="00F75D4A" w:rsidRDefault="00F75D4A">
      <w:pPr>
        <w:pStyle w:val="TAL"/>
      </w:pPr>
      <w:r>
        <w:separator/>
      </w:r>
    </w:p>
  </w:endnote>
  <w:endnote w:type="continuationSeparator" w:id="0">
    <w:p w14:paraId="40BCBD45" w14:textId="77777777" w:rsidR="00F75D4A" w:rsidRDefault="00F75D4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3F1F7B">
      <w:t>6</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9C1DF" w14:textId="77777777" w:rsidR="00F75D4A" w:rsidRDefault="00F75D4A">
      <w:pPr>
        <w:pStyle w:val="TAL"/>
      </w:pPr>
      <w:r>
        <w:separator/>
      </w:r>
    </w:p>
  </w:footnote>
  <w:footnote w:type="continuationSeparator" w:id="0">
    <w:p w14:paraId="79856B02" w14:textId="77777777" w:rsidR="00F75D4A" w:rsidRDefault="00F75D4A">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268B8"/>
    <w:multiLevelType w:val="hybridMultilevel"/>
    <w:tmpl w:val="847882DC"/>
    <w:lvl w:ilvl="0" w:tplc="D6DAF5A2">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E01A62"/>
    <w:multiLevelType w:val="hybridMultilevel"/>
    <w:tmpl w:val="95A43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AA5358"/>
    <w:multiLevelType w:val="hybridMultilevel"/>
    <w:tmpl w:val="3AD68012"/>
    <w:lvl w:ilvl="0" w:tplc="CBC0FD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A15E6E"/>
    <w:multiLevelType w:val="hybridMultilevel"/>
    <w:tmpl w:val="BEDC9944"/>
    <w:lvl w:ilvl="0" w:tplc="1FA44C76">
      <w:numFmt w:val="bullet"/>
      <w:lvlText w:val="-"/>
      <w:lvlJc w:val="left"/>
      <w:pPr>
        <w:ind w:left="1080" w:hanging="360"/>
      </w:pPr>
      <w:rPr>
        <w:rFonts w:ascii="Calibri" w:eastAsiaTheme="minorEastAsia"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702473"/>
    <w:multiLevelType w:val="hybridMultilevel"/>
    <w:tmpl w:val="3AD68012"/>
    <w:lvl w:ilvl="0" w:tplc="CBC0FD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15:restartNumberingAfterBreak="0">
    <w:nsid w:val="1CFE6185"/>
    <w:multiLevelType w:val="hybridMultilevel"/>
    <w:tmpl w:val="3A94B014"/>
    <w:lvl w:ilvl="0" w:tplc="B0F09C36">
      <w:numFmt w:val="bullet"/>
      <w:lvlText w:val="-"/>
      <w:lvlJc w:val="left"/>
      <w:pPr>
        <w:ind w:left="1080" w:hanging="360"/>
      </w:pPr>
      <w:rPr>
        <w:rFonts w:ascii="Calibri" w:eastAsiaTheme="minorEastAsia"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70F6819"/>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4F040E68"/>
    <w:multiLevelType w:val="multilevel"/>
    <w:tmpl w:val="04883E1A"/>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BC7187"/>
    <w:multiLevelType w:val="hybridMultilevel"/>
    <w:tmpl w:val="80D293E6"/>
    <w:lvl w:ilvl="0" w:tplc="9DB0D484">
      <w:start w:val="7"/>
      <w:numFmt w:val="bullet"/>
      <w:lvlText w:val="-"/>
      <w:lvlJc w:val="left"/>
      <w:pPr>
        <w:ind w:left="786" w:hanging="360"/>
      </w:pPr>
      <w:rPr>
        <w:rFonts w:ascii="Calibri" w:eastAsiaTheme="minorEastAsia" w:hAnsi="Calibri"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442A48"/>
    <w:multiLevelType w:val="hybridMultilevel"/>
    <w:tmpl w:val="84566350"/>
    <w:lvl w:ilvl="0" w:tplc="5E26548E">
      <w:numFmt w:val="bullet"/>
      <w:lvlText w:val="-"/>
      <w:lvlJc w:val="left"/>
      <w:pPr>
        <w:ind w:left="1619"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CA735E"/>
    <w:multiLevelType w:val="hybridMultilevel"/>
    <w:tmpl w:val="37BEC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8"/>
  </w:num>
  <w:num w:numId="3">
    <w:abstractNumId w:val="25"/>
  </w:num>
  <w:num w:numId="4">
    <w:abstractNumId w:val="16"/>
  </w:num>
  <w:num w:numId="5">
    <w:abstractNumId w:val="10"/>
  </w:num>
  <w:num w:numId="6">
    <w:abstractNumId w:val="8"/>
  </w:num>
  <w:num w:numId="7">
    <w:abstractNumId w:val="27"/>
  </w:num>
  <w:num w:numId="8">
    <w:abstractNumId w:val="26"/>
  </w:num>
  <w:num w:numId="9">
    <w:abstractNumId w:val="3"/>
  </w:num>
  <w:num w:numId="10">
    <w:abstractNumId w:val="4"/>
  </w:num>
  <w:num w:numId="11">
    <w:abstractNumId w:val="16"/>
  </w:num>
  <w:num w:numId="12">
    <w:abstractNumId w:val="2"/>
  </w:num>
  <w:num w:numId="13">
    <w:abstractNumId w:val="12"/>
  </w:num>
  <w:num w:numId="14">
    <w:abstractNumId w:val="21"/>
  </w:num>
  <w:num w:numId="15">
    <w:abstractNumId w:val="16"/>
  </w:num>
  <w:num w:numId="16">
    <w:abstractNumId w:val="16"/>
  </w:num>
  <w:num w:numId="17">
    <w:abstractNumId w:val="20"/>
  </w:num>
  <w:num w:numId="18">
    <w:abstractNumId w:val="16"/>
  </w:num>
  <w:num w:numId="19">
    <w:abstractNumId w:val="22"/>
  </w:num>
  <w:num w:numId="20">
    <w:abstractNumId w:val="16"/>
  </w:num>
  <w:num w:numId="21">
    <w:abstractNumId w:val="0"/>
  </w:num>
  <w:num w:numId="22">
    <w:abstractNumId w:val="11"/>
  </w:num>
  <w:num w:numId="23">
    <w:abstractNumId w:val="1"/>
  </w:num>
  <w:num w:numId="24">
    <w:abstractNumId w:val="13"/>
  </w:num>
  <w:num w:numId="25">
    <w:abstractNumId w:val="15"/>
  </w:num>
  <w:num w:numId="26">
    <w:abstractNumId w:val="18"/>
  </w:num>
  <w:num w:numId="27">
    <w:abstractNumId w:val="17"/>
  </w:num>
  <w:num w:numId="28">
    <w:abstractNumId w:val="6"/>
  </w:num>
  <w:num w:numId="29">
    <w:abstractNumId w:val="9"/>
  </w:num>
  <w:num w:numId="30">
    <w:abstractNumId w:val="23"/>
  </w:num>
  <w:num w:numId="31">
    <w:abstractNumId w:val="16"/>
  </w:num>
  <w:num w:numId="32">
    <w:abstractNumId w:val="16"/>
  </w:num>
  <w:num w:numId="33">
    <w:abstractNumId w:val="16"/>
  </w:num>
  <w:num w:numId="34">
    <w:abstractNumId w:val="16"/>
  </w:num>
  <w:num w:numId="35">
    <w:abstractNumId w:val="16"/>
  </w:num>
  <w:num w:numId="36">
    <w:abstractNumId w:val="24"/>
  </w:num>
  <w:num w:numId="37">
    <w:abstractNumId w:val="16"/>
  </w:num>
  <w:num w:numId="38">
    <w:abstractNumId w:val="16"/>
  </w:num>
  <w:num w:numId="39">
    <w:abstractNumId w:val="16"/>
  </w:num>
  <w:num w:numId="40">
    <w:abstractNumId w:val="19"/>
  </w:num>
  <w:num w:numId="41">
    <w:abstractNumId w:val="16"/>
  </w:num>
  <w:num w:numId="42">
    <w:abstractNumId w:val="16"/>
  </w:num>
  <w:num w:numId="43">
    <w:abstractNumId w:val="16"/>
  </w:num>
  <w:num w:numId="44">
    <w:abstractNumId w:val="7"/>
  </w:num>
  <w:num w:numId="4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4AB"/>
    <w:rsid w:val="00011713"/>
    <w:rsid w:val="00012144"/>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7172"/>
    <w:rsid w:val="00067257"/>
    <w:rsid w:val="00067A28"/>
    <w:rsid w:val="00067A64"/>
    <w:rsid w:val="00070781"/>
    <w:rsid w:val="00070B7C"/>
    <w:rsid w:val="00070C9C"/>
    <w:rsid w:val="00070F56"/>
    <w:rsid w:val="000713EB"/>
    <w:rsid w:val="0007267B"/>
    <w:rsid w:val="00072A47"/>
    <w:rsid w:val="00072DF5"/>
    <w:rsid w:val="00073F74"/>
    <w:rsid w:val="00073F79"/>
    <w:rsid w:val="00075D95"/>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A46"/>
    <w:rsid w:val="000B3C4A"/>
    <w:rsid w:val="000B43BD"/>
    <w:rsid w:val="000B5D35"/>
    <w:rsid w:val="000B5FB2"/>
    <w:rsid w:val="000B692C"/>
    <w:rsid w:val="000B6BD2"/>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6DF1"/>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129"/>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C4"/>
    <w:rsid w:val="001A07EB"/>
    <w:rsid w:val="001A099B"/>
    <w:rsid w:val="001A17A1"/>
    <w:rsid w:val="001A198F"/>
    <w:rsid w:val="001A2537"/>
    <w:rsid w:val="001A331F"/>
    <w:rsid w:val="001A3F63"/>
    <w:rsid w:val="001A4630"/>
    <w:rsid w:val="001A4749"/>
    <w:rsid w:val="001A4D64"/>
    <w:rsid w:val="001A513B"/>
    <w:rsid w:val="001A5590"/>
    <w:rsid w:val="001A6047"/>
    <w:rsid w:val="001A61D8"/>
    <w:rsid w:val="001A6389"/>
    <w:rsid w:val="001A7307"/>
    <w:rsid w:val="001A7FA6"/>
    <w:rsid w:val="001B04E1"/>
    <w:rsid w:val="001B0A5C"/>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B8B"/>
    <w:rsid w:val="001C3EF2"/>
    <w:rsid w:val="001C3FBF"/>
    <w:rsid w:val="001C4207"/>
    <w:rsid w:val="001C437E"/>
    <w:rsid w:val="001C4399"/>
    <w:rsid w:val="001C477D"/>
    <w:rsid w:val="001C4A72"/>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2CF"/>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C8F"/>
    <w:rsid w:val="00210F82"/>
    <w:rsid w:val="00211501"/>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19D7"/>
    <w:rsid w:val="00222989"/>
    <w:rsid w:val="00222D52"/>
    <w:rsid w:val="00222F85"/>
    <w:rsid w:val="00223EFD"/>
    <w:rsid w:val="00224016"/>
    <w:rsid w:val="0022431F"/>
    <w:rsid w:val="00224427"/>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6F"/>
    <w:rsid w:val="00234899"/>
    <w:rsid w:val="00234F18"/>
    <w:rsid w:val="002365F8"/>
    <w:rsid w:val="002407FF"/>
    <w:rsid w:val="00240FA7"/>
    <w:rsid w:val="00240FC8"/>
    <w:rsid w:val="00243012"/>
    <w:rsid w:val="00243E36"/>
    <w:rsid w:val="00244724"/>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6F9A"/>
    <w:rsid w:val="00280849"/>
    <w:rsid w:val="002817B9"/>
    <w:rsid w:val="00281A65"/>
    <w:rsid w:val="00281CC8"/>
    <w:rsid w:val="00282096"/>
    <w:rsid w:val="002824E6"/>
    <w:rsid w:val="00282F7A"/>
    <w:rsid w:val="0028383A"/>
    <w:rsid w:val="00283911"/>
    <w:rsid w:val="00285624"/>
    <w:rsid w:val="00285911"/>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C72B9"/>
    <w:rsid w:val="002C74FD"/>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67A"/>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54E"/>
    <w:rsid w:val="002F4D68"/>
    <w:rsid w:val="002F50A5"/>
    <w:rsid w:val="002F583E"/>
    <w:rsid w:val="002F5863"/>
    <w:rsid w:val="002F5CB3"/>
    <w:rsid w:val="002F5F5F"/>
    <w:rsid w:val="002F5F89"/>
    <w:rsid w:val="002F6377"/>
    <w:rsid w:val="002F64D7"/>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56"/>
    <w:rsid w:val="0031297B"/>
    <w:rsid w:val="00313246"/>
    <w:rsid w:val="00313353"/>
    <w:rsid w:val="003135B5"/>
    <w:rsid w:val="003138F1"/>
    <w:rsid w:val="003139B4"/>
    <w:rsid w:val="00314098"/>
    <w:rsid w:val="00314410"/>
    <w:rsid w:val="00314961"/>
    <w:rsid w:val="00314EB0"/>
    <w:rsid w:val="00314EF3"/>
    <w:rsid w:val="00316438"/>
    <w:rsid w:val="00316777"/>
    <w:rsid w:val="00316E02"/>
    <w:rsid w:val="003172F1"/>
    <w:rsid w:val="00320847"/>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5B3F"/>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2E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25F"/>
    <w:rsid w:val="00371485"/>
    <w:rsid w:val="00371837"/>
    <w:rsid w:val="00372A89"/>
    <w:rsid w:val="00373172"/>
    <w:rsid w:val="003732A6"/>
    <w:rsid w:val="00373C2C"/>
    <w:rsid w:val="003740B5"/>
    <w:rsid w:val="00374936"/>
    <w:rsid w:val="003749BB"/>
    <w:rsid w:val="00374CF0"/>
    <w:rsid w:val="003750AB"/>
    <w:rsid w:val="0037519E"/>
    <w:rsid w:val="00375343"/>
    <w:rsid w:val="00376539"/>
    <w:rsid w:val="0037658A"/>
    <w:rsid w:val="003768A4"/>
    <w:rsid w:val="00376CE7"/>
    <w:rsid w:val="003777D2"/>
    <w:rsid w:val="00377958"/>
    <w:rsid w:val="00377BCE"/>
    <w:rsid w:val="00377D43"/>
    <w:rsid w:val="003806F3"/>
    <w:rsid w:val="00380A52"/>
    <w:rsid w:val="00380EF5"/>
    <w:rsid w:val="00381138"/>
    <w:rsid w:val="003812C8"/>
    <w:rsid w:val="003813AB"/>
    <w:rsid w:val="0038143F"/>
    <w:rsid w:val="003815BE"/>
    <w:rsid w:val="00382770"/>
    <w:rsid w:val="00382CCC"/>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9F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A6C"/>
    <w:rsid w:val="003A326B"/>
    <w:rsid w:val="003A32DD"/>
    <w:rsid w:val="003A38BE"/>
    <w:rsid w:val="003A3D53"/>
    <w:rsid w:val="003A4040"/>
    <w:rsid w:val="003A40F7"/>
    <w:rsid w:val="003A4220"/>
    <w:rsid w:val="003A4A26"/>
    <w:rsid w:val="003A4A98"/>
    <w:rsid w:val="003A4DB4"/>
    <w:rsid w:val="003A4E3A"/>
    <w:rsid w:val="003A558B"/>
    <w:rsid w:val="003A56DA"/>
    <w:rsid w:val="003A5A48"/>
    <w:rsid w:val="003A5E90"/>
    <w:rsid w:val="003A611A"/>
    <w:rsid w:val="003A6719"/>
    <w:rsid w:val="003A6C5D"/>
    <w:rsid w:val="003B0108"/>
    <w:rsid w:val="003B024D"/>
    <w:rsid w:val="003B0A3F"/>
    <w:rsid w:val="003B20EA"/>
    <w:rsid w:val="003B23AA"/>
    <w:rsid w:val="003B2B5C"/>
    <w:rsid w:val="003B3285"/>
    <w:rsid w:val="003B44E3"/>
    <w:rsid w:val="003B5580"/>
    <w:rsid w:val="003B57AF"/>
    <w:rsid w:val="003B5B52"/>
    <w:rsid w:val="003B5D83"/>
    <w:rsid w:val="003B5E86"/>
    <w:rsid w:val="003B6704"/>
    <w:rsid w:val="003B7362"/>
    <w:rsid w:val="003B76C5"/>
    <w:rsid w:val="003C01B4"/>
    <w:rsid w:val="003C02C3"/>
    <w:rsid w:val="003C02E8"/>
    <w:rsid w:val="003C05F5"/>
    <w:rsid w:val="003C0DE8"/>
    <w:rsid w:val="003C1CA3"/>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1F7B"/>
    <w:rsid w:val="003F2CD3"/>
    <w:rsid w:val="003F2FC1"/>
    <w:rsid w:val="003F32B8"/>
    <w:rsid w:val="003F32BD"/>
    <w:rsid w:val="003F33A5"/>
    <w:rsid w:val="003F34B5"/>
    <w:rsid w:val="003F4580"/>
    <w:rsid w:val="003F45D9"/>
    <w:rsid w:val="003F4D4E"/>
    <w:rsid w:val="003F50FE"/>
    <w:rsid w:val="003F5B12"/>
    <w:rsid w:val="003F5E00"/>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27"/>
    <w:rsid w:val="00462493"/>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99E"/>
    <w:rsid w:val="00471AE3"/>
    <w:rsid w:val="00471B30"/>
    <w:rsid w:val="00471DE3"/>
    <w:rsid w:val="00473A85"/>
    <w:rsid w:val="00474A22"/>
    <w:rsid w:val="00474DF7"/>
    <w:rsid w:val="00474FE2"/>
    <w:rsid w:val="00475B6B"/>
    <w:rsid w:val="00476375"/>
    <w:rsid w:val="0047680C"/>
    <w:rsid w:val="00476D3E"/>
    <w:rsid w:val="004776E4"/>
    <w:rsid w:val="00477988"/>
    <w:rsid w:val="00477A6C"/>
    <w:rsid w:val="00477F9B"/>
    <w:rsid w:val="004806AD"/>
    <w:rsid w:val="00480872"/>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2CAE"/>
    <w:rsid w:val="004C3838"/>
    <w:rsid w:val="004C627F"/>
    <w:rsid w:val="004C6EF7"/>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D6F45"/>
    <w:rsid w:val="004D723B"/>
    <w:rsid w:val="004E0749"/>
    <w:rsid w:val="004E0762"/>
    <w:rsid w:val="004E0904"/>
    <w:rsid w:val="004E0AAD"/>
    <w:rsid w:val="004E1441"/>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4F716C"/>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12C"/>
    <w:rsid w:val="005132E3"/>
    <w:rsid w:val="00513A82"/>
    <w:rsid w:val="00513C1A"/>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3DC"/>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7F"/>
    <w:rsid w:val="00531292"/>
    <w:rsid w:val="00531581"/>
    <w:rsid w:val="00531A8B"/>
    <w:rsid w:val="00531E82"/>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2A6"/>
    <w:rsid w:val="0054738C"/>
    <w:rsid w:val="0054750C"/>
    <w:rsid w:val="00547B33"/>
    <w:rsid w:val="005500A1"/>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1"/>
    <w:rsid w:val="00561AF4"/>
    <w:rsid w:val="00561C4E"/>
    <w:rsid w:val="005621B4"/>
    <w:rsid w:val="005628B8"/>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99F"/>
    <w:rsid w:val="00574D25"/>
    <w:rsid w:val="005752C9"/>
    <w:rsid w:val="005757E6"/>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888"/>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11"/>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E17"/>
    <w:rsid w:val="005E35F5"/>
    <w:rsid w:val="005E3658"/>
    <w:rsid w:val="005E44FF"/>
    <w:rsid w:val="005E4C6A"/>
    <w:rsid w:val="005E5947"/>
    <w:rsid w:val="005E5A60"/>
    <w:rsid w:val="005E6E27"/>
    <w:rsid w:val="005E7A8F"/>
    <w:rsid w:val="005F0D2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D5B"/>
    <w:rsid w:val="005F4E91"/>
    <w:rsid w:val="005F5306"/>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67C"/>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99F"/>
    <w:rsid w:val="00610CE4"/>
    <w:rsid w:val="00611096"/>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0ECC"/>
    <w:rsid w:val="0062108D"/>
    <w:rsid w:val="006212A2"/>
    <w:rsid w:val="00621EAF"/>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22E"/>
    <w:rsid w:val="0062764D"/>
    <w:rsid w:val="00627D9A"/>
    <w:rsid w:val="00630138"/>
    <w:rsid w:val="00630DB7"/>
    <w:rsid w:val="006315CA"/>
    <w:rsid w:val="0063169B"/>
    <w:rsid w:val="00633653"/>
    <w:rsid w:val="00633745"/>
    <w:rsid w:val="00634DF3"/>
    <w:rsid w:val="0063541D"/>
    <w:rsid w:val="006357FC"/>
    <w:rsid w:val="00635A9D"/>
    <w:rsid w:val="00635F88"/>
    <w:rsid w:val="00636056"/>
    <w:rsid w:val="006365AE"/>
    <w:rsid w:val="006368E2"/>
    <w:rsid w:val="00636CB6"/>
    <w:rsid w:val="0063728B"/>
    <w:rsid w:val="0063784F"/>
    <w:rsid w:val="006400F7"/>
    <w:rsid w:val="0064076B"/>
    <w:rsid w:val="006408F0"/>
    <w:rsid w:val="00640AD6"/>
    <w:rsid w:val="00640F4B"/>
    <w:rsid w:val="0064154A"/>
    <w:rsid w:val="0064190C"/>
    <w:rsid w:val="00641DA6"/>
    <w:rsid w:val="006422FA"/>
    <w:rsid w:val="00642438"/>
    <w:rsid w:val="0064290F"/>
    <w:rsid w:val="00642DB6"/>
    <w:rsid w:val="0064319E"/>
    <w:rsid w:val="0064321E"/>
    <w:rsid w:val="006432CA"/>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1A6D"/>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146"/>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923"/>
    <w:rsid w:val="006A5EDB"/>
    <w:rsid w:val="006A6641"/>
    <w:rsid w:val="006A68E1"/>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F52"/>
    <w:rsid w:val="006C2F2E"/>
    <w:rsid w:val="006C35B6"/>
    <w:rsid w:val="006C3820"/>
    <w:rsid w:val="006C4772"/>
    <w:rsid w:val="006C47A7"/>
    <w:rsid w:val="006C4A84"/>
    <w:rsid w:val="006C5941"/>
    <w:rsid w:val="006C5AB2"/>
    <w:rsid w:val="006C6259"/>
    <w:rsid w:val="006C6317"/>
    <w:rsid w:val="006C6379"/>
    <w:rsid w:val="006C651A"/>
    <w:rsid w:val="006C6D79"/>
    <w:rsid w:val="006C6E4D"/>
    <w:rsid w:val="006C7607"/>
    <w:rsid w:val="006C76D7"/>
    <w:rsid w:val="006D1A57"/>
    <w:rsid w:val="006D1A99"/>
    <w:rsid w:val="006D1E2C"/>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0743"/>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D7D"/>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0D9"/>
    <w:rsid w:val="0075231F"/>
    <w:rsid w:val="00752654"/>
    <w:rsid w:val="00752E9B"/>
    <w:rsid w:val="007534E7"/>
    <w:rsid w:val="007538D3"/>
    <w:rsid w:val="00753A4E"/>
    <w:rsid w:val="00753A95"/>
    <w:rsid w:val="00754650"/>
    <w:rsid w:val="00754741"/>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361"/>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8E6"/>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34EA"/>
    <w:rsid w:val="007B3825"/>
    <w:rsid w:val="007B394A"/>
    <w:rsid w:val="007B4313"/>
    <w:rsid w:val="007B44DC"/>
    <w:rsid w:val="007B4FCD"/>
    <w:rsid w:val="007B53E3"/>
    <w:rsid w:val="007B7165"/>
    <w:rsid w:val="007C0642"/>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5F4"/>
    <w:rsid w:val="00810AD2"/>
    <w:rsid w:val="00810B26"/>
    <w:rsid w:val="00810C56"/>
    <w:rsid w:val="00811993"/>
    <w:rsid w:val="008120EF"/>
    <w:rsid w:val="00812570"/>
    <w:rsid w:val="00812F61"/>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747"/>
    <w:rsid w:val="008439A0"/>
    <w:rsid w:val="008439E8"/>
    <w:rsid w:val="00843AF3"/>
    <w:rsid w:val="00843FBC"/>
    <w:rsid w:val="00844375"/>
    <w:rsid w:val="00845398"/>
    <w:rsid w:val="008455D7"/>
    <w:rsid w:val="008456BA"/>
    <w:rsid w:val="008458E9"/>
    <w:rsid w:val="00845E56"/>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451"/>
    <w:rsid w:val="00876C05"/>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099"/>
    <w:rsid w:val="00891D0A"/>
    <w:rsid w:val="008924C0"/>
    <w:rsid w:val="00892B7E"/>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0274"/>
    <w:rsid w:val="008D0A09"/>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24F"/>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6A1"/>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0C1B"/>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6D8"/>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3E3"/>
    <w:rsid w:val="009434A5"/>
    <w:rsid w:val="009435BE"/>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B7"/>
    <w:rsid w:val="009566B1"/>
    <w:rsid w:val="009567EA"/>
    <w:rsid w:val="00957093"/>
    <w:rsid w:val="00957495"/>
    <w:rsid w:val="0096023B"/>
    <w:rsid w:val="009608E1"/>
    <w:rsid w:val="0096110A"/>
    <w:rsid w:val="00961385"/>
    <w:rsid w:val="00961A04"/>
    <w:rsid w:val="0096256B"/>
    <w:rsid w:val="009629D0"/>
    <w:rsid w:val="00963078"/>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2F8D"/>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8B4"/>
    <w:rsid w:val="009918C3"/>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21D1"/>
    <w:rsid w:val="009D4096"/>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395"/>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51A6"/>
    <w:rsid w:val="00A15755"/>
    <w:rsid w:val="00A159F3"/>
    <w:rsid w:val="00A15B8F"/>
    <w:rsid w:val="00A161BA"/>
    <w:rsid w:val="00A161E8"/>
    <w:rsid w:val="00A1634F"/>
    <w:rsid w:val="00A163DC"/>
    <w:rsid w:val="00A16EBA"/>
    <w:rsid w:val="00A16F7A"/>
    <w:rsid w:val="00A1719B"/>
    <w:rsid w:val="00A17436"/>
    <w:rsid w:val="00A204CB"/>
    <w:rsid w:val="00A20CE8"/>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3D8"/>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40DC"/>
    <w:rsid w:val="00B440E1"/>
    <w:rsid w:val="00B45230"/>
    <w:rsid w:val="00B461EE"/>
    <w:rsid w:val="00B470FA"/>
    <w:rsid w:val="00B47194"/>
    <w:rsid w:val="00B471B0"/>
    <w:rsid w:val="00B473E7"/>
    <w:rsid w:val="00B47657"/>
    <w:rsid w:val="00B504AD"/>
    <w:rsid w:val="00B505F2"/>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2C5"/>
    <w:rsid w:val="00B7154C"/>
    <w:rsid w:val="00B71A47"/>
    <w:rsid w:val="00B71A97"/>
    <w:rsid w:val="00B7208C"/>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51"/>
    <w:rsid w:val="00B94FD9"/>
    <w:rsid w:val="00B95576"/>
    <w:rsid w:val="00B9599C"/>
    <w:rsid w:val="00B95C14"/>
    <w:rsid w:val="00B96386"/>
    <w:rsid w:val="00B96849"/>
    <w:rsid w:val="00B96F67"/>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74F"/>
    <w:rsid w:val="00BA6A2E"/>
    <w:rsid w:val="00BA6CB2"/>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2CDE"/>
    <w:rsid w:val="00BC35A7"/>
    <w:rsid w:val="00BC3E61"/>
    <w:rsid w:val="00BC4056"/>
    <w:rsid w:val="00BC409B"/>
    <w:rsid w:val="00BC448F"/>
    <w:rsid w:val="00BC4A36"/>
    <w:rsid w:val="00BC5420"/>
    <w:rsid w:val="00BC562E"/>
    <w:rsid w:val="00BC5D79"/>
    <w:rsid w:val="00BC65A3"/>
    <w:rsid w:val="00BC65A9"/>
    <w:rsid w:val="00BC6673"/>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CB3"/>
    <w:rsid w:val="00BF7E51"/>
    <w:rsid w:val="00C0009C"/>
    <w:rsid w:val="00C00354"/>
    <w:rsid w:val="00C01273"/>
    <w:rsid w:val="00C018A5"/>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055"/>
    <w:rsid w:val="00C12291"/>
    <w:rsid w:val="00C12E04"/>
    <w:rsid w:val="00C134DC"/>
    <w:rsid w:val="00C13BC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C9"/>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6969"/>
    <w:rsid w:val="00C57751"/>
    <w:rsid w:val="00C57C91"/>
    <w:rsid w:val="00C57E31"/>
    <w:rsid w:val="00C57ED1"/>
    <w:rsid w:val="00C60569"/>
    <w:rsid w:val="00C60A7F"/>
    <w:rsid w:val="00C61555"/>
    <w:rsid w:val="00C61E58"/>
    <w:rsid w:val="00C62599"/>
    <w:rsid w:val="00C6267A"/>
    <w:rsid w:val="00C62A1D"/>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D4D"/>
    <w:rsid w:val="00C76F9C"/>
    <w:rsid w:val="00C773C6"/>
    <w:rsid w:val="00C7792B"/>
    <w:rsid w:val="00C800DB"/>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2C5"/>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1D9"/>
    <w:rsid w:val="00D22533"/>
    <w:rsid w:val="00D22CC8"/>
    <w:rsid w:val="00D22EC5"/>
    <w:rsid w:val="00D22FF7"/>
    <w:rsid w:val="00D23C4A"/>
    <w:rsid w:val="00D23C82"/>
    <w:rsid w:val="00D24025"/>
    <w:rsid w:val="00D24053"/>
    <w:rsid w:val="00D24054"/>
    <w:rsid w:val="00D2441D"/>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347"/>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4CED"/>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3BB"/>
    <w:rsid w:val="00DA5D92"/>
    <w:rsid w:val="00DA5EEF"/>
    <w:rsid w:val="00DA6C64"/>
    <w:rsid w:val="00DA714E"/>
    <w:rsid w:val="00DB0750"/>
    <w:rsid w:val="00DB0A15"/>
    <w:rsid w:val="00DB0AA4"/>
    <w:rsid w:val="00DB0DF6"/>
    <w:rsid w:val="00DB1797"/>
    <w:rsid w:val="00DB1CCA"/>
    <w:rsid w:val="00DB1CD3"/>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4DB"/>
    <w:rsid w:val="00DC4B2D"/>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17C"/>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C1B"/>
    <w:rsid w:val="00E00FB5"/>
    <w:rsid w:val="00E00FC9"/>
    <w:rsid w:val="00E01098"/>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B27"/>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4161"/>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360"/>
    <w:rsid w:val="00E77DBE"/>
    <w:rsid w:val="00E80D70"/>
    <w:rsid w:val="00E821AF"/>
    <w:rsid w:val="00E82F94"/>
    <w:rsid w:val="00E834C7"/>
    <w:rsid w:val="00E83650"/>
    <w:rsid w:val="00E83D08"/>
    <w:rsid w:val="00E8437F"/>
    <w:rsid w:val="00E85055"/>
    <w:rsid w:val="00E850F1"/>
    <w:rsid w:val="00E85336"/>
    <w:rsid w:val="00E8550E"/>
    <w:rsid w:val="00E8598F"/>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060"/>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0C96"/>
    <w:rsid w:val="00EF16A7"/>
    <w:rsid w:val="00EF1CC2"/>
    <w:rsid w:val="00EF220B"/>
    <w:rsid w:val="00EF23A7"/>
    <w:rsid w:val="00EF2414"/>
    <w:rsid w:val="00EF2887"/>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1DBA"/>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5DF"/>
    <w:rsid w:val="00F509C0"/>
    <w:rsid w:val="00F521E4"/>
    <w:rsid w:val="00F52F81"/>
    <w:rsid w:val="00F53371"/>
    <w:rsid w:val="00F533D0"/>
    <w:rsid w:val="00F536FD"/>
    <w:rsid w:val="00F53BB9"/>
    <w:rsid w:val="00F543DC"/>
    <w:rsid w:val="00F54649"/>
    <w:rsid w:val="00F54757"/>
    <w:rsid w:val="00F54AF4"/>
    <w:rsid w:val="00F54FA4"/>
    <w:rsid w:val="00F555C0"/>
    <w:rsid w:val="00F55C34"/>
    <w:rsid w:val="00F56F82"/>
    <w:rsid w:val="00F57005"/>
    <w:rsid w:val="00F57135"/>
    <w:rsid w:val="00F57C83"/>
    <w:rsid w:val="00F57E80"/>
    <w:rsid w:val="00F601F1"/>
    <w:rsid w:val="00F60935"/>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5D4A"/>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B18"/>
    <w:rsid w:val="00FA1DCF"/>
    <w:rsid w:val="00FA1E17"/>
    <w:rsid w:val="00FA2A6F"/>
    <w:rsid w:val="00FA55DC"/>
    <w:rsid w:val="00FA5984"/>
    <w:rsid w:val="00FA5A2D"/>
    <w:rsid w:val="00FA7068"/>
    <w:rsid w:val="00FA767B"/>
    <w:rsid w:val="00FA7D4C"/>
    <w:rsid w:val="00FB00A7"/>
    <w:rsid w:val="00FB057F"/>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4011"/>
    <w:rsid w:val="00FC46B9"/>
    <w:rsid w:val="00FC4EC5"/>
    <w:rsid w:val="00FC593D"/>
    <w:rsid w:val="00FC5BF3"/>
    <w:rsid w:val="00FC5F32"/>
    <w:rsid w:val="00FC6344"/>
    <w:rsid w:val="00FC64C5"/>
    <w:rsid w:val="00FC78E7"/>
    <w:rsid w:val="00FC7DCE"/>
    <w:rsid w:val="00FD0390"/>
    <w:rsid w:val="00FD0467"/>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E6C"/>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A2EAB614-648A-49FA-9CF7-4DBFBE5E0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uiPriority w:val="35"/>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paragraph" w:customStyle="1" w:styleId="B-Body">
    <w:name w:val="B-Body"/>
    <w:link w:val="B-BodyChar"/>
    <w:uiPriority w:val="30"/>
    <w:qFormat/>
    <w:rsid w:val="003A56DA"/>
    <w:pPr>
      <w:tabs>
        <w:tab w:val="left" w:pos="2160"/>
      </w:tabs>
      <w:spacing w:before="120" w:after="40"/>
      <w:ind w:left="720"/>
    </w:pPr>
    <w:rPr>
      <w:rFonts w:eastAsia="SimSun"/>
      <w:sz w:val="22"/>
      <w:lang w:eastAsia="en-US"/>
    </w:rPr>
  </w:style>
  <w:style w:type="character" w:customStyle="1" w:styleId="B-BodyChar">
    <w:name w:val="B-Body Char"/>
    <w:basedOn w:val="a0"/>
    <w:link w:val="B-Body"/>
    <w:uiPriority w:val="30"/>
    <w:rsid w:val="003A56DA"/>
    <w:rPr>
      <w:rFonts w:eastAsia="SimSun"/>
      <w:sz w:val="22"/>
      <w:lang w:eastAsia="en-US"/>
    </w:rPr>
  </w:style>
  <w:style w:type="paragraph" w:customStyle="1" w:styleId="Proposal">
    <w:name w:val="Proposal"/>
    <w:basedOn w:val="afb"/>
    <w:link w:val="ProposalChar"/>
    <w:qFormat/>
    <w:rsid w:val="003A56DA"/>
    <w:pPr>
      <w:numPr>
        <w:numId w:val="21"/>
      </w:numPr>
      <w:spacing w:before="240" w:after="240" w:line="360" w:lineRule="auto"/>
    </w:pPr>
    <w:rPr>
      <w:rFonts w:eastAsia="Times New Roman"/>
      <w:b/>
      <w:lang w:eastAsia="en-US"/>
    </w:rPr>
  </w:style>
  <w:style w:type="character" w:customStyle="1" w:styleId="ProposalChar">
    <w:name w:val="Proposal Char"/>
    <w:basedOn w:val="afc"/>
    <w:link w:val="Proposal"/>
    <w:rsid w:val="003A56DA"/>
    <w:rPr>
      <w:rFonts w:eastAsia="Times New Roman"/>
      <w:b/>
      <w:lang w:val="en-GB" w:eastAsia="en-US"/>
    </w:rPr>
  </w:style>
  <w:style w:type="paragraph" w:customStyle="1" w:styleId="Observation">
    <w:name w:val="Observation"/>
    <w:basedOn w:val="Proposal"/>
    <w:link w:val="ObservationChar"/>
    <w:qFormat/>
    <w:rsid w:val="008D0A09"/>
    <w:pPr>
      <w:numPr>
        <w:numId w:val="26"/>
      </w:numPr>
      <w:tabs>
        <w:tab w:val="left" w:pos="1701"/>
      </w:tabs>
      <w:spacing w:before="0" w:after="120" w:line="240" w:lineRule="auto"/>
      <w:ind w:left="1701" w:hanging="1701"/>
      <w:contextualSpacing w:val="0"/>
      <w:jc w:val="both"/>
    </w:pPr>
    <w:rPr>
      <w:rFonts w:ascii="Arial" w:hAnsi="Arial"/>
      <w:bCs/>
      <w:lang w:eastAsia="zh-CN"/>
    </w:rPr>
  </w:style>
  <w:style w:type="character" w:customStyle="1" w:styleId="ObservationChar">
    <w:name w:val="Observation Char"/>
    <w:basedOn w:val="B-BodyChar"/>
    <w:link w:val="Observation"/>
    <w:rsid w:val="00371837"/>
    <w:rPr>
      <w:rFonts w:ascii="Arial" w:eastAsia="Times New Roman" w:hAnsi="Arial"/>
      <w:b/>
      <w:bCs/>
      <w:sz w:val="22"/>
      <w:lang w:val="en-GB" w:eastAsia="zh-CN"/>
    </w:rPr>
  </w:style>
  <w:style w:type="character" w:customStyle="1" w:styleId="TFChar">
    <w:name w:val="TF Char"/>
    <w:basedOn w:val="a0"/>
    <w:link w:val="TF"/>
    <w:rsid w:val="007B716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A8FFE6-3C41-489A-B4DB-8D0A35309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1615</Words>
  <Characters>9209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Debby Lin (林香君)</cp:lastModifiedBy>
  <cp:revision>2</cp:revision>
  <cp:lastPrinted>2007-12-21T04:58:00Z</cp:lastPrinted>
  <dcterms:created xsi:type="dcterms:W3CDTF">2018-09-28T06:39:00Z</dcterms:created>
  <dcterms:modified xsi:type="dcterms:W3CDTF">2018-09-28T06:39:00Z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