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5F73BEAA"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Pr>
          <w:sz w:val="24"/>
          <w:lang w:val="en-GB" w:eastAsia="zh-CN"/>
        </w:rPr>
        <w:t>R2-</w:t>
      </w:r>
      <w:r w:rsidR="00135D85">
        <w:rPr>
          <w:sz w:val="24"/>
          <w:lang w:val="en-GB" w:eastAsia="zh-CN"/>
        </w:rPr>
        <w:t>1814056</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5AC48E93"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160F7D">
        <w:rPr>
          <w:rFonts w:eastAsia="SimSun" w:cs="Arial"/>
          <w:b/>
          <w:bCs/>
          <w:sz w:val="24"/>
          <w:lang w:val="en-US"/>
        </w:rPr>
        <w:t>11.4.2.3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04AD44E"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A09B3">
        <w:rPr>
          <w:rFonts w:ascii="Arial" w:hAnsi="Arial" w:cs="Arial"/>
          <w:b/>
          <w:bCs/>
          <w:sz w:val="24"/>
        </w:rPr>
        <w:t>Connection management aspects for</w:t>
      </w:r>
      <w:r w:rsidR="00EA395E">
        <w:rPr>
          <w:rFonts w:ascii="Arial" w:hAnsi="Arial" w:cs="Arial"/>
          <w:b/>
          <w:bCs/>
          <w:sz w:val="24"/>
        </w:rPr>
        <w:t xml:space="preserve"> </w:t>
      </w:r>
      <w:r w:rsidR="000A09B3">
        <w:rPr>
          <w:rFonts w:ascii="Arial" w:hAnsi="Arial" w:cs="Arial"/>
          <w:b/>
          <w:bCs/>
          <w:sz w:val="24"/>
        </w:rPr>
        <w:t xml:space="preserve">NR </w:t>
      </w:r>
      <w:r w:rsidR="00EA395E">
        <w:rPr>
          <w:rFonts w:ascii="Arial" w:hAnsi="Arial" w:cs="Arial"/>
          <w:b/>
          <w:bCs/>
          <w:sz w:val="24"/>
        </w:rPr>
        <w:t>V2X</w:t>
      </w:r>
      <w:r w:rsidR="000A09B3">
        <w:rPr>
          <w:rFonts w:ascii="Arial" w:hAnsi="Arial" w:cs="Arial"/>
          <w:b/>
          <w:bCs/>
          <w:sz w:val="24"/>
        </w:rPr>
        <w:t xml:space="preserve"> </w:t>
      </w:r>
      <w:r w:rsidR="005E2748">
        <w:rPr>
          <w:rFonts w:ascii="Arial" w:hAnsi="Arial" w:cs="Arial"/>
          <w:b/>
          <w:bCs/>
          <w:sz w:val="24"/>
        </w:rPr>
        <w:t>SL</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5B937228" w:rsidR="00B81256" w:rsidRDefault="00805D5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Connection/session management for enabling unicast/groupcast communication over sidelink seems to be a key feature of NR V2X</w:t>
      </w:r>
      <w:r w:rsidR="00BD67D0">
        <w:rPr>
          <w:rFonts w:ascii="Times New Roman" w:hAnsi="Times New Roman"/>
          <w:sz w:val="20"/>
          <w:szCs w:val="20"/>
          <w:lang w:eastAsia="zh-CN"/>
        </w:rPr>
        <w:t xml:space="preserve"> </w:t>
      </w:r>
      <w:sdt>
        <w:sdtPr>
          <w:rPr>
            <w:rFonts w:ascii="Times New Roman" w:hAnsi="Times New Roman"/>
            <w:sz w:val="20"/>
            <w:szCs w:val="20"/>
            <w:lang w:eastAsia="zh-CN"/>
          </w:rPr>
          <w:id w:val="934714190"/>
          <w:citation/>
        </w:sdtPr>
        <w:sdtEndPr/>
        <w:sdtContent>
          <w:r w:rsidR="00927E8A">
            <w:rPr>
              <w:rFonts w:ascii="Times New Roman" w:hAnsi="Times New Roman"/>
              <w:sz w:val="20"/>
              <w:szCs w:val="20"/>
              <w:lang w:eastAsia="zh-CN"/>
            </w:rPr>
            <w:fldChar w:fldCharType="begin"/>
          </w:r>
          <w:r w:rsidR="00927E8A">
            <w:rPr>
              <w:rFonts w:ascii="Times New Roman" w:hAnsi="Times New Roman"/>
              <w:sz w:val="20"/>
              <w:szCs w:val="20"/>
              <w:lang w:eastAsia="zh-CN"/>
            </w:rPr>
            <w:instrText xml:space="preserve"> CITATION NRv2XSI \l 1033 </w:instrText>
          </w:r>
          <w:r w:rsidR="00927E8A">
            <w:rPr>
              <w:rFonts w:ascii="Times New Roman" w:hAnsi="Times New Roman"/>
              <w:sz w:val="20"/>
              <w:szCs w:val="20"/>
              <w:lang w:eastAsia="zh-CN"/>
            </w:rPr>
            <w:fldChar w:fldCharType="separate"/>
          </w:r>
          <w:r w:rsidR="00682BFF" w:rsidRPr="00682BFF">
            <w:rPr>
              <w:rFonts w:ascii="Times New Roman" w:hAnsi="Times New Roman"/>
              <w:noProof/>
              <w:sz w:val="20"/>
              <w:szCs w:val="20"/>
              <w:lang w:eastAsia="zh-CN"/>
            </w:rPr>
            <w:t>[1]</w:t>
          </w:r>
          <w:r w:rsidR="00927E8A">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r w:rsidR="002C70A1">
        <w:rPr>
          <w:rFonts w:ascii="Times New Roman" w:hAnsi="Times New Roman"/>
          <w:sz w:val="20"/>
          <w:szCs w:val="20"/>
          <w:lang w:eastAsia="ja-JP"/>
        </w:rPr>
        <w:t xml:space="preserve">In this </w:t>
      </w:r>
      <w:r w:rsidR="00927E8A">
        <w:rPr>
          <w:rFonts w:ascii="Times New Roman" w:hAnsi="Times New Roman"/>
          <w:sz w:val="20"/>
          <w:szCs w:val="20"/>
          <w:lang w:eastAsia="ja-JP"/>
        </w:rPr>
        <w:t>contribution</w:t>
      </w:r>
      <w:r w:rsidR="002C70A1">
        <w:rPr>
          <w:rFonts w:ascii="Times New Roman" w:hAnsi="Times New Roman"/>
          <w:sz w:val="20"/>
          <w:szCs w:val="20"/>
          <w:lang w:eastAsia="ja-JP"/>
        </w:rPr>
        <w:t xml:space="preserve">, we discuss the AS layer impacts </w:t>
      </w:r>
      <w:r w:rsidR="00927E8A">
        <w:rPr>
          <w:rFonts w:ascii="Times New Roman" w:hAnsi="Times New Roman"/>
          <w:sz w:val="20"/>
          <w:szCs w:val="20"/>
          <w:lang w:eastAsia="ja-JP"/>
        </w:rPr>
        <w:t>of</w:t>
      </w:r>
      <w:r w:rsidR="002C70A1">
        <w:rPr>
          <w:rFonts w:ascii="Times New Roman" w:hAnsi="Times New Roman"/>
          <w:sz w:val="20"/>
          <w:szCs w:val="20"/>
          <w:lang w:eastAsia="ja-JP"/>
        </w:rPr>
        <w:t xml:space="preserve"> supporting this connection management feature, considering the discovery, set up and operational phases. For a more generalized discussion on how this can be </w:t>
      </w:r>
      <w:r w:rsidR="00927E8A">
        <w:rPr>
          <w:rFonts w:ascii="Times New Roman" w:hAnsi="Times New Roman"/>
          <w:sz w:val="20"/>
          <w:szCs w:val="20"/>
          <w:lang w:eastAsia="ja-JP"/>
        </w:rPr>
        <w:t>performed</w:t>
      </w:r>
      <w:r w:rsidR="002C70A1">
        <w:rPr>
          <w:rFonts w:ascii="Times New Roman" w:hAnsi="Times New Roman"/>
          <w:sz w:val="20"/>
          <w:szCs w:val="20"/>
          <w:lang w:eastAsia="ja-JP"/>
        </w:rPr>
        <w:t xml:space="preserve"> over </w:t>
      </w:r>
      <w:r w:rsidR="00927E8A">
        <w:rPr>
          <w:rFonts w:ascii="Times New Roman" w:hAnsi="Times New Roman"/>
          <w:sz w:val="20"/>
          <w:szCs w:val="20"/>
          <w:lang w:eastAsia="ja-JP"/>
        </w:rPr>
        <w:t xml:space="preserve">NR </w:t>
      </w:r>
      <w:r w:rsidR="002C70A1">
        <w:rPr>
          <w:rFonts w:ascii="Times New Roman" w:hAnsi="Times New Roman"/>
          <w:sz w:val="20"/>
          <w:szCs w:val="20"/>
          <w:lang w:eastAsia="ja-JP"/>
        </w:rPr>
        <w:t xml:space="preserve">sidelink, please consult our companion </w:t>
      </w:r>
      <w:r w:rsidR="00682BFF">
        <w:rPr>
          <w:rFonts w:ascii="Times New Roman" w:hAnsi="Times New Roman"/>
          <w:sz w:val="20"/>
          <w:szCs w:val="20"/>
          <w:lang w:eastAsia="ja-JP"/>
        </w:rPr>
        <w:t>contribution</w:t>
      </w:r>
      <w:sdt>
        <w:sdtPr>
          <w:rPr>
            <w:rFonts w:ascii="Times New Roman" w:hAnsi="Times New Roman"/>
            <w:sz w:val="20"/>
            <w:szCs w:val="20"/>
            <w:lang w:eastAsia="ja-JP"/>
          </w:rPr>
          <w:id w:val="570783341"/>
          <w:citation/>
        </w:sdtPr>
        <w:sdtEndPr/>
        <w:sdtContent>
          <w:r w:rsidR="00927E8A">
            <w:rPr>
              <w:rFonts w:ascii="Times New Roman" w:hAnsi="Times New Roman"/>
              <w:sz w:val="20"/>
              <w:szCs w:val="20"/>
              <w:lang w:eastAsia="ja-JP"/>
            </w:rPr>
            <w:fldChar w:fldCharType="begin"/>
          </w:r>
          <w:r w:rsidR="00DF27D3">
            <w:rPr>
              <w:rFonts w:ascii="Times New Roman" w:hAnsi="Times New Roman"/>
              <w:sz w:val="20"/>
              <w:szCs w:val="20"/>
              <w:lang w:eastAsia="ja-JP"/>
            </w:rPr>
            <w:instrText xml:space="preserve">CITATION unicastgroupcastdesing \l 1033 </w:instrText>
          </w:r>
          <w:r w:rsidR="00927E8A">
            <w:rPr>
              <w:rFonts w:ascii="Times New Roman" w:hAnsi="Times New Roman"/>
              <w:sz w:val="20"/>
              <w:szCs w:val="20"/>
              <w:lang w:eastAsia="ja-JP"/>
            </w:rPr>
            <w:fldChar w:fldCharType="separate"/>
          </w:r>
          <w:r w:rsidR="00682BFF">
            <w:rPr>
              <w:rFonts w:ascii="Times New Roman" w:hAnsi="Times New Roman"/>
              <w:noProof/>
              <w:sz w:val="20"/>
              <w:szCs w:val="20"/>
              <w:lang w:eastAsia="ja-JP"/>
            </w:rPr>
            <w:t xml:space="preserve"> </w:t>
          </w:r>
          <w:r w:rsidR="00682BFF" w:rsidRPr="00682BFF">
            <w:rPr>
              <w:rFonts w:ascii="Times New Roman" w:hAnsi="Times New Roman"/>
              <w:noProof/>
              <w:sz w:val="20"/>
              <w:szCs w:val="20"/>
              <w:lang w:eastAsia="ja-JP"/>
            </w:rPr>
            <w:t>[2]</w:t>
          </w:r>
          <w:r w:rsidR="00927E8A">
            <w:rPr>
              <w:rFonts w:ascii="Times New Roman" w:hAnsi="Times New Roman"/>
              <w:sz w:val="20"/>
              <w:szCs w:val="20"/>
              <w:lang w:eastAsia="ja-JP"/>
            </w:rPr>
            <w:fldChar w:fldCharType="end"/>
          </w:r>
        </w:sdtContent>
      </w:sdt>
      <w:r w:rsidR="002C70A1">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FC4D2DF" w14:textId="0B3B8572" w:rsidR="00D5233B" w:rsidRPr="000A09B3" w:rsidRDefault="000A09B3"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AS Layer design considerations for connection management</w:t>
      </w:r>
    </w:p>
    <w:p w14:paraId="220C5EAE" w14:textId="77777777" w:rsidR="00927E8A" w:rsidRDefault="00927E8A" w:rsidP="00305CD5">
      <w:pPr>
        <w:rPr>
          <w:rFonts w:ascii="Times New Roman" w:hAnsi="Times New Roman"/>
          <w:sz w:val="20"/>
          <w:lang w:val="en-GB" w:eastAsia="zh-CN"/>
        </w:rPr>
      </w:pPr>
    </w:p>
    <w:p w14:paraId="797FDC82" w14:textId="4C8FC7D4" w:rsidR="00F066D7" w:rsidRDefault="00927E8A" w:rsidP="00305CD5">
      <w:pPr>
        <w:rPr>
          <w:rFonts w:ascii="Times New Roman" w:hAnsi="Times New Roman"/>
          <w:sz w:val="20"/>
          <w:lang w:val="en-GB" w:eastAsia="zh-CN"/>
        </w:rPr>
      </w:pPr>
      <w:r>
        <w:rPr>
          <w:rFonts w:ascii="Times New Roman" w:hAnsi="Times New Roman"/>
          <w:sz w:val="20"/>
          <w:lang w:val="en-GB" w:eastAsia="zh-CN"/>
        </w:rPr>
        <w:t>Assuming that unicast and groupcast operation is supported over NR sidelink</w:t>
      </w:r>
      <w:r w:rsidR="000B5647">
        <w:rPr>
          <w:rFonts w:ascii="Times New Roman" w:hAnsi="Times New Roman"/>
          <w:sz w:val="20"/>
          <w:lang w:val="en-GB" w:eastAsia="zh-CN"/>
        </w:rPr>
        <w:t xml:space="preserve">, </w:t>
      </w:r>
      <w:r>
        <w:rPr>
          <w:rFonts w:ascii="Times New Roman" w:hAnsi="Times New Roman"/>
          <w:sz w:val="20"/>
          <w:lang w:val="en-GB" w:eastAsia="zh-CN"/>
        </w:rPr>
        <w:t xml:space="preserve">based on preliminary discussions in SA2, </w:t>
      </w:r>
      <w:r w:rsidR="000B5647">
        <w:rPr>
          <w:rFonts w:ascii="Times New Roman" w:hAnsi="Times New Roman"/>
          <w:sz w:val="20"/>
          <w:lang w:val="en-GB" w:eastAsia="zh-CN"/>
        </w:rPr>
        <w:t>it can be assumed that the connection management procedures are in the scope of the upper layer and that AS layer can be provided with the relevant L2 identifiers for transmission of unicast/groupcast messages over sidelink</w:t>
      </w:r>
      <w:sdt>
        <w:sdtPr>
          <w:rPr>
            <w:rFonts w:ascii="Times New Roman" w:hAnsi="Times New Roman"/>
            <w:sz w:val="20"/>
            <w:lang w:val="en-GB" w:eastAsia="zh-CN"/>
          </w:rPr>
          <w:id w:val="1226647667"/>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23786 \l 1033 </w:instrText>
          </w:r>
          <w:r>
            <w:rPr>
              <w:rFonts w:ascii="Times New Roman" w:hAnsi="Times New Roman"/>
              <w:sz w:val="20"/>
              <w:lang w:val="en-GB" w:eastAsia="zh-CN"/>
            </w:rPr>
            <w:fldChar w:fldCharType="separate"/>
          </w:r>
          <w:r w:rsidR="00682BFF">
            <w:rPr>
              <w:rFonts w:ascii="Times New Roman" w:hAnsi="Times New Roman"/>
              <w:noProof/>
              <w:sz w:val="20"/>
              <w:lang w:eastAsia="zh-CN"/>
            </w:rPr>
            <w:t xml:space="preserve"> </w:t>
          </w:r>
          <w:r w:rsidR="00682BFF" w:rsidRPr="00682BFF">
            <w:rPr>
              <w:rFonts w:ascii="Times New Roman" w:hAnsi="Times New Roman"/>
              <w:noProof/>
              <w:sz w:val="20"/>
              <w:lang w:eastAsia="zh-CN"/>
            </w:rPr>
            <w:t>[3]</w:t>
          </w:r>
          <w:r>
            <w:rPr>
              <w:rFonts w:ascii="Times New Roman" w:hAnsi="Times New Roman"/>
              <w:sz w:val="20"/>
              <w:lang w:val="en-GB" w:eastAsia="zh-CN"/>
            </w:rPr>
            <w:fldChar w:fldCharType="end"/>
          </w:r>
        </w:sdtContent>
      </w:sdt>
      <w:r w:rsidR="000B5647">
        <w:rPr>
          <w:rFonts w:ascii="Times New Roman" w:hAnsi="Times New Roman"/>
          <w:sz w:val="20"/>
          <w:lang w:val="en-GB" w:eastAsia="zh-CN"/>
        </w:rPr>
        <w:t xml:space="preserve">. </w:t>
      </w:r>
      <w:r w:rsidR="00954A13">
        <w:rPr>
          <w:rFonts w:ascii="Times New Roman" w:hAnsi="Times New Roman"/>
          <w:sz w:val="20"/>
          <w:lang w:val="en-GB" w:eastAsia="zh-CN"/>
        </w:rPr>
        <w:t xml:space="preserve">Then, from RAN2 point of view, an essential aspect for discussion is </w:t>
      </w:r>
      <w:r w:rsidR="00954A13" w:rsidRPr="00954A13">
        <w:rPr>
          <w:rFonts w:ascii="Times New Roman" w:hAnsi="Times New Roman"/>
          <w:sz w:val="20"/>
          <w:lang w:val="en-GB" w:eastAsia="zh-CN"/>
        </w:rPr>
        <w:t xml:space="preserve">the </w:t>
      </w:r>
      <w:r w:rsidR="00954A13">
        <w:rPr>
          <w:rFonts w:ascii="Times New Roman" w:hAnsi="Times New Roman"/>
          <w:sz w:val="20"/>
          <w:lang w:val="en-GB" w:eastAsia="zh-CN"/>
        </w:rPr>
        <w:t xml:space="preserve">usage of </w:t>
      </w:r>
      <w:r w:rsidR="00954A13" w:rsidRPr="00954A13">
        <w:rPr>
          <w:rFonts w:ascii="Times New Roman" w:hAnsi="Times New Roman"/>
          <w:sz w:val="20"/>
          <w:lang w:val="en-GB" w:eastAsia="zh-CN"/>
        </w:rPr>
        <w:t>destination L2 ID address space</w:t>
      </w:r>
      <w:r w:rsidR="00954A13">
        <w:rPr>
          <w:rFonts w:ascii="Times New Roman" w:hAnsi="Times New Roman"/>
          <w:sz w:val="20"/>
          <w:lang w:val="en-GB" w:eastAsia="zh-CN"/>
        </w:rPr>
        <w:t xml:space="preserve"> for unicast/groupcast and broadcast. </w:t>
      </w:r>
      <w:r w:rsidR="00A10259">
        <w:rPr>
          <w:rFonts w:ascii="Times New Roman" w:hAnsi="Times New Roman"/>
          <w:sz w:val="20"/>
          <w:lang w:val="en-GB" w:eastAsia="zh-CN"/>
        </w:rPr>
        <w:t>Unlike LTE V2X sidelink,</w:t>
      </w:r>
      <w:r w:rsidR="00954A13">
        <w:rPr>
          <w:rFonts w:ascii="Times New Roman" w:hAnsi="Times New Roman"/>
          <w:sz w:val="20"/>
          <w:lang w:val="en-GB" w:eastAsia="zh-CN"/>
        </w:rPr>
        <w:t xml:space="preserve"> in order to distinguish between unicast and groupcast case, some additional information </w:t>
      </w:r>
      <w:r>
        <w:rPr>
          <w:rFonts w:ascii="Times New Roman" w:hAnsi="Times New Roman"/>
          <w:sz w:val="20"/>
          <w:lang w:val="en-GB" w:eastAsia="zh-CN"/>
        </w:rPr>
        <w:t xml:space="preserve">then </w:t>
      </w:r>
      <w:r w:rsidR="00954A13">
        <w:rPr>
          <w:rFonts w:ascii="Times New Roman" w:hAnsi="Times New Roman"/>
          <w:sz w:val="20"/>
          <w:lang w:val="en-GB" w:eastAsia="zh-CN"/>
        </w:rPr>
        <w:t xml:space="preserve">needs to be introduced to </w:t>
      </w:r>
      <w:r w:rsidR="00A10259">
        <w:rPr>
          <w:rFonts w:ascii="Times New Roman" w:hAnsi="Times New Roman"/>
          <w:sz w:val="20"/>
          <w:lang w:val="en-GB" w:eastAsia="zh-CN"/>
        </w:rPr>
        <w:t xml:space="preserve">use </w:t>
      </w:r>
      <w:r w:rsidR="00954A13">
        <w:rPr>
          <w:rFonts w:ascii="Times New Roman" w:hAnsi="Times New Roman"/>
          <w:sz w:val="20"/>
          <w:lang w:val="en-GB" w:eastAsia="zh-CN"/>
        </w:rPr>
        <w:t>the L2 ID space</w:t>
      </w:r>
      <w:r w:rsidR="00A10259">
        <w:rPr>
          <w:rFonts w:ascii="Times New Roman" w:hAnsi="Times New Roman"/>
          <w:sz w:val="20"/>
          <w:lang w:val="en-GB" w:eastAsia="zh-CN"/>
        </w:rPr>
        <w:t xml:space="preserve"> more efficiently</w:t>
      </w:r>
      <w:r w:rsidR="00954A13">
        <w:rPr>
          <w:rFonts w:ascii="Times New Roman" w:hAnsi="Times New Roman"/>
          <w:sz w:val="20"/>
          <w:lang w:val="en-GB" w:eastAsia="zh-CN"/>
        </w:rPr>
        <w:t xml:space="preserve">. </w:t>
      </w:r>
      <w:r w:rsidR="00260FE6">
        <w:rPr>
          <w:rFonts w:ascii="Times New Roman" w:hAnsi="Times New Roman"/>
          <w:sz w:val="20"/>
          <w:lang w:val="en-GB" w:eastAsia="zh-CN"/>
        </w:rPr>
        <w:t>We note that for ProSe c</w:t>
      </w:r>
      <w:r w:rsidR="009B5872">
        <w:rPr>
          <w:rFonts w:ascii="Times New Roman" w:hAnsi="Times New Roman"/>
          <w:sz w:val="20"/>
          <w:lang w:val="en-GB" w:eastAsia="zh-CN"/>
        </w:rPr>
        <w:t>ase, the MAC subheader contains</w:t>
      </w:r>
      <w:r w:rsidR="00260FE6">
        <w:rPr>
          <w:rFonts w:ascii="Times New Roman" w:hAnsi="Times New Roman"/>
          <w:sz w:val="20"/>
          <w:lang w:val="en-GB" w:eastAsia="zh-CN"/>
        </w:rPr>
        <w:t xml:space="preserve"> an additional MAC layer version number “V” field to signi</w:t>
      </w:r>
      <w:r w:rsidR="009B5872">
        <w:rPr>
          <w:rFonts w:ascii="Times New Roman" w:hAnsi="Times New Roman"/>
          <w:sz w:val="20"/>
          <w:lang w:val="en-GB" w:eastAsia="zh-CN"/>
        </w:rPr>
        <w:t>fy if the DST field corresponds</w:t>
      </w:r>
      <w:r w:rsidR="00260FE6">
        <w:rPr>
          <w:rFonts w:ascii="Times New Roman" w:hAnsi="Times New Roman"/>
          <w:sz w:val="20"/>
          <w:lang w:val="en-GB" w:eastAsia="zh-CN"/>
        </w:rPr>
        <w:t xml:space="preserve"> to a ProSe UE ID (for unicast) or a ProSe La</w:t>
      </w:r>
      <w:r w:rsidR="00F066D7">
        <w:rPr>
          <w:rFonts w:ascii="Times New Roman" w:hAnsi="Times New Roman"/>
          <w:sz w:val="20"/>
          <w:lang w:val="en-GB" w:eastAsia="zh-CN"/>
        </w:rPr>
        <w:t>yer-2 Group ID (for groupcast).</w:t>
      </w:r>
    </w:p>
    <w:p w14:paraId="42F1F3BF" w14:textId="77777777" w:rsidR="00F066D7" w:rsidRDefault="00F066D7" w:rsidP="00305CD5">
      <w:pPr>
        <w:rPr>
          <w:rFonts w:ascii="Times New Roman" w:hAnsi="Times New Roman"/>
          <w:sz w:val="20"/>
          <w:lang w:val="en-GB" w:eastAsia="zh-CN"/>
        </w:rPr>
      </w:pPr>
    </w:p>
    <w:p w14:paraId="4FE08CFF" w14:textId="4DE0161B" w:rsidR="00927E8A" w:rsidRDefault="00927E8A" w:rsidP="00471E04">
      <w:pPr>
        <w:keepNext/>
        <w:jc w:val="cente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object w:dxaOrig="3870" w:dyaOrig="2805" w14:anchorId="41A1C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39.95pt" o:ole="">
            <v:imagedata r:id="rId12" o:title=""/>
          </v:shape>
          <o:OLEObject Type="Embed" ProgID="Visio.Drawing.15" ShapeID="_x0000_i1025" DrawAspect="Content" ObjectID="_1599588202" r:id="rId13"/>
        </w:object>
      </w:r>
      <w:r>
        <w:rPr>
          <w:rFonts w:ascii="Times New Roman" w:eastAsia="Times New Roman" w:hAnsi="Times New Roman"/>
          <w:sz w:val="20"/>
          <w:szCs w:val="20"/>
          <w:lang w:val="en-GB" w:eastAsia="ja-JP"/>
        </w:rPr>
        <w:object w:dxaOrig="3780" w:dyaOrig="2985" w14:anchorId="50545224">
          <v:shape id="_x0000_i1026" type="#_x0000_t75" style="width:188.95pt;height:149.75pt" o:ole="">
            <v:imagedata r:id="rId14" o:title=""/>
          </v:shape>
          <o:OLEObject Type="Embed" ProgID="Visio.Drawing.11" ShapeID="_x0000_i1026" DrawAspect="Content" ObjectID="_1599588203" r:id="rId15"/>
        </w:object>
      </w:r>
    </w:p>
    <w:p w14:paraId="04993A30" w14:textId="0309B0A1" w:rsidR="00927E8A" w:rsidRPr="00471E04" w:rsidRDefault="00927E8A" w:rsidP="00471E04">
      <w:pPr>
        <w:pStyle w:val="Doc-text2"/>
        <w:rPr>
          <w:rFonts w:ascii="Times New Roman" w:hAnsi="Times New Roman" w:cs="Times New Roman"/>
          <w:b/>
          <w:lang w:eastAsia="zh-CN"/>
        </w:rPr>
      </w:pPr>
      <w:r w:rsidRPr="00471E04">
        <w:rPr>
          <w:rFonts w:ascii="Times New Roman" w:hAnsi="Times New Roman" w:cs="Times New Roman"/>
          <w:b/>
        </w:rPr>
        <w:t xml:space="preserve">Figure </w:t>
      </w:r>
      <w:r w:rsidRPr="00471E04">
        <w:rPr>
          <w:rFonts w:ascii="Times New Roman" w:hAnsi="Times New Roman" w:cs="Times New Roman"/>
          <w:b/>
        </w:rPr>
        <w:fldChar w:fldCharType="begin"/>
      </w:r>
      <w:r w:rsidRPr="00471E04">
        <w:rPr>
          <w:rFonts w:ascii="Times New Roman" w:hAnsi="Times New Roman" w:cs="Times New Roman"/>
          <w:b/>
        </w:rPr>
        <w:instrText xml:space="preserve"> SEQ Figure \* ARABIC </w:instrText>
      </w:r>
      <w:r w:rsidRPr="00471E04">
        <w:rPr>
          <w:rFonts w:ascii="Times New Roman" w:hAnsi="Times New Roman" w:cs="Times New Roman"/>
          <w:b/>
        </w:rPr>
        <w:fldChar w:fldCharType="separate"/>
      </w:r>
      <w:r w:rsidRPr="00471E04">
        <w:rPr>
          <w:rFonts w:ascii="Times New Roman" w:hAnsi="Times New Roman" w:cs="Times New Roman"/>
          <w:b/>
          <w:noProof/>
        </w:rPr>
        <w:t>1</w:t>
      </w:r>
      <w:r w:rsidRPr="00471E04">
        <w:rPr>
          <w:rFonts w:ascii="Times New Roman" w:hAnsi="Times New Roman" w:cs="Times New Roman"/>
          <w:b/>
        </w:rPr>
        <w:fldChar w:fldCharType="end"/>
      </w:r>
      <w:r w:rsidRPr="00471E04">
        <w:rPr>
          <w:rFonts w:ascii="Times New Roman" w:hAnsi="Times New Roman" w:cs="Times New Roman"/>
          <w:b/>
          <w:noProof/>
        </w:rPr>
        <w:t xml:space="preserve"> SL-SCH MAC subheader for V = "0001", "0010" and "0011"</w:t>
      </w:r>
    </w:p>
    <w:p w14:paraId="50947C8E" w14:textId="77777777" w:rsidR="00471E04" w:rsidRDefault="00471E04" w:rsidP="00F4118A">
      <w:pPr>
        <w:ind w:left="1170" w:hanging="1170"/>
        <w:rPr>
          <w:rFonts w:ascii="Times New Roman" w:eastAsia="Times New Roman" w:hAnsi="Times New Roman"/>
          <w:b/>
          <w:bCs/>
          <w:sz w:val="20"/>
          <w:szCs w:val="20"/>
          <w:u w:val="single"/>
          <w:lang w:val="en-GB" w:eastAsia="zh-CN"/>
        </w:rPr>
      </w:pPr>
    </w:p>
    <w:p w14:paraId="27435D00" w14:textId="6D761BED" w:rsidR="00471E04" w:rsidRDefault="00471E04" w:rsidP="00471E04">
      <w:pPr>
        <w:rPr>
          <w:rFonts w:ascii="Times New Roman" w:eastAsia="Times New Roman" w:hAnsi="Times New Roman"/>
          <w:b/>
          <w:bCs/>
          <w:sz w:val="20"/>
          <w:szCs w:val="20"/>
          <w:u w:val="single"/>
          <w:lang w:val="en-GB" w:eastAsia="zh-CN"/>
        </w:rPr>
      </w:pPr>
      <w:r>
        <w:rPr>
          <w:rFonts w:ascii="Times New Roman" w:hAnsi="Times New Roman"/>
          <w:sz w:val="20"/>
          <w:lang w:val="en-GB" w:eastAsia="zh-CN"/>
        </w:rPr>
        <w:t>In order to ensure the uniqueness of these identifiers with respect to whether they correspond to unicast, groupcast or broadcast identifiers for V2X communication and assuming we largely reuse the MAC header structure from LTE, this can be reused for NR sidelink.</w:t>
      </w:r>
    </w:p>
    <w:p w14:paraId="2D628D2F" w14:textId="33881B39" w:rsidR="00F4118A" w:rsidRDefault="00F4118A" w:rsidP="00F4118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71E04">
        <w:rPr>
          <w:rFonts w:ascii="Times New Roman" w:eastAsia="Times New Roman" w:hAnsi="Times New Roman"/>
          <w:bCs/>
          <w:i/>
          <w:sz w:val="20"/>
          <w:szCs w:val="20"/>
          <w:lang w:val="en-GB" w:eastAsia="zh-CN"/>
        </w:rPr>
        <w:t xml:space="preserve">The overall </w:t>
      </w:r>
      <w:r w:rsidRPr="00F4118A">
        <w:rPr>
          <w:rFonts w:ascii="Times New Roman" w:eastAsia="Times New Roman" w:hAnsi="Times New Roman"/>
          <w:bCs/>
          <w:i/>
          <w:sz w:val="20"/>
          <w:szCs w:val="20"/>
          <w:lang w:val="en-GB" w:eastAsia="zh-CN"/>
        </w:rPr>
        <w:t>MAC SL header structure,</w:t>
      </w:r>
      <w:r w:rsidR="00471E04">
        <w:rPr>
          <w:rFonts w:ascii="Times New Roman" w:eastAsia="Times New Roman" w:hAnsi="Times New Roman"/>
          <w:bCs/>
          <w:i/>
          <w:sz w:val="20"/>
          <w:szCs w:val="20"/>
          <w:lang w:val="en-GB" w:eastAsia="zh-CN"/>
        </w:rPr>
        <w:t xml:space="preserve"> including the</w:t>
      </w:r>
      <w:r w:rsidRPr="00F4118A">
        <w:rPr>
          <w:rFonts w:ascii="Times New Roman" w:eastAsia="Times New Roman" w:hAnsi="Times New Roman"/>
          <w:bCs/>
          <w:i/>
          <w:sz w:val="20"/>
          <w:szCs w:val="20"/>
          <w:lang w:val="en-GB" w:eastAsia="zh-CN"/>
        </w:rPr>
        <w:t xml:space="preserve"> SRC/DST </w:t>
      </w:r>
      <w:r w:rsidR="00471E04">
        <w:rPr>
          <w:rFonts w:ascii="Times New Roman" w:eastAsia="Times New Roman" w:hAnsi="Times New Roman"/>
          <w:bCs/>
          <w:i/>
          <w:sz w:val="20"/>
          <w:szCs w:val="20"/>
          <w:lang w:val="en-GB" w:eastAsia="zh-CN"/>
        </w:rPr>
        <w:t xml:space="preserve">fields should be reused from LTE </w:t>
      </w:r>
      <w:r w:rsidRPr="00F4118A">
        <w:rPr>
          <w:rFonts w:ascii="Times New Roman" w:eastAsia="Times New Roman" w:hAnsi="Times New Roman"/>
          <w:bCs/>
          <w:i/>
          <w:sz w:val="20"/>
          <w:szCs w:val="20"/>
          <w:lang w:val="en-GB" w:eastAsia="zh-CN"/>
        </w:rPr>
        <w:t xml:space="preserve">to </w:t>
      </w:r>
      <w:r w:rsidR="00471E04">
        <w:rPr>
          <w:rFonts w:ascii="Times New Roman" w:eastAsia="Times New Roman" w:hAnsi="Times New Roman"/>
          <w:bCs/>
          <w:i/>
          <w:sz w:val="20"/>
          <w:szCs w:val="20"/>
          <w:lang w:val="en-GB" w:eastAsia="zh-CN"/>
        </w:rPr>
        <w:t>provide</w:t>
      </w:r>
      <w:r w:rsidRPr="00F4118A">
        <w:rPr>
          <w:rFonts w:ascii="Times New Roman" w:eastAsia="Times New Roman" w:hAnsi="Times New Roman"/>
          <w:bCs/>
          <w:i/>
          <w:sz w:val="20"/>
          <w:szCs w:val="20"/>
          <w:lang w:val="en-GB" w:eastAsia="zh-CN"/>
        </w:rPr>
        <w:t xml:space="preserve"> L2 identifiers for </w:t>
      </w:r>
      <w:r w:rsidR="00677F17">
        <w:rPr>
          <w:rFonts w:ascii="Times New Roman" w:eastAsia="Times New Roman" w:hAnsi="Times New Roman"/>
          <w:bCs/>
          <w:i/>
          <w:sz w:val="20"/>
          <w:szCs w:val="20"/>
          <w:lang w:val="en-GB" w:eastAsia="zh-CN"/>
        </w:rPr>
        <w:t xml:space="preserve">supporting </w:t>
      </w:r>
      <w:r w:rsidRPr="00F4118A">
        <w:rPr>
          <w:rFonts w:ascii="Times New Roman" w:eastAsia="Times New Roman" w:hAnsi="Times New Roman"/>
          <w:bCs/>
          <w:i/>
          <w:sz w:val="20"/>
          <w:szCs w:val="20"/>
          <w:lang w:val="en-GB" w:eastAsia="zh-CN"/>
        </w:rPr>
        <w:t>unicast/groupcast</w:t>
      </w:r>
      <w:r w:rsidR="00471E04">
        <w:rPr>
          <w:rFonts w:ascii="Times New Roman" w:eastAsia="Times New Roman" w:hAnsi="Times New Roman"/>
          <w:bCs/>
          <w:i/>
          <w:sz w:val="20"/>
          <w:szCs w:val="20"/>
          <w:lang w:val="en-GB" w:eastAsia="zh-CN"/>
        </w:rPr>
        <w:t xml:space="preserve"> communication</w:t>
      </w:r>
      <w:r>
        <w:rPr>
          <w:rFonts w:ascii="Times New Roman" w:eastAsia="Times New Roman" w:hAnsi="Times New Roman"/>
          <w:bCs/>
          <w:i/>
          <w:sz w:val="20"/>
          <w:szCs w:val="20"/>
          <w:lang w:val="en-GB" w:eastAsia="zh-CN"/>
        </w:rPr>
        <w:t>.</w:t>
      </w:r>
    </w:p>
    <w:p w14:paraId="6A7A1243" w14:textId="64C3E307" w:rsidR="00954A13" w:rsidRPr="001D5230" w:rsidRDefault="00F4118A" w:rsidP="001D523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Proposal</w:t>
      </w:r>
      <w:r w:rsidR="00A23CEE">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Pr="00F4118A">
        <w:rPr>
          <w:rFonts w:ascii="Times New Roman" w:eastAsia="Times New Roman" w:hAnsi="Times New Roman"/>
          <w:bCs/>
          <w:i/>
          <w:sz w:val="20"/>
          <w:szCs w:val="20"/>
          <w:lang w:val="en-GB" w:eastAsia="zh-CN"/>
        </w:rPr>
        <w:t>A</w:t>
      </w:r>
      <w:r w:rsidR="003067DC">
        <w:rPr>
          <w:rFonts w:ascii="Times New Roman" w:eastAsia="Times New Roman" w:hAnsi="Times New Roman"/>
          <w:bCs/>
          <w:i/>
          <w:sz w:val="20"/>
          <w:szCs w:val="20"/>
          <w:lang w:val="en-GB" w:eastAsia="zh-CN"/>
        </w:rPr>
        <w:t>n a</w:t>
      </w:r>
      <w:r w:rsidRPr="00F4118A">
        <w:rPr>
          <w:rFonts w:ascii="Times New Roman" w:eastAsia="Times New Roman" w:hAnsi="Times New Roman"/>
          <w:bCs/>
          <w:i/>
          <w:sz w:val="20"/>
          <w:szCs w:val="20"/>
          <w:lang w:val="en-GB" w:eastAsia="zh-CN"/>
        </w:rPr>
        <w:t>dditional identifier to distinguish unicast vs groupcast vs broadcast case</w:t>
      </w:r>
      <w:r w:rsidR="003067DC">
        <w:rPr>
          <w:rFonts w:ascii="Times New Roman" w:eastAsia="Times New Roman" w:hAnsi="Times New Roman"/>
          <w:bCs/>
          <w:i/>
          <w:sz w:val="20"/>
          <w:szCs w:val="20"/>
          <w:lang w:val="en-GB" w:eastAsia="zh-CN"/>
        </w:rPr>
        <w:t xml:space="preserve"> should be </w:t>
      </w:r>
      <w:r w:rsidR="00B3125C">
        <w:rPr>
          <w:rFonts w:ascii="Times New Roman" w:eastAsia="Times New Roman" w:hAnsi="Times New Roman"/>
          <w:bCs/>
          <w:i/>
          <w:sz w:val="20"/>
          <w:szCs w:val="20"/>
          <w:lang w:val="en-GB" w:eastAsia="zh-CN"/>
        </w:rPr>
        <w:t>defined</w:t>
      </w:r>
      <w:r>
        <w:rPr>
          <w:rFonts w:ascii="Times New Roman" w:eastAsia="Times New Roman" w:hAnsi="Times New Roman"/>
          <w:bCs/>
          <w:i/>
          <w:sz w:val="20"/>
          <w:szCs w:val="20"/>
          <w:lang w:val="en-GB" w:eastAsia="zh-CN"/>
        </w:rPr>
        <w:t xml:space="preserve">, similar to </w:t>
      </w:r>
      <w:r w:rsidR="00F63B93">
        <w:rPr>
          <w:rFonts w:ascii="Times New Roman" w:eastAsia="Times New Roman" w:hAnsi="Times New Roman"/>
          <w:bCs/>
          <w:i/>
          <w:sz w:val="20"/>
          <w:szCs w:val="20"/>
          <w:lang w:val="en-GB" w:eastAsia="zh-CN"/>
        </w:rPr>
        <w:t xml:space="preserve">the case of </w:t>
      </w:r>
      <w:r>
        <w:rPr>
          <w:rFonts w:ascii="Times New Roman" w:eastAsia="Times New Roman" w:hAnsi="Times New Roman"/>
          <w:bCs/>
          <w:i/>
          <w:sz w:val="20"/>
          <w:szCs w:val="20"/>
          <w:lang w:val="en-GB" w:eastAsia="zh-CN"/>
        </w:rPr>
        <w:t>ProSe for LTE.</w:t>
      </w:r>
    </w:p>
    <w:p w14:paraId="1D61D740" w14:textId="0AC7DD47" w:rsidR="000B5647" w:rsidRDefault="00A10259" w:rsidP="00A10259">
      <w:pPr>
        <w:rPr>
          <w:rFonts w:ascii="Times New Roman" w:hAnsi="Times New Roman"/>
          <w:sz w:val="20"/>
          <w:lang w:val="en-GB" w:eastAsia="zh-CN"/>
        </w:rPr>
      </w:pPr>
      <w:r>
        <w:rPr>
          <w:rFonts w:ascii="Times New Roman" w:hAnsi="Times New Roman"/>
          <w:sz w:val="20"/>
          <w:lang w:val="en-GB" w:eastAsia="zh-CN"/>
        </w:rPr>
        <w:t>An additional aspect to consider is the enhancement of mapping rules from V2X service ID to destination L2 ID. Specifically, unlike LTE V2X, the destination L2 ID cannot (only) be based on mapping to the V2X service ID, since a given service can have multiple unicast/groupcast links</w:t>
      </w:r>
      <w:r w:rsidR="001D5230">
        <w:rPr>
          <w:rFonts w:ascii="Times New Roman" w:hAnsi="Times New Roman"/>
          <w:sz w:val="20"/>
          <w:lang w:val="en-GB" w:eastAsia="zh-CN"/>
        </w:rPr>
        <w:t xml:space="preserve"> at any given time</w:t>
      </w:r>
      <w:r>
        <w:rPr>
          <w:rFonts w:ascii="Times New Roman" w:hAnsi="Times New Roman"/>
          <w:sz w:val="20"/>
          <w:lang w:val="en-GB" w:eastAsia="zh-CN"/>
        </w:rPr>
        <w:t xml:space="preserve">. Thus, any mapping rule defined for NR V2X needs to take this into account. In our view, while this can be in the scope of the V2X/upper layer to develop </w:t>
      </w:r>
      <w:r w:rsidR="00F6440F">
        <w:rPr>
          <w:rFonts w:ascii="Times New Roman" w:hAnsi="Times New Roman"/>
          <w:sz w:val="20"/>
          <w:lang w:val="en-GB" w:eastAsia="zh-CN"/>
        </w:rPr>
        <w:t>such</w:t>
      </w:r>
      <w:r>
        <w:rPr>
          <w:rFonts w:ascii="Times New Roman" w:hAnsi="Times New Roman"/>
          <w:sz w:val="20"/>
          <w:lang w:val="en-GB" w:eastAsia="zh-CN"/>
        </w:rPr>
        <w:t xml:space="preserve"> mapping, </w:t>
      </w:r>
      <w:r w:rsidR="009B5872">
        <w:rPr>
          <w:rFonts w:ascii="Times New Roman" w:hAnsi="Times New Roman"/>
          <w:sz w:val="20"/>
          <w:lang w:val="en-GB" w:eastAsia="zh-CN"/>
        </w:rPr>
        <w:t>RAN2</w:t>
      </w:r>
      <w:r>
        <w:rPr>
          <w:rFonts w:ascii="Times New Roman" w:hAnsi="Times New Roman"/>
          <w:sz w:val="20"/>
          <w:lang w:val="en-GB" w:eastAsia="zh-CN"/>
        </w:rPr>
        <w:t xml:space="preserve"> need to discuss if the case when a specific V2X service can have multiple unicast link</w:t>
      </w:r>
      <w:r w:rsidR="009B5872">
        <w:rPr>
          <w:rFonts w:ascii="Times New Roman" w:hAnsi="Times New Roman"/>
          <w:sz w:val="20"/>
          <w:lang w:val="en-GB" w:eastAsia="zh-CN"/>
        </w:rPr>
        <w:t>s</w:t>
      </w:r>
      <w:r>
        <w:rPr>
          <w:rFonts w:ascii="Times New Roman" w:hAnsi="Times New Roman"/>
          <w:sz w:val="20"/>
          <w:lang w:val="en-GB" w:eastAsia="zh-CN"/>
        </w:rPr>
        <w:t xml:space="preserve"> established </w:t>
      </w:r>
      <w:r w:rsidR="009B5872">
        <w:rPr>
          <w:rFonts w:ascii="Times New Roman" w:hAnsi="Times New Roman"/>
          <w:sz w:val="20"/>
          <w:lang w:val="en-GB" w:eastAsia="zh-CN"/>
        </w:rPr>
        <w:t>for the same or different destination UEs needs more consideration at the AS layer. For this case, it might be beneficial for example if the upper layer includes some additional identifier along with the destina</w:t>
      </w:r>
      <w:r w:rsidR="00F6440F">
        <w:rPr>
          <w:rFonts w:ascii="Times New Roman" w:hAnsi="Times New Roman"/>
          <w:sz w:val="20"/>
          <w:lang w:val="en-GB" w:eastAsia="zh-CN"/>
        </w:rPr>
        <w:t>tion L2 ID that</w:t>
      </w:r>
      <w:r w:rsidR="009B5872">
        <w:rPr>
          <w:rFonts w:ascii="Times New Roman" w:hAnsi="Times New Roman"/>
          <w:sz w:val="20"/>
          <w:lang w:val="en-GB" w:eastAsia="zh-CN"/>
        </w:rPr>
        <w:t xml:space="preserve"> </w:t>
      </w:r>
      <w:r w:rsidR="00F6440F">
        <w:rPr>
          <w:rFonts w:ascii="Times New Roman" w:hAnsi="Times New Roman"/>
          <w:sz w:val="20"/>
          <w:lang w:val="en-GB" w:eastAsia="zh-CN"/>
        </w:rPr>
        <w:t xml:space="preserve">uniquely </w:t>
      </w:r>
      <w:r w:rsidR="009B5872">
        <w:rPr>
          <w:rFonts w:ascii="Times New Roman" w:hAnsi="Times New Roman"/>
          <w:sz w:val="20"/>
          <w:lang w:val="en-GB" w:eastAsia="zh-CN"/>
        </w:rPr>
        <w:t>indicate</w:t>
      </w:r>
      <w:r w:rsidR="00F6440F">
        <w:rPr>
          <w:rFonts w:ascii="Times New Roman" w:hAnsi="Times New Roman"/>
          <w:sz w:val="20"/>
          <w:lang w:val="en-GB" w:eastAsia="zh-CN"/>
        </w:rPr>
        <w:t>s</w:t>
      </w:r>
      <w:r w:rsidR="009B5872">
        <w:rPr>
          <w:rFonts w:ascii="Times New Roman" w:hAnsi="Times New Roman"/>
          <w:sz w:val="20"/>
          <w:lang w:val="en-GB" w:eastAsia="zh-CN"/>
        </w:rPr>
        <w:t xml:space="preserve"> the specific V2X service</w:t>
      </w:r>
      <w:r w:rsidR="00F6440F">
        <w:rPr>
          <w:rFonts w:ascii="Times New Roman" w:hAnsi="Times New Roman"/>
          <w:sz w:val="20"/>
          <w:lang w:val="en-GB" w:eastAsia="zh-CN"/>
        </w:rPr>
        <w:t xml:space="preserve"> corresponding to this link</w:t>
      </w:r>
      <w:r w:rsidR="009B5872">
        <w:rPr>
          <w:rFonts w:ascii="Times New Roman" w:hAnsi="Times New Roman"/>
          <w:sz w:val="20"/>
          <w:lang w:val="en-GB" w:eastAsia="zh-CN"/>
        </w:rPr>
        <w:t>.</w:t>
      </w:r>
    </w:p>
    <w:p w14:paraId="0D459D72" w14:textId="3215FB5D" w:rsidR="00F4118A" w:rsidRPr="00F4118A" w:rsidRDefault="00F4118A" w:rsidP="00F4118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E5AAE">
        <w:rPr>
          <w:rFonts w:ascii="Times New Roman" w:eastAsia="Times New Roman" w:hAnsi="Times New Roman"/>
          <w:bCs/>
          <w:i/>
          <w:sz w:val="20"/>
          <w:szCs w:val="20"/>
          <w:lang w:val="en-GB" w:eastAsia="zh-CN"/>
        </w:rPr>
        <w:t>RAN2 to d</w:t>
      </w:r>
      <w:r w:rsidRPr="00F4118A">
        <w:rPr>
          <w:rFonts w:ascii="Times New Roman" w:eastAsia="Times New Roman" w:hAnsi="Times New Roman"/>
          <w:bCs/>
          <w:i/>
          <w:sz w:val="20"/>
          <w:szCs w:val="20"/>
          <w:lang w:val="en-GB" w:eastAsia="zh-CN"/>
        </w:rPr>
        <w:t>iscuss if any additional identifier needs to be indicated to AS layer along with the destination L2 ID</w:t>
      </w:r>
      <w:r w:rsidR="004E5AAE">
        <w:rPr>
          <w:rFonts w:ascii="Times New Roman" w:eastAsia="Times New Roman" w:hAnsi="Times New Roman"/>
          <w:bCs/>
          <w:i/>
          <w:sz w:val="20"/>
          <w:szCs w:val="20"/>
          <w:lang w:val="en-GB" w:eastAsia="zh-CN"/>
        </w:rPr>
        <w:t xml:space="preserve"> for the case of unicast or groupcast</w:t>
      </w:r>
      <w:r w:rsidRPr="00F4118A">
        <w:rPr>
          <w:rFonts w:ascii="Times New Roman" w:eastAsia="Times New Roman" w:hAnsi="Times New Roman"/>
          <w:bCs/>
          <w:i/>
          <w:sz w:val="20"/>
          <w:szCs w:val="20"/>
          <w:lang w:val="en-GB" w:eastAsia="zh-CN"/>
        </w:rPr>
        <w:t>.</w:t>
      </w:r>
    </w:p>
    <w:p w14:paraId="73E82332" w14:textId="209941B8" w:rsidR="000A09B3" w:rsidRPr="000A09B3" w:rsidRDefault="000A09B3"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Ser</w:t>
      </w:r>
      <w:r w:rsidR="00F41896">
        <w:rPr>
          <w:rFonts w:ascii="Arial" w:eastAsia="MS Mincho" w:hAnsi="Arial" w:cs="Arial"/>
          <w:bCs/>
          <w:sz w:val="26"/>
          <w:szCs w:val="26"/>
          <w:lang w:val="en-GB" w:eastAsia="en-GB"/>
        </w:rPr>
        <w:t>vice announcement/discovery for</w:t>
      </w:r>
      <w:r>
        <w:rPr>
          <w:rFonts w:ascii="Arial" w:eastAsia="MS Mincho" w:hAnsi="Arial" w:cs="Arial"/>
          <w:bCs/>
          <w:sz w:val="26"/>
          <w:szCs w:val="26"/>
          <w:lang w:val="en-GB" w:eastAsia="en-GB"/>
        </w:rPr>
        <w:t xml:space="preserve"> connection establishment</w:t>
      </w:r>
    </w:p>
    <w:p w14:paraId="3556E7DE" w14:textId="77777777" w:rsidR="00BC58FD" w:rsidRDefault="00BC58FD" w:rsidP="00305CD5">
      <w:pPr>
        <w:rPr>
          <w:rFonts w:ascii="Times New Roman" w:hAnsi="Times New Roman"/>
          <w:sz w:val="20"/>
          <w:lang w:val="en-GB" w:eastAsia="zh-CN"/>
        </w:rPr>
      </w:pPr>
    </w:p>
    <w:p w14:paraId="05FEFBBF" w14:textId="26E58F3B" w:rsidR="00926ABB" w:rsidRDefault="009B5872" w:rsidP="00305CD5">
      <w:pPr>
        <w:rPr>
          <w:rFonts w:ascii="Times New Roman" w:hAnsi="Times New Roman"/>
          <w:sz w:val="20"/>
          <w:lang w:val="en-GB" w:eastAsia="zh-CN"/>
        </w:rPr>
      </w:pPr>
      <w:r>
        <w:rPr>
          <w:rFonts w:ascii="Times New Roman" w:hAnsi="Times New Roman"/>
          <w:sz w:val="20"/>
          <w:lang w:val="en-GB" w:eastAsia="zh-CN"/>
        </w:rPr>
        <w:t xml:space="preserve">A closely associated aspect to the unicast/group connection establishment is the need for discovery or service announcement by relevant UEs. In a realistic deployment scenario, we do not expect all V2X UEs to be interested in, or indeed capable of performing unicast or groupcast communications. </w:t>
      </w:r>
      <w:r w:rsidR="001D1FD6">
        <w:rPr>
          <w:rFonts w:ascii="Times New Roman" w:hAnsi="Times New Roman"/>
          <w:sz w:val="20"/>
          <w:lang w:val="en-GB" w:eastAsia="zh-CN"/>
        </w:rPr>
        <w:t>For a particular V2X UEs to be</w:t>
      </w:r>
      <w:r w:rsidR="00926ABB">
        <w:rPr>
          <w:rFonts w:ascii="Times New Roman" w:hAnsi="Times New Roman"/>
          <w:sz w:val="20"/>
          <w:lang w:val="en-GB" w:eastAsia="zh-CN"/>
        </w:rPr>
        <w:t xml:space="preserve"> able to initiate the connection establishment procedure, </w:t>
      </w:r>
      <w:r w:rsidR="00926ABB" w:rsidRPr="00926ABB">
        <w:rPr>
          <w:rFonts w:ascii="Times New Roman" w:hAnsi="Times New Roman"/>
          <w:sz w:val="20"/>
          <w:lang w:val="en-GB" w:eastAsia="zh-CN"/>
        </w:rPr>
        <w:t>it needs to be aware o</w:t>
      </w:r>
      <w:r w:rsidR="00926ABB">
        <w:rPr>
          <w:rFonts w:ascii="Times New Roman" w:hAnsi="Times New Roman"/>
          <w:sz w:val="20"/>
          <w:lang w:val="en-GB" w:eastAsia="zh-CN"/>
        </w:rPr>
        <w:t xml:space="preserve">f the presence of any such UEs, </w:t>
      </w:r>
      <w:r w:rsidR="00926ABB" w:rsidRPr="00926ABB">
        <w:rPr>
          <w:rFonts w:ascii="Times New Roman" w:hAnsi="Times New Roman"/>
          <w:sz w:val="20"/>
          <w:lang w:val="en-GB" w:eastAsia="zh-CN"/>
        </w:rPr>
        <w:t>as well as their interest and capability of setting up this connecti</w:t>
      </w:r>
      <w:r w:rsidR="00926ABB">
        <w:rPr>
          <w:rFonts w:ascii="Times New Roman" w:hAnsi="Times New Roman"/>
          <w:sz w:val="20"/>
          <w:lang w:val="en-GB" w:eastAsia="zh-CN"/>
        </w:rPr>
        <w:t>on</w:t>
      </w:r>
      <w:r w:rsidR="00926ABB" w:rsidRPr="00926ABB">
        <w:rPr>
          <w:rFonts w:ascii="Times New Roman" w:hAnsi="Times New Roman"/>
          <w:sz w:val="20"/>
          <w:lang w:val="en-GB" w:eastAsia="zh-CN"/>
        </w:rPr>
        <w:t xml:space="preserve"> in its vicinity. The vicinity here is determined by the individual V2X use case, since each use case has a </w:t>
      </w:r>
      <w:r w:rsidR="001D1FD6">
        <w:rPr>
          <w:rFonts w:ascii="Times New Roman" w:hAnsi="Times New Roman"/>
          <w:sz w:val="20"/>
          <w:lang w:val="en-GB" w:eastAsia="zh-CN"/>
        </w:rPr>
        <w:t xml:space="preserve">specific </w:t>
      </w:r>
      <w:r w:rsidR="00926ABB" w:rsidRPr="00926ABB">
        <w:rPr>
          <w:rFonts w:ascii="Times New Roman" w:hAnsi="Times New Roman"/>
          <w:sz w:val="20"/>
          <w:lang w:val="en-GB" w:eastAsia="zh-CN"/>
        </w:rPr>
        <w:t xml:space="preserve">communication range </w:t>
      </w:r>
      <w:r w:rsidR="00926ABB">
        <w:rPr>
          <w:rFonts w:ascii="Times New Roman" w:hAnsi="Times New Roman"/>
          <w:sz w:val="20"/>
          <w:lang w:val="en-GB" w:eastAsia="zh-CN"/>
        </w:rPr>
        <w:t>relevant</w:t>
      </w:r>
      <w:r w:rsidR="00926ABB" w:rsidRPr="00926ABB">
        <w:rPr>
          <w:rFonts w:ascii="Times New Roman" w:hAnsi="Times New Roman"/>
          <w:sz w:val="20"/>
          <w:lang w:val="en-GB" w:eastAsia="zh-CN"/>
        </w:rPr>
        <w:t xml:space="preserve"> to it. Nevertheless, in order to initiate the unicast connection establishment, it is necessary that the UE finds out the availability of other V2X UEs interested in such communication.</w:t>
      </w:r>
      <w:r w:rsidR="00926ABB">
        <w:rPr>
          <w:rFonts w:ascii="Times New Roman" w:hAnsi="Times New Roman"/>
          <w:sz w:val="20"/>
          <w:lang w:val="en-GB" w:eastAsia="zh-CN"/>
        </w:rPr>
        <w:t xml:space="preserve"> For this purpose, the main question is whether a dedicated channel is needed. From ongoing discussions in other WGs </w:t>
      </w:r>
      <w:sdt>
        <w:sdtPr>
          <w:rPr>
            <w:rFonts w:ascii="Times New Roman" w:hAnsi="Times New Roman"/>
            <w:sz w:val="20"/>
            <w:lang w:val="en-GB" w:eastAsia="zh-CN"/>
          </w:rPr>
          <w:id w:val="-2101249117"/>
          <w:citation/>
        </w:sdtPr>
        <w:sdtEndPr/>
        <w:sdtContent>
          <w:r w:rsidR="001D1FD6">
            <w:rPr>
              <w:rFonts w:ascii="Times New Roman" w:hAnsi="Times New Roman"/>
              <w:sz w:val="20"/>
              <w:lang w:val="en-GB" w:eastAsia="zh-CN"/>
            </w:rPr>
            <w:fldChar w:fldCharType="begin"/>
          </w:r>
          <w:r w:rsidR="001D1FD6">
            <w:rPr>
              <w:rFonts w:ascii="Times New Roman" w:hAnsi="Times New Roman"/>
              <w:sz w:val="20"/>
              <w:lang w:eastAsia="zh-CN"/>
            </w:rPr>
            <w:instrText xml:space="preserve"> CITATION RAN194 \l 1033 </w:instrText>
          </w:r>
          <w:r w:rsidR="001D1FD6">
            <w:rPr>
              <w:rFonts w:ascii="Times New Roman" w:hAnsi="Times New Roman"/>
              <w:sz w:val="20"/>
              <w:lang w:val="en-GB" w:eastAsia="zh-CN"/>
            </w:rPr>
            <w:fldChar w:fldCharType="separate"/>
          </w:r>
          <w:r w:rsidR="00682BFF" w:rsidRPr="00682BFF">
            <w:rPr>
              <w:rFonts w:ascii="Times New Roman" w:hAnsi="Times New Roman"/>
              <w:noProof/>
              <w:sz w:val="20"/>
              <w:lang w:eastAsia="zh-CN"/>
            </w:rPr>
            <w:t>[4]</w:t>
          </w:r>
          <w:r w:rsidR="001D1FD6">
            <w:rPr>
              <w:rFonts w:ascii="Times New Roman" w:hAnsi="Times New Roman"/>
              <w:sz w:val="20"/>
              <w:lang w:val="en-GB" w:eastAsia="zh-CN"/>
            </w:rPr>
            <w:fldChar w:fldCharType="end"/>
          </w:r>
        </w:sdtContent>
      </w:sdt>
      <w:r w:rsidR="00926ABB">
        <w:rPr>
          <w:rFonts w:ascii="Times New Roman" w:hAnsi="Times New Roman"/>
          <w:sz w:val="20"/>
          <w:lang w:val="en-GB" w:eastAsia="zh-CN"/>
        </w:rPr>
        <w:t>, it seems like the use of a discovery channel, similar to what was defined in LTE for ProSe Discovery is not being considered. Rather, it seems like the assumption is that the UE relies on broadcast traffic over sidelink by interested UEs to determine if it needs to send out a connection establishment request. This seems more in the scope of upper layers (at least for groupcast case), since the session management aspect is primarily foreseen to be performed by V2X/upper layers. So, from RAN2 point of view, we propose to discuss and confirm that no dedicated channel for discovery for unicast establishment will be supported for NR V2X.</w:t>
      </w:r>
      <w:r w:rsidR="0015111F">
        <w:rPr>
          <w:rFonts w:ascii="Times New Roman" w:hAnsi="Times New Roman"/>
          <w:sz w:val="20"/>
          <w:lang w:val="en-GB" w:eastAsia="zh-CN"/>
        </w:rPr>
        <w:t xml:space="preserve"> </w:t>
      </w:r>
      <w:r w:rsidR="0015111F">
        <w:rPr>
          <w:rFonts w:ascii="Times New Roman" w:eastAsia="Times New Roman" w:hAnsi="Times New Roman"/>
          <w:bCs/>
          <w:sz w:val="20"/>
          <w:szCs w:val="20"/>
          <w:lang w:val="en-GB" w:eastAsia="zh-CN"/>
        </w:rPr>
        <w:t>At the same time</w:t>
      </w:r>
      <w:r w:rsidR="0015111F" w:rsidRPr="0015111F">
        <w:rPr>
          <w:rFonts w:ascii="Times New Roman" w:eastAsia="Times New Roman" w:hAnsi="Times New Roman"/>
          <w:bCs/>
          <w:sz w:val="20"/>
          <w:szCs w:val="20"/>
          <w:lang w:val="en-GB" w:eastAsia="zh-CN"/>
        </w:rPr>
        <w:t xml:space="preserve">, </w:t>
      </w:r>
      <w:r w:rsidR="0015111F">
        <w:rPr>
          <w:rFonts w:ascii="Times New Roman" w:eastAsia="Times New Roman" w:hAnsi="Times New Roman"/>
          <w:bCs/>
          <w:sz w:val="20"/>
          <w:szCs w:val="20"/>
          <w:lang w:val="en-GB" w:eastAsia="zh-CN"/>
        </w:rPr>
        <w:t xml:space="preserve">RAN2 </w:t>
      </w:r>
      <w:r w:rsidR="001D1FD6">
        <w:rPr>
          <w:rFonts w:ascii="Times New Roman" w:eastAsia="Times New Roman" w:hAnsi="Times New Roman"/>
          <w:bCs/>
          <w:sz w:val="20"/>
          <w:szCs w:val="20"/>
          <w:lang w:val="en-GB" w:eastAsia="zh-CN"/>
        </w:rPr>
        <w:t xml:space="preserve">needs </w:t>
      </w:r>
      <w:r w:rsidR="0015111F">
        <w:rPr>
          <w:rFonts w:ascii="Times New Roman" w:eastAsia="Times New Roman" w:hAnsi="Times New Roman"/>
          <w:bCs/>
          <w:sz w:val="20"/>
          <w:szCs w:val="20"/>
          <w:lang w:val="en-GB" w:eastAsia="zh-CN"/>
        </w:rPr>
        <w:t xml:space="preserve">to consider </w:t>
      </w:r>
      <w:r w:rsidR="001D1FD6">
        <w:rPr>
          <w:rFonts w:ascii="Times New Roman" w:eastAsia="Times New Roman" w:hAnsi="Times New Roman"/>
          <w:bCs/>
          <w:sz w:val="20"/>
          <w:szCs w:val="20"/>
          <w:lang w:val="en-GB" w:eastAsia="zh-CN"/>
        </w:rPr>
        <w:t xml:space="preserve">if any </w:t>
      </w:r>
      <w:r w:rsidR="0015111F">
        <w:rPr>
          <w:rFonts w:ascii="Times New Roman" w:eastAsia="Times New Roman" w:hAnsi="Times New Roman"/>
          <w:bCs/>
          <w:sz w:val="20"/>
          <w:szCs w:val="20"/>
          <w:lang w:val="en-GB" w:eastAsia="zh-CN"/>
        </w:rPr>
        <w:t>enhancements that might allow the upper layers to better determine availability of UEs for connection establishment</w:t>
      </w:r>
      <w:r w:rsidR="001D1FD6">
        <w:rPr>
          <w:rFonts w:ascii="Times New Roman" w:eastAsia="Times New Roman" w:hAnsi="Times New Roman"/>
          <w:bCs/>
          <w:sz w:val="20"/>
          <w:szCs w:val="20"/>
          <w:lang w:val="en-GB" w:eastAsia="zh-CN"/>
        </w:rPr>
        <w:t xml:space="preserve"> are needed</w:t>
      </w:r>
      <w:r w:rsidR="0015111F">
        <w:rPr>
          <w:rFonts w:ascii="Times New Roman" w:eastAsia="Times New Roman" w:hAnsi="Times New Roman"/>
          <w:bCs/>
          <w:sz w:val="20"/>
          <w:szCs w:val="20"/>
          <w:lang w:val="en-GB" w:eastAsia="zh-CN"/>
        </w:rPr>
        <w:t xml:space="preserve">. Any information that the V2X layer can be provided </w:t>
      </w:r>
      <w:r w:rsidR="00D254FA">
        <w:rPr>
          <w:rFonts w:ascii="Times New Roman" w:eastAsia="Times New Roman" w:hAnsi="Times New Roman"/>
          <w:bCs/>
          <w:sz w:val="20"/>
          <w:szCs w:val="20"/>
          <w:lang w:val="en-GB" w:eastAsia="zh-CN"/>
        </w:rPr>
        <w:t xml:space="preserve">with </w:t>
      </w:r>
      <w:r w:rsidR="0015111F">
        <w:rPr>
          <w:rFonts w:ascii="Times New Roman" w:eastAsia="Times New Roman" w:hAnsi="Times New Roman"/>
          <w:bCs/>
          <w:sz w:val="20"/>
          <w:szCs w:val="20"/>
          <w:lang w:val="en-GB" w:eastAsia="zh-CN"/>
        </w:rPr>
        <w:t>in this regard can be helpful for the overall con</w:t>
      </w:r>
      <w:r w:rsidR="00D254FA">
        <w:rPr>
          <w:rFonts w:ascii="Times New Roman" w:eastAsia="Times New Roman" w:hAnsi="Times New Roman"/>
          <w:bCs/>
          <w:sz w:val="20"/>
          <w:szCs w:val="20"/>
          <w:lang w:val="en-GB" w:eastAsia="zh-CN"/>
        </w:rPr>
        <w:t xml:space="preserve">nection establishment procedure, but given the limited time of the SI, it should be </w:t>
      </w:r>
      <w:r w:rsidR="00904EBE">
        <w:rPr>
          <w:rFonts w:ascii="Times New Roman" w:eastAsia="Times New Roman" w:hAnsi="Times New Roman"/>
          <w:bCs/>
          <w:sz w:val="20"/>
          <w:szCs w:val="20"/>
          <w:lang w:val="en-GB" w:eastAsia="zh-CN"/>
        </w:rPr>
        <w:t>addressed with l</w:t>
      </w:r>
      <w:r w:rsidR="003B497F">
        <w:rPr>
          <w:rFonts w:ascii="Times New Roman" w:eastAsia="Times New Roman" w:hAnsi="Times New Roman"/>
          <w:bCs/>
          <w:sz w:val="20"/>
          <w:szCs w:val="20"/>
          <w:lang w:val="en-GB" w:eastAsia="zh-CN"/>
        </w:rPr>
        <w:t>ow</w:t>
      </w:r>
      <w:r w:rsidR="00904EBE">
        <w:rPr>
          <w:rFonts w:ascii="Times New Roman" w:eastAsia="Times New Roman" w:hAnsi="Times New Roman"/>
          <w:bCs/>
          <w:sz w:val="20"/>
          <w:szCs w:val="20"/>
          <w:lang w:val="en-GB" w:eastAsia="zh-CN"/>
        </w:rPr>
        <w:t xml:space="preserve"> priority</w:t>
      </w:r>
      <w:r w:rsidR="003B497F">
        <w:rPr>
          <w:rFonts w:ascii="Times New Roman" w:eastAsia="Times New Roman" w:hAnsi="Times New Roman"/>
          <w:bCs/>
          <w:sz w:val="20"/>
          <w:szCs w:val="20"/>
          <w:lang w:val="en-GB" w:eastAsia="zh-CN"/>
        </w:rPr>
        <w:t>.</w:t>
      </w:r>
    </w:p>
    <w:p w14:paraId="4C43FD7B" w14:textId="1058FB7A" w:rsidR="0015111F" w:rsidRPr="00C66689" w:rsidRDefault="0032490D" w:rsidP="00C6668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4</w:t>
      </w:r>
      <w:r w:rsidR="0037540A">
        <w:rPr>
          <w:rFonts w:ascii="Times New Roman" w:eastAsia="Times New Roman" w:hAnsi="Times New Roman"/>
          <w:b/>
          <w:bCs/>
          <w:sz w:val="20"/>
          <w:szCs w:val="20"/>
          <w:u w:val="single"/>
          <w:lang w:val="en-GB" w:eastAsia="zh-CN"/>
        </w:rPr>
        <w:t>:</w:t>
      </w:r>
      <w:r w:rsidR="0037540A">
        <w:rPr>
          <w:rFonts w:ascii="Times New Roman" w:eastAsia="Times New Roman" w:hAnsi="Times New Roman"/>
          <w:b/>
          <w:bCs/>
          <w:sz w:val="20"/>
          <w:szCs w:val="20"/>
          <w:lang w:val="en-GB" w:eastAsia="zh-CN"/>
        </w:rPr>
        <w:tab/>
      </w:r>
      <w:r w:rsidR="004E07CD">
        <w:rPr>
          <w:rFonts w:ascii="Times New Roman" w:eastAsia="Times New Roman" w:hAnsi="Times New Roman"/>
          <w:bCs/>
          <w:i/>
          <w:sz w:val="20"/>
          <w:szCs w:val="20"/>
          <w:lang w:val="en-GB" w:eastAsia="zh-CN"/>
        </w:rPr>
        <w:t xml:space="preserve">RAN2 </w:t>
      </w:r>
      <w:r w:rsidR="003B497F">
        <w:rPr>
          <w:rFonts w:ascii="Times New Roman" w:eastAsia="Times New Roman" w:hAnsi="Times New Roman"/>
          <w:bCs/>
          <w:i/>
          <w:sz w:val="20"/>
          <w:szCs w:val="20"/>
          <w:lang w:val="en-GB" w:eastAsia="zh-CN"/>
        </w:rPr>
        <w:t>confirms</w:t>
      </w:r>
      <w:r w:rsidR="004E07CD">
        <w:rPr>
          <w:rFonts w:ascii="Times New Roman" w:eastAsia="Times New Roman" w:hAnsi="Times New Roman"/>
          <w:bCs/>
          <w:i/>
          <w:sz w:val="20"/>
          <w:szCs w:val="20"/>
          <w:lang w:val="en-GB" w:eastAsia="zh-CN"/>
        </w:rPr>
        <w:t xml:space="preserve"> </w:t>
      </w:r>
      <w:r w:rsidR="0015111F">
        <w:rPr>
          <w:rFonts w:ascii="Times New Roman" w:eastAsia="Times New Roman" w:hAnsi="Times New Roman"/>
          <w:bCs/>
          <w:i/>
          <w:sz w:val="20"/>
          <w:szCs w:val="20"/>
          <w:lang w:val="en-GB" w:eastAsia="zh-CN"/>
        </w:rPr>
        <w:t>that no dedicated chan</w:t>
      </w:r>
      <w:r w:rsidR="00FE7C39">
        <w:rPr>
          <w:rFonts w:ascii="Times New Roman" w:eastAsia="Times New Roman" w:hAnsi="Times New Roman"/>
          <w:bCs/>
          <w:i/>
          <w:sz w:val="20"/>
          <w:szCs w:val="20"/>
          <w:lang w:val="en-GB" w:eastAsia="zh-CN"/>
        </w:rPr>
        <w:t>nel for service announcement to support</w:t>
      </w:r>
      <w:r w:rsidR="0015111F">
        <w:rPr>
          <w:rFonts w:ascii="Times New Roman" w:eastAsia="Times New Roman" w:hAnsi="Times New Roman"/>
          <w:bCs/>
          <w:i/>
          <w:sz w:val="20"/>
          <w:szCs w:val="20"/>
          <w:lang w:val="en-GB" w:eastAsia="zh-CN"/>
        </w:rPr>
        <w:t xml:space="preserve"> unicast</w:t>
      </w:r>
      <w:r w:rsidR="00FE7C39">
        <w:rPr>
          <w:rFonts w:ascii="Times New Roman" w:eastAsia="Times New Roman" w:hAnsi="Times New Roman"/>
          <w:bCs/>
          <w:i/>
          <w:sz w:val="20"/>
          <w:szCs w:val="20"/>
          <w:lang w:val="en-GB" w:eastAsia="zh-CN"/>
        </w:rPr>
        <w:t>/groupcast</w:t>
      </w:r>
      <w:r w:rsidR="0015111F">
        <w:rPr>
          <w:rFonts w:ascii="Times New Roman" w:eastAsia="Times New Roman" w:hAnsi="Times New Roman"/>
          <w:bCs/>
          <w:i/>
          <w:sz w:val="20"/>
          <w:szCs w:val="20"/>
          <w:lang w:val="en-GB" w:eastAsia="zh-CN"/>
        </w:rPr>
        <w:t xml:space="preserve"> connectivity is supported</w:t>
      </w:r>
      <w:r w:rsidR="003B497F">
        <w:rPr>
          <w:rFonts w:ascii="Times New Roman" w:eastAsia="Times New Roman" w:hAnsi="Times New Roman"/>
          <w:bCs/>
          <w:i/>
          <w:sz w:val="20"/>
          <w:szCs w:val="20"/>
          <w:lang w:val="en-GB" w:eastAsia="zh-CN"/>
        </w:rPr>
        <w:t xml:space="preserve"> for NR V2X</w:t>
      </w:r>
      <w:r w:rsidR="0037540A">
        <w:rPr>
          <w:rFonts w:ascii="Times New Roman" w:eastAsia="Times New Roman" w:hAnsi="Times New Roman"/>
          <w:bCs/>
          <w:i/>
          <w:sz w:val="20"/>
          <w:szCs w:val="20"/>
          <w:lang w:val="en-GB" w:eastAsia="zh-CN"/>
        </w:rPr>
        <w:t>.</w:t>
      </w:r>
    </w:p>
    <w:p w14:paraId="2884A5C9" w14:textId="40B41EE2" w:rsidR="0015111F" w:rsidRDefault="0015111F" w:rsidP="0015111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E7C39">
        <w:rPr>
          <w:rFonts w:ascii="Times New Roman" w:eastAsia="Times New Roman" w:hAnsi="Times New Roman"/>
          <w:bCs/>
          <w:i/>
          <w:sz w:val="20"/>
          <w:szCs w:val="20"/>
          <w:lang w:val="en-GB" w:eastAsia="zh-CN"/>
        </w:rPr>
        <w:t xml:space="preserve">The </w:t>
      </w:r>
      <w:r>
        <w:rPr>
          <w:rFonts w:ascii="Times New Roman" w:eastAsia="Times New Roman" w:hAnsi="Times New Roman"/>
          <w:bCs/>
          <w:i/>
          <w:sz w:val="20"/>
          <w:szCs w:val="20"/>
          <w:lang w:val="en-GB" w:eastAsia="zh-CN"/>
        </w:rPr>
        <w:t xml:space="preserve">need for further enhancements </w:t>
      </w:r>
      <w:bookmarkStart w:id="0" w:name="_GoBack"/>
      <w:bookmarkEnd w:id="0"/>
      <w:r>
        <w:rPr>
          <w:rFonts w:ascii="Times New Roman" w:eastAsia="Times New Roman" w:hAnsi="Times New Roman"/>
          <w:bCs/>
          <w:i/>
          <w:sz w:val="20"/>
          <w:szCs w:val="20"/>
          <w:lang w:val="en-GB" w:eastAsia="zh-CN"/>
        </w:rPr>
        <w:t>at the AS layer for service announcement and discovery for connection establishment</w:t>
      </w:r>
      <w:r w:rsidR="00FE7C39">
        <w:rPr>
          <w:rFonts w:ascii="Times New Roman" w:eastAsia="Times New Roman" w:hAnsi="Times New Roman"/>
          <w:bCs/>
          <w:i/>
          <w:sz w:val="20"/>
          <w:szCs w:val="20"/>
          <w:lang w:val="en-GB" w:eastAsia="zh-CN"/>
        </w:rPr>
        <w:t xml:space="preserve"> should be discussed with low priority (only if time allows)</w:t>
      </w:r>
      <w:r>
        <w:rPr>
          <w:rFonts w:ascii="Times New Roman" w:eastAsia="Times New Roman" w:hAnsi="Times New Roman"/>
          <w:bCs/>
          <w:i/>
          <w:sz w:val="20"/>
          <w:szCs w:val="20"/>
          <w:lang w:val="en-GB" w:eastAsia="zh-CN"/>
        </w:rPr>
        <w:t>.</w:t>
      </w:r>
    </w:p>
    <w:p w14:paraId="38C54BCB" w14:textId="77777777" w:rsidR="00A85069" w:rsidRPr="00397FA3" w:rsidRDefault="00A85069" w:rsidP="001F221E">
      <w:pPr>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3A7BCB27"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DF323D">
        <w:rPr>
          <w:rFonts w:ascii="Times New Roman" w:eastAsia="Times New Roman" w:hAnsi="Times New Roman"/>
          <w:bCs/>
          <w:sz w:val="20"/>
          <w:szCs w:val="20"/>
          <w:lang w:val="en-GB" w:eastAsia="zh-CN"/>
        </w:rPr>
        <w:t>connection management and service announcement aspects for unicast and groupcast operation over NR</w:t>
      </w:r>
      <w:r w:rsidR="00883D0A">
        <w:rPr>
          <w:rFonts w:ascii="Times New Roman" w:eastAsia="Times New Roman" w:hAnsi="Times New Roman"/>
          <w:bCs/>
          <w:sz w:val="20"/>
          <w:szCs w:val="20"/>
          <w:lang w:val="en-GB" w:eastAsia="zh-CN"/>
        </w:rPr>
        <w:t xml:space="preserve"> sidelink 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2C904BA8" w14:textId="77777777" w:rsidR="00DF323D" w:rsidRDefault="00DF323D" w:rsidP="00DF323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overall </w:t>
      </w:r>
      <w:r w:rsidRPr="00F4118A">
        <w:rPr>
          <w:rFonts w:ascii="Times New Roman" w:eastAsia="Times New Roman" w:hAnsi="Times New Roman"/>
          <w:bCs/>
          <w:i/>
          <w:sz w:val="20"/>
          <w:szCs w:val="20"/>
          <w:lang w:val="en-GB" w:eastAsia="zh-CN"/>
        </w:rPr>
        <w:t>MAC SL header structure,</w:t>
      </w:r>
      <w:r>
        <w:rPr>
          <w:rFonts w:ascii="Times New Roman" w:eastAsia="Times New Roman" w:hAnsi="Times New Roman"/>
          <w:bCs/>
          <w:i/>
          <w:sz w:val="20"/>
          <w:szCs w:val="20"/>
          <w:lang w:val="en-GB" w:eastAsia="zh-CN"/>
        </w:rPr>
        <w:t xml:space="preserve"> including the</w:t>
      </w:r>
      <w:r w:rsidRPr="00F4118A">
        <w:rPr>
          <w:rFonts w:ascii="Times New Roman" w:eastAsia="Times New Roman" w:hAnsi="Times New Roman"/>
          <w:bCs/>
          <w:i/>
          <w:sz w:val="20"/>
          <w:szCs w:val="20"/>
          <w:lang w:val="en-GB" w:eastAsia="zh-CN"/>
        </w:rPr>
        <w:t xml:space="preserve"> SRC/DST </w:t>
      </w:r>
      <w:r>
        <w:rPr>
          <w:rFonts w:ascii="Times New Roman" w:eastAsia="Times New Roman" w:hAnsi="Times New Roman"/>
          <w:bCs/>
          <w:i/>
          <w:sz w:val="20"/>
          <w:szCs w:val="20"/>
          <w:lang w:val="en-GB" w:eastAsia="zh-CN"/>
        </w:rPr>
        <w:t xml:space="preserve">fields should be reused from LTE </w:t>
      </w:r>
      <w:r w:rsidRPr="00F4118A">
        <w:rPr>
          <w:rFonts w:ascii="Times New Roman" w:eastAsia="Times New Roman" w:hAnsi="Times New Roman"/>
          <w:bCs/>
          <w:i/>
          <w:sz w:val="20"/>
          <w:szCs w:val="20"/>
          <w:lang w:val="en-GB" w:eastAsia="zh-CN"/>
        </w:rPr>
        <w:t xml:space="preserve">to </w:t>
      </w:r>
      <w:r>
        <w:rPr>
          <w:rFonts w:ascii="Times New Roman" w:eastAsia="Times New Roman" w:hAnsi="Times New Roman"/>
          <w:bCs/>
          <w:i/>
          <w:sz w:val="20"/>
          <w:szCs w:val="20"/>
          <w:lang w:val="en-GB" w:eastAsia="zh-CN"/>
        </w:rPr>
        <w:t>provide</w:t>
      </w:r>
      <w:r w:rsidRPr="00F4118A">
        <w:rPr>
          <w:rFonts w:ascii="Times New Roman" w:eastAsia="Times New Roman" w:hAnsi="Times New Roman"/>
          <w:bCs/>
          <w:i/>
          <w:sz w:val="20"/>
          <w:szCs w:val="20"/>
          <w:lang w:val="en-GB" w:eastAsia="zh-CN"/>
        </w:rPr>
        <w:t xml:space="preserve"> L2 identifiers for </w:t>
      </w:r>
      <w:r>
        <w:rPr>
          <w:rFonts w:ascii="Times New Roman" w:eastAsia="Times New Roman" w:hAnsi="Times New Roman"/>
          <w:bCs/>
          <w:i/>
          <w:sz w:val="20"/>
          <w:szCs w:val="20"/>
          <w:lang w:val="en-GB" w:eastAsia="zh-CN"/>
        </w:rPr>
        <w:t xml:space="preserve">supporting </w:t>
      </w:r>
      <w:r w:rsidRPr="00F4118A">
        <w:rPr>
          <w:rFonts w:ascii="Times New Roman" w:eastAsia="Times New Roman" w:hAnsi="Times New Roman"/>
          <w:bCs/>
          <w:i/>
          <w:sz w:val="20"/>
          <w:szCs w:val="20"/>
          <w:lang w:val="en-GB" w:eastAsia="zh-CN"/>
        </w:rPr>
        <w:t>unicast/groupcast</w:t>
      </w:r>
      <w:r>
        <w:rPr>
          <w:rFonts w:ascii="Times New Roman" w:eastAsia="Times New Roman" w:hAnsi="Times New Roman"/>
          <w:bCs/>
          <w:i/>
          <w:sz w:val="20"/>
          <w:szCs w:val="20"/>
          <w:lang w:val="en-GB" w:eastAsia="zh-CN"/>
        </w:rPr>
        <w:t xml:space="preserve"> communication.</w:t>
      </w:r>
    </w:p>
    <w:p w14:paraId="36B33384" w14:textId="7F890476" w:rsidR="00DF323D" w:rsidRPr="001D5230" w:rsidRDefault="00DF323D" w:rsidP="00DF323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sidRPr="00F4118A">
        <w:rPr>
          <w:rFonts w:ascii="Times New Roman" w:eastAsia="Times New Roman" w:hAnsi="Times New Roman"/>
          <w:bCs/>
          <w:i/>
          <w:sz w:val="20"/>
          <w:szCs w:val="20"/>
          <w:lang w:val="en-GB" w:eastAsia="zh-CN"/>
        </w:rPr>
        <w:t>A</w:t>
      </w:r>
      <w:r>
        <w:rPr>
          <w:rFonts w:ascii="Times New Roman" w:eastAsia="Times New Roman" w:hAnsi="Times New Roman"/>
          <w:bCs/>
          <w:i/>
          <w:sz w:val="20"/>
          <w:szCs w:val="20"/>
          <w:lang w:val="en-GB" w:eastAsia="zh-CN"/>
        </w:rPr>
        <w:t>n a</w:t>
      </w:r>
      <w:r w:rsidRPr="00F4118A">
        <w:rPr>
          <w:rFonts w:ascii="Times New Roman" w:eastAsia="Times New Roman" w:hAnsi="Times New Roman"/>
          <w:bCs/>
          <w:i/>
          <w:sz w:val="20"/>
          <w:szCs w:val="20"/>
          <w:lang w:val="en-GB" w:eastAsia="zh-CN"/>
        </w:rPr>
        <w:t>dditional identifier to distinguish unicast vs groupcast vs broadcast case</w:t>
      </w:r>
      <w:r>
        <w:rPr>
          <w:rFonts w:ascii="Times New Roman" w:eastAsia="Times New Roman" w:hAnsi="Times New Roman"/>
          <w:bCs/>
          <w:i/>
          <w:sz w:val="20"/>
          <w:szCs w:val="20"/>
          <w:lang w:val="en-GB" w:eastAsia="zh-CN"/>
        </w:rPr>
        <w:t xml:space="preserve"> should be </w:t>
      </w:r>
      <w:r w:rsidR="00B3125C">
        <w:rPr>
          <w:rFonts w:ascii="Times New Roman" w:eastAsia="Times New Roman" w:hAnsi="Times New Roman"/>
          <w:bCs/>
          <w:i/>
          <w:sz w:val="20"/>
          <w:szCs w:val="20"/>
          <w:lang w:val="en-GB" w:eastAsia="zh-CN"/>
        </w:rPr>
        <w:t>defined</w:t>
      </w:r>
      <w:r>
        <w:rPr>
          <w:rFonts w:ascii="Times New Roman" w:eastAsia="Times New Roman" w:hAnsi="Times New Roman"/>
          <w:bCs/>
          <w:i/>
          <w:sz w:val="20"/>
          <w:szCs w:val="20"/>
          <w:lang w:val="en-GB" w:eastAsia="zh-CN"/>
        </w:rPr>
        <w:t>, similar to the case of ProSe for LTE.</w:t>
      </w:r>
    </w:p>
    <w:p w14:paraId="13CC0D5F" w14:textId="77777777" w:rsidR="00DF323D" w:rsidRPr="00F4118A" w:rsidRDefault="00DF323D" w:rsidP="00DF323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w:t>
      </w:r>
      <w:r w:rsidRPr="00F4118A">
        <w:rPr>
          <w:rFonts w:ascii="Times New Roman" w:eastAsia="Times New Roman" w:hAnsi="Times New Roman"/>
          <w:bCs/>
          <w:i/>
          <w:sz w:val="20"/>
          <w:szCs w:val="20"/>
          <w:lang w:val="en-GB" w:eastAsia="zh-CN"/>
        </w:rPr>
        <w:t>iscuss if any additional identifier needs to be indicated to AS layer along with the destination L2 ID</w:t>
      </w:r>
      <w:r>
        <w:rPr>
          <w:rFonts w:ascii="Times New Roman" w:eastAsia="Times New Roman" w:hAnsi="Times New Roman"/>
          <w:bCs/>
          <w:i/>
          <w:sz w:val="20"/>
          <w:szCs w:val="20"/>
          <w:lang w:val="en-GB" w:eastAsia="zh-CN"/>
        </w:rPr>
        <w:t xml:space="preserve"> for the case of unicast or groupcast</w:t>
      </w:r>
      <w:r w:rsidRPr="00F4118A">
        <w:rPr>
          <w:rFonts w:ascii="Times New Roman" w:eastAsia="Times New Roman" w:hAnsi="Times New Roman"/>
          <w:bCs/>
          <w:i/>
          <w:sz w:val="20"/>
          <w:szCs w:val="20"/>
          <w:lang w:val="en-GB" w:eastAsia="zh-CN"/>
        </w:rPr>
        <w:t>.</w:t>
      </w:r>
    </w:p>
    <w:p w14:paraId="1629B4C1" w14:textId="77777777" w:rsidR="00DF323D" w:rsidRPr="00C66689" w:rsidRDefault="00DF323D" w:rsidP="00DF323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confirms that no dedicated channel for service announcement to support unicast/groupcast connectivity is supported for NR V2X.</w:t>
      </w:r>
    </w:p>
    <w:p w14:paraId="3A2D7953" w14:textId="253EF55B" w:rsidR="00DF323D" w:rsidRPr="00DF323D" w:rsidRDefault="00DF323D" w:rsidP="00DF323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need for further enhancements at the AS layer for service announcement and discovery for connection establishment should be discussed with low priority (only if time allows).</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16E642B3" w14:textId="6638D26C" w:rsidR="00DF27D3" w:rsidRDefault="00DF27D3" w:rsidP="00682BFF">
          <w:pPr>
            <w:pStyle w:val="Tdoc"/>
          </w:pPr>
          <w:r>
            <w:t>References</w:t>
          </w:r>
        </w:p>
        <w:sdt>
          <w:sdtPr>
            <w:id w:val="-573587230"/>
            <w:bibliography/>
          </w:sdtPr>
          <w:sdtEndPr/>
          <w:sdtContent>
            <w:p w14:paraId="6E0EFF3D" w14:textId="77777777" w:rsidR="00682BFF" w:rsidRDefault="00DF27D3">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82BFF" w14:paraId="1DFE5F8B" w14:textId="77777777">
                <w:trPr>
                  <w:divId w:val="1932422406"/>
                  <w:tblCellSpacing w:w="15" w:type="dxa"/>
                </w:trPr>
                <w:tc>
                  <w:tcPr>
                    <w:tcW w:w="50" w:type="pct"/>
                    <w:hideMark/>
                  </w:tcPr>
                  <w:p w14:paraId="261174DD" w14:textId="77777777" w:rsidR="00682BFF" w:rsidRDefault="00682BFF">
                    <w:pPr>
                      <w:pStyle w:val="Bibliography"/>
                      <w:rPr>
                        <w:noProof/>
                        <w:sz w:val="24"/>
                        <w:szCs w:val="24"/>
                      </w:rPr>
                    </w:pPr>
                    <w:r>
                      <w:rPr>
                        <w:noProof/>
                      </w:rPr>
                      <w:t xml:space="preserve">[1] </w:t>
                    </w:r>
                  </w:p>
                </w:tc>
                <w:tc>
                  <w:tcPr>
                    <w:tcW w:w="0" w:type="auto"/>
                    <w:hideMark/>
                  </w:tcPr>
                  <w:p w14:paraId="06BD0F3E" w14:textId="77777777" w:rsidR="00682BFF" w:rsidRDefault="00682BFF">
                    <w:pPr>
                      <w:pStyle w:val="Bibliography"/>
                      <w:rPr>
                        <w:noProof/>
                      </w:rPr>
                    </w:pPr>
                    <w:r>
                      <w:rPr>
                        <w:noProof/>
                      </w:rPr>
                      <w:t xml:space="preserve">"RP-181429, "New SID: Study on NR V2X", Vodafone". </w:t>
                    </w:r>
                  </w:p>
                </w:tc>
              </w:tr>
              <w:tr w:rsidR="00682BFF" w14:paraId="56F8715B" w14:textId="77777777">
                <w:trPr>
                  <w:divId w:val="1932422406"/>
                  <w:tblCellSpacing w:w="15" w:type="dxa"/>
                </w:trPr>
                <w:tc>
                  <w:tcPr>
                    <w:tcW w:w="50" w:type="pct"/>
                    <w:hideMark/>
                  </w:tcPr>
                  <w:p w14:paraId="42A41CCE" w14:textId="77777777" w:rsidR="00682BFF" w:rsidRDefault="00682BFF">
                    <w:pPr>
                      <w:pStyle w:val="Bibliography"/>
                      <w:rPr>
                        <w:noProof/>
                      </w:rPr>
                    </w:pPr>
                    <w:r>
                      <w:rPr>
                        <w:noProof/>
                      </w:rPr>
                      <w:t xml:space="preserve">[2] </w:t>
                    </w:r>
                  </w:p>
                </w:tc>
                <w:tc>
                  <w:tcPr>
                    <w:tcW w:w="0" w:type="auto"/>
                    <w:hideMark/>
                  </w:tcPr>
                  <w:p w14:paraId="2CF1E55A" w14:textId="77777777" w:rsidR="00682BFF" w:rsidRDefault="00682BFF">
                    <w:pPr>
                      <w:pStyle w:val="Bibliography"/>
                      <w:rPr>
                        <w:noProof/>
                      </w:rPr>
                    </w:pPr>
                    <w:r>
                      <w:rPr>
                        <w:noProof/>
                      </w:rPr>
                      <w:t xml:space="preserve">"R2-1814065, "Considerations on unicast and groupcast support over NR SL", Intel Corporation". </w:t>
                    </w:r>
                  </w:p>
                </w:tc>
              </w:tr>
              <w:tr w:rsidR="00682BFF" w14:paraId="04992D43" w14:textId="77777777">
                <w:trPr>
                  <w:divId w:val="1932422406"/>
                  <w:tblCellSpacing w:w="15" w:type="dxa"/>
                </w:trPr>
                <w:tc>
                  <w:tcPr>
                    <w:tcW w:w="50" w:type="pct"/>
                    <w:hideMark/>
                  </w:tcPr>
                  <w:p w14:paraId="14218ABA" w14:textId="77777777" w:rsidR="00682BFF" w:rsidRDefault="00682BFF">
                    <w:pPr>
                      <w:pStyle w:val="Bibliography"/>
                      <w:rPr>
                        <w:noProof/>
                      </w:rPr>
                    </w:pPr>
                    <w:r>
                      <w:rPr>
                        <w:noProof/>
                      </w:rPr>
                      <w:t xml:space="preserve">[3] </w:t>
                    </w:r>
                  </w:p>
                </w:tc>
                <w:tc>
                  <w:tcPr>
                    <w:tcW w:w="0" w:type="auto"/>
                    <w:hideMark/>
                  </w:tcPr>
                  <w:p w14:paraId="65D3ACCD" w14:textId="77777777" w:rsidR="00682BFF" w:rsidRDefault="00682BFF">
                    <w:pPr>
                      <w:pStyle w:val="Bibliography"/>
                      <w:rPr>
                        <w:noProof/>
                      </w:rPr>
                    </w:pPr>
                    <w:r>
                      <w:rPr>
                        <w:noProof/>
                      </w:rPr>
                      <w:t xml:space="preserve">"TR 23.786, Study on architecture enhancements for EPS and 5G System to support advanced V2X services". </w:t>
                    </w:r>
                  </w:p>
                </w:tc>
              </w:tr>
              <w:tr w:rsidR="00682BFF" w14:paraId="5E6666E7" w14:textId="77777777">
                <w:trPr>
                  <w:divId w:val="1932422406"/>
                  <w:tblCellSpacing w:w="15" w:type="dxa"/>
                </w:trPr>
                <w:tc>
                  <w:tcPr>
                    <w:tcW w:w="50" w:type="pct"/>
                    <w:hideMark/>
                  </w:tcPr>
                  <w:p w14:paraId="036A0F54" w14:textId="77777777" w:rsidR="00682BFF" w:rsidRDefault="00682BFF">
                    <w:pPr>
                      <w:pStyle w:val="Bibliography"/>
                      <w:rPr>
                        <w:noProof/>
                      </w:rPr>
                    </w:pPr>
                    <w:r>
                      <w:rPr>
                        <w:noProof/>
                      </w:rPr>
                      <w:t xml:space="preserve">[4] </w:t>
                    </w:r>
                  </w:p>
                </w:tc>
                <w:tc>
                  <w:tcPr>
                    <w:tcW w:w="0" w:type="auto"/>
                    <w:hideMark/>
                  </w:tcPr>
                  <w:p w14:paraId="16DAAE88" w14:textId="77777777" w:rsidR="00682BFF" w:rsidRDefault="00682BFF">
                    <w:pPr>
                      <w:pStyle w:val="Bibliography"/>
                      <w:rPr>
                        <w:noProof/>
                      </w:rPr>
                    </w:pPr>
                    <w:r>
                      <w:rPr>
                        <w:noProof/>
                      </w:rPr>
                      <w:t xml:space="preserve">"RAN1#94, "Chairman Notes"". </w:t>
                    </w:r>
                  </w:p>
                </w:tc>
              </w:tr>
              <w:tr w:rsidR="00682BFF" w14:paraId="3A706DD9" w14:textId="77777777">
                <w:trPr>
                  <w:divId w:val="1932422406"/>
                  <w:tblCellSpacing w:w="15" w:type="dxa"/>
                </w:trPr>
                <w:tc>
                  <w:tcPr>
                    <w:tcW w:w="50" w:type="pct"/>
                    <w:hideMark/>
                  </w:tcPr>
                  <w:p w14:paraId="1986A168" w14:textId="77777777" w:rsidR="00682BFF" w:rsidRDefault="00682BFF">
                    <w:pPr>
                      <w:pStyle w:val="Bibliography"/>
                      <w:rPr>
                        <w:noProof/>
                      </w:rPr>
                    </w:pPr>
                    <w:r>
                      <w:rPr>
                        <w:noProof/>
                      </w:rPr>
                      <w:t xml:space="preserve">[5] </w:t>
                    </w:r>
                  </w:p>
                </w:tc>
                <w:tc>
                  <w:tcPr>
                    <w:tcW w:w="0" w:type="auto"/>
                    <w:hideMark/>
                  </w:tcPr>
                  <w:p w14:paraId="5CEAE56D" w14:textId="77777777" w:rsidR="00682BFF" w:rsidRDefault="00682BFF">
                    <w:pPr>
                      <w:pStyle w:val="Bibliography"/>
                      <w:rPr>
                        <w:noProof/>
                      </w:rPr>
                    </w:pPr>
                    <w:r>
                      <w:rPr>
                        <w:noProof/>
                      </w:rPr>
                      <w:t xml:space="preserve">"TR 22.186, Enhancement of 3GPP support for V2X scenarios; Stage 1". </w:t>
                    </w:r>
                  </w:p>
                </w:tc>
              </w:tr>
            </w:tbl>
            <w:p w14:paraId="06330337" w14:textId="77777777" w:rsidR="00682BFF" w:rsidRDefault="00682BFF">
              <w:pPr>
                <w:divId w:val="1932422406"/>
                <w:rPr>
                  <w:rFonts w:eastAsia="Times New Roman"/>
                  <w:noProof/>
                </w:rPr>
              </w:pPr>
            </w:p>
            <w:p w14:paraId="1A999DCD" w14:textId="77777777" w:rsidR="00DF27D3" w:rsidRDefault="00DF27D3">
              <w:r>
                <w:rPr>
                  <w:b/>
                  <w:bCs/>
                  <w:noProof/>
                </w:rPr>
                <w:fldChar w:fldCharType="end"/>
              </w:r>
            </w:p>
          </w:sdtContent>
        </w:sdt>
        <w:p w14:paraId="4196A02B" w14:textId="6851B411" w:rsidR="00DF25A3" w:rsidRDefault="00E127AF" w:rsidP="00682BFF">
          <w:pPr>
            <w:pStyle w:val="Doc-text2"/>
            <w:ind w:left="0" w:firstLine="0"/>
          </w:pPr>
        </w:p>
      </w:sdtContent>
    </w:sdt>
    <w:bookmarkEnd w:id="1"/>
    <w:sectPr w:rsidR="00DF25A3">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27AF">
      <w:rPr>
        <w:rFonts w:ascii="Arial" w:hAnsi="Arial" w:cs="Arial"/>
        <w:b/>
        <w:noProof/>
        <w:sz w:val="18"/>
        <w:szCs w:val="18"/>
      </w:rPr>
      <w:t>3</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0"/>
  </w:num>
  <w:num w:numId="3">
    <w:abstractNumId w:val="15"/>
  </w:num>
  <w:num w:numId="4">
    <w:abstractNumId w:val="14"/>
  </w:num>
  <w:num w:numId="5">
    <w:abstractNumId w:val="5"/>
    <w:lvlOverride w:ilvl="0">
      <w:startOverride w:val="1"/>
    </w:lvlOverride>
  </w:num>
  <w:num w:numId="6">
    <w:abstractNumId w:val="8"/>
    <w:lvlOverride w:ilvl="0">
      <w:startOverride w:val="2"/>
    </w:lvlOverride>
  </w:num>
  <w:num w:numId="7">
    <w:abstractNumId w:val="27"/>
  </w:num>
  <w:num w:numId="8">
    <w:abstractNumId w:val="11"/>
  </w:num>
  <w:num w:numId="9">
    <w:abstractNumId w:val="9"/>
  </w:num>
  <w:num w:numId="10">
    <w:abstractNumId w:val="23"/>
  </w:num>
  <w:num w:numId="11">
    <w:abstractNumId w:val="29"/>
  </w:num>
  <w:num w:numId="12">
    <w:abstractNumId w:val="7"/>
  </w:num>
  <w:num w:numId="13">
    <w:abstractNumId w:val="10"/>
  </w:num>
  <w:num w:numId="14">
    <w:abstractNumId w:val="3"/>
  </w:num>
  <w:num w:numId="15">
    <w:abstractNumId w:val="4"/>
  </w:num>
  <w:num w:numId="16">
    <w:abstractNumId w:val="13"/>
  </w:num>
  <w:num w:numId="17">
    <w:abstractNumId w:val="26"/>
  </w:num>
  <w:num w:numId="18">
    <w:abstractNumId w:val="12"/>
  </w:num>
  <w:num w:numId="19">
    <w:abstractNumId w:val="24"/>
  </w:num>
  <w:num w:numId="20">
    <w:abstractNumId w:val="2"/>
  </w:num>
  <w:num w:numId="21">
    <w:abstractNumId w:val="28"/>
  </w:num>
  <w:num w:numId="22">
    <w:abstractNumId w:val="1"/>
  </w:num>
  <w:num w:numId="23">
    <w:abstractNumId w:val="22"/>
  </w:num>
  <w:num w:numId="24">
    <w:abstractNumId w:val="31"/>
  </w:num>
  <w:num w:numId="25">
    <w:abstractNumId w:val="21"/>
  </w:num>
  <w:num w:numId="26">
    <w:abstractNumId w:val="18"/>
  </w:num>
  <w:num w:numId="27">
    <w:abstractNumId w:val="17"/>
  </w:num>
  <w:num w:numId="28">
    <w:abstractNumId w:val="30"/>
  </w:num>
  <w:num w:numId="29">
    <w:abstractNumId w:val="0"/>
  </w:num>
  <w:num w:numId="30">
    <w:abstractNumId w:val="6"/>
  </w:num>
  <w:num w:numId="31">
    <w:abstractNumId w:val="19"/>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D2"/>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B3"/>
    <w:rsid w:val="000A09E6"/>
    <w:rsid w:val="000A7E1C"/>
    <w:rsid w:val="000B5647"/>
    <w:rsid w:val="000E26C9"/>
    <w:rsid w:val="000E4761"/>
    <w:rsid w:val="000E493C"/>
    <w:rsid w:val="000F1C37"/>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CC9"/>
    <w:rsid w:val="00160710"/>
    <w:rsid w:val="00160F7D"/>
    <w:rsid w:val="0016207C"/>
    <w:rsid w:val="0016488C"/>
    <w:rsid w:val="00171180"/>
    <w:rsid w:val="00175B7F"/>
    <w:rsid w:val="00175DCB"/>
    <w:rsid w:val="00195430"/>
    <w:rsid w:val="00197B45"/>
    <w:rsid w:val="001A7512"/>
    <w:rsid w:val="001A793C"/>
    <w:rsid w:val="001B7098"/>
    <w:rsid w:val="001C137C"/>
    <w:rsid w:val="001C6D4F"/>
    <w:rsid w:val="001C6E8B"/>
    <w:rsid w:val="001D1FD6"/>
    <w:rsid w:val="001D28A0"/>
    <w:rsid w:val="001D5230"/>
    <w:rsid w:val="001E221E"/>
    <w:rsid w:val="001E54F9"/>
    <w:rsid w:val="001F221E"/>
    <w:rsid w:val="00203D1C"/>
    <w:rsid w:val="0020567B"/>
    <w:rsid w:val="0020671E"/>
    <w:rsid w:val="00220EC4"/>
    <w:rsid w:val="00225341"/>
    <w:rsid w:val="002263C8"/>
    <w:rsid w:val="002356DF"/>
    <w:rsid w:val="0024165F"/>
    <w:rsid w:val="00253F58"/>
    <w:rsid w:val="00255F2A"/>
    <w:rsid w:val="00260222"/>
    <w:rsid w:val="00260FE6"/>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C70A1"/>
    <w:rsid w:val="002F04F8"/>
    <w:rsid w:val="002F153B"/>
    <w:rsid w:val="002F432E"/>
    <w:rsid w:val="00305CD5"/>
    <w:rsid w:val="003067DC"/>
    <w:rsid w:val="00321D25"/>
    <w:rsid w:val="0032490D"/>
    <w:rsid w:val="00330823"/>
    <w:rsid w:val="00332463"/>
    <w:rsid w:val="00332851"/>
    <w:rsid w:val="00336D1D"/>
    <w:rsid w:val="003379D6"/>
    <w:rsid w:val="00337A0E"/>
    <w:rsid w:val="00345654"/>
    <w:rsid w:val="0035278E"/>
    <w:rsid w:val="00361EF9"/>
    <w:rsid w:val="0037540A"/>
    <w:rsid w:val="003848A3"/>
    <w:rsid w:val="00384CB8"/>
    <w:rsid w:val="00385E3E"/>
    <w:rsid w:val="00396B24"/>
    <w:rsid w:val="00397FA3"/>
    <w:rsid w:val="003A766F"/>
    <w:rsid w:val="003B424F"/>
    <w:rsid w:val="003B497F"/>
    <w:rsid w:val="003B6208"/>
    <w:rsid w:val="003B6BC4"/>
    <w:rsid w:val="003C2812"/>
    <w:rsid w:val="003D1D55"/>
    <w:rsid w:val="003E1161"/>
    <w:rsid w:val="003E76DD"/>
    <w:rsid w:val="003F0F74"/>
    <w:rsid w:val="00400792"/>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1E04"/>
    <w:rsid w:val="004747C6"/>
    <w:rsid w:val="00483C87"/>
    <w:rsid w:val="004873A1"/>
    <w:rsid w:val="0049247B"/>
    <w:rsid w:val="004941A2"/>
    <w:rsid w:val="004A45E2"/>
    <w:rsid w:val="004B2F1A"/>
    <w:rsid w:val="004C546C"/>
    <w:rsid w:val="004D44CA"/>
    <w:rsid w:val="004D6C2B"/>
    <w:rsid w:val="004D7A2E"/>
    <w:rsid w:val="004E07CD"/>
    <w:rsid w:val="004E2339"/>
    <w:rsid w:val="004E3975"/>
    <w:rsid w:val="004E3ED3"/>
    <w:rsid w:val="004E5AAE"/>
    <w:rsid w:val="005067A7"/>
    <w:rsid w:val="00511AF4"/>
    <w:rsid w:val="0051392C"/>
    <w:rsid w:val="005214C0"/>
    <w:rsid w:val="005231DC"/>
    <w:rsid w:val="00523734"/>
    <w:rsid w:val="005279F9"/>
    <w:rsid w:val="00545C8C"/>
    <w:rsid w:val="0055379C"/>
    <w:rsid w:val="00555440"/>
    <w:rsid w:val="0055706A"/>
    <w:rsid w:val="00557402"/>
    <w:rsid w:val="00593190"/>
    <w:rsid w:val="00597FD5"/>
    <w:rsid w:val="005A4656"/>
    <w:rsid w:val="005A7CEA"/>
    <w:rsid w:val="005C158A"/>
    <w:rsid w:val="005C3DFF"/>
    <w:rsid w:val="005E2748"/>
    <w:rsid w:val="005E3E1B"/>
    <w:rsid w:val="005E4E14"/>
    <w:rsid w:val="005F30EF"/>
    <w:rsid w:val="00625D8E"/>
    <w:rsid w:val="00627647"/>
    <w:rsid w:val="00633024"/>
    <w:rsid w:val="00644CEC"/>
    <w:rsid w:val="00661C20"/>
    <w:rsid w:val="00667231"/>
    <w:rsid w:val="006720DF"/>
    <w:rsid w:val="00673EBD"/>
    <w:rsid w:val="00677F17"/>
    <w:rsid w:val="00682BFF"/>
    <w:rsid w:val="00696FDC"/>
    <w:rsid w:val="006A27E5"/>
    <w:rsid w:val="006A65D5"/>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418C6"/>
    <w:rsid w:val="00842457"/>
    <w:rsid w:val="00861C7A"/>
    <w:rsid w:val="008669B1"/>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6004"/>
    <w:rsid w:val="008D2846"/>
    <w:rsid w:val="008E03BE"/>
    <w:rsid w:val="008E4A12"/>
    <w:rsid w:val="008E5071"/>
    <w:rsid w:val="008F15B9"/>
    <w:rsid w:val="008F7B19"/>
    <w:rsid w:val="00901F6D"/>
    <w:rsid w:val="00902C16"/>
    <w:rsid w:val="00904EBE"/>
    <w:rsid w:val="00915CAD"/>
    <w:rsid w:val="009209B1"/>
    <w:rsid w:val="009215C6"/>
    <w:rsid w:val="00925869"/>
    <w:rsid w:val="00926ABB"/>
    <w:rsid w:val="00927261"/>
    <w:rsid w:val="00927E8A"/>
    <w:rsid w:val="009331B4"/>
    <w:rsid w:val="00934516"/>
    <w:rsid w:val="00936F83"/>
    <w:rsid w:val="00943FF6"/>
    <w:rsid w:val="00944290"/>
    <w:rsid w:val="009459D5"/>
    <w:rsid w:val="0094797B"/>
    <w:rsid w:val="00952743"/>
    <w:rsid w:val="00954A13"/>
    <w:rsid w:val="00955F6D"/>
    <w:rsid w:val="009573C2"/>
    <w:rsid w:val="00963E9A"/>
    <w:rsid w:val="009737B4"/>
    <w:rsid w:val="009759A1"/>
    <w:rsid w:val="00981471"/>
    <w:rsid w:val="009917F0"/>
    <w:rsid w:val="009A301E"/>
    <w:rsid w:val="009A3832"/>
    <w:rsid w:val="009A5E1C"/>
    <w:rsid w:val="009B5872"/>
    <w:rsid w:val="009B6A2D"/>
    <w:rsid w:val="009C4F61"/>
    <w:rsid w:val="009D5BAB"/>
    <w:rsid w:val="009E4EC5"/>
    <w:rsid w:val="009E6ED4"/>
    <w:rsid w:val="009E7171"/>
    <w:rsid w:val="009F06CB"/>
    <w:rsid w:val="009F731B"/>
    <w:rsid w:val="009F758B"/>
    <w:rsid w:val="00A01CDB"/>
    <w:rsid w:val="00A10259"/>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14023"/>
    <w:rsid w:val="00B20B32"/>
    <w:rsid w:val="00B3125C"/>
    <w:rsid w:val="00B329F9"/>
    <w:rsid w:val="00B438F2"/>
    <w:rsid w:val="00B45EDF"/>
    <w:rsid w:val="00B70F01"/>
    <w:rsid w:val="00B737FF"/>
    <w:rsid w:val="00B74D9C"/>
    <w:rsid w:val="00B76EA2"/>
    <w:rsid w:val="00B810AC"/>
    <w:rsid w:val="00B81256"/>
    <w:rsid w:val="00B9000F"/>
    <w:rsid w:val="00B911B1"/>
    <w:rsid w:val="00B91D6D"/>
    <w:rsid w:val="00B92FEE"/>
    <w:rsid w:val="00B9460B"/>
    <w:rsid w:val="00BA2CEB"/>
    <w:rsid w:val="00BB7B6E"/>
    <w:rsid w:val="00BC0AA3"/>
    <w:rsid w:val="00BC58FD"/>
    <w:rsid w:val="00BD4114"/>
    <w:rsid w:val="00BD4C5D"/>
    <w:rsid w:val="00BD4D14"/>
    <w:rsid w:val="00BD67D0"/>
    <w:rsid w:val="00BE0DBD"/>
    <w:rsid w:val="00BE6D20"/>
    <w:rsid w:val="00BF78E3"/>
    <w:rsid w:val="00C10CE1"/>
    <w:rsid w:val="00C16A65"/>
    <w:rsid w:val="00C27475"/>
    <w:rsid w:val="00C348A8"/>
    <w:rsid w:val="00C44346"/>
    <w:rsid w:val="00C47BFB"/>
    <w:rsid w:val="00C641CB"/>
    <w:rsid w:val="00C65B7C"/>
    <w:rsid w:val="00C66689"/>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254FA"/>
    <w:rsid w:val="00D30389"/>
    <w:rsid w:val="00D304C8"/>
    <w:rsid w:val="00D30D35"/>
    <w:rsid w:val="00D4144E"/>
    <w:rsid w:val="00D4639F"/>
    <w:rsid w:val="00D5233B"/>
    <w:rsid w:val="00D65AAE"/>
    <w:rsid w:val="00D6734B"/>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DF27D3"/>
    <w:rsid w:val="00DF323D"/>
    <w:rsid w:val="00E0063E"/>
    <w:rsid w:val="00E01E30"/>
    <w:rsid w:val="00E10C75"/>
    <w:rsid w:val="00E127AF"/>
    <w:rsid w:val="00E13016"/>
    <w:rsid w:val="00E14C3C"/>
    <w:rsid w:val="00E267E6"/>
    <w:rsid w:val="00E31E41"/>
    <w:rsid w:val="00E32368"/>
    <w:rsid w:val="00E33257"/>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A395E"/>
    <w:rsid w:val="00EB0968"/>
    <w:rsid w:val="00EC1C57"/>
    <w:rsid w:val="00EC7E0A"/>
    <w:rsid w:val="00ED00AF"/>
    <w:rsid w:val="00ED7949"/>
    <w:rsid w:val="00EE3B7D"/>
    <w:rsid w:val="00EF7293"/>
    <w:rsid w:val="00F066D7"/>
    <w:rsid w:val="00F14233"/>
    <w:rsid w:val="00F14583"/>
    <w:rsid w:val="00F16547"/>
    <w:rsid w:val="00F16840"/>
    <w:rsid w:val="00F17014"/>
    <w:rsid w:val="00F20B33"/>
    <w:rsid w:val="00F2103E"/>
    <w:rsid w:val="00F239D6"/>
    <w:rsid w:val="00F25073"/>
    <w:rsid w:val="00F267E0"/>
    <w:rsid w:val="00F27189"/>
    <w:rsid w:val="00F349C6"/>
    <w:rsid w:val="00F37D4B"/>
    <w:rsid w:val="00F37FEE"/>
    <w:rsid w:val="00F4118A"/>
    <w:rsid w:val="00F41896"/>
    <w:rsid w:val="00F443D7"/>
    <w:rsid w:val="00F46717"/>
    <w:rsid w:val="00F6097D"/>
    <w:rsid w:val="00F63B93"/>
    <w:rsid w:val="00F6440F"/>
    <w:rsid w:val="00F6500C"/>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5</b:RefOrder>
  </b:Source>
  <b:Source>
    <b:Tag>23786</b:Tag>
    <b:SourceType>ConferenceProceedings</b:SourceType>
    <b:Guid>{0C19B50A-01BF-45FE-B784-458827B420C3}</b:Guid>
    <b:Title>TR 23.786, Study on architecture enhancements for EPS and 5G System to support advanced V2X services</b:Title>
    <b:RefOrder>3</b:RefOrder>
  </b:Source>
  <b:Source>
    <b:Tag>RAN194</b:Tag>
    <b:SourceType>ConferenceProceedings</b:SourceType>
    <b:Guid>{E13282BA-7F3F-457C-A9C6-2B8FAF917F35}</b:Guid>
    <b:Title>RAN1#94, "Chairman Notes"</b:Title>
    <b:RefOrder>4</b:RefOrder>
  </b:Source>
  <b:Source>
    <b:Tag>unicastgroupcastdesing</b:Tag>
    <b:SourceType>ConferenceProceedings</b:SourceType>
    <b:Guid>{21F3C0B8-5302-4803-8FFF-50DEB73B1855}</b:Guid>
    <b:Title>R2-1814065, "Considerations on unicast and groupcast support over NR SL", Intel Corporation</b:Title>
    <b:RefOrder>2</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4D69657C-909D-4954-AC96-438360CAA01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534519-1FC9-4B6B-A8C1-C7E5D8617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7875</TotalTime>
  <Pages>3</Pages>
  <Words>1125</Words>
  <Characters>5985</Characters>
  <Application>Microsoft Office Word</Application>
  <DocSecurity>0</DocSecurity>
  <Lines>99</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299</cp:revision>
  <dcterms:created xsi:type="dcterms:W3CDTF">2017-08-12T02:26:00Z</dcterms:created>
  <dcterms:modified xsi:type="dcterms:W3CDTF">2018-09-28T04:17:00Z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2018-09-28 04:17:25Z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