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5AB6F42C" w:rsidR="00895250" w:rsidRPr="00895250"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895250">
        <w:rPr>
          <w:rFonts w:ascii="Arial" w:eastAsia="MS Mincho" w:hAnsi="Arial"/>
          <w:b/>
          <w:sz w:val="24"/>
          <w:szCs w:val="24"/>
          <w:lang w:val="en-GB" w:eastAsia="x-none"/>
        </w:rPr>
        <w:t>3GPP TSG</w:t>
      </w:r>
      <w:r w:rsidR="00813145">
        <w:rPr>
          <w:rFonts w:ascii="Arial" w:eastAsia="MS Mincho" w:hAnsi="Arial"/>
          <w:b/>
          <w:sz w:val="24"/>
          <w:szCs w:val="24"/>
          <w:lang w:val="en-GB" w:eastAsia="x-none"/>
        </w:rPr>
        <w:t>-RAN WG2 Meeting #103</w:t>
      </w:r>
      <w:r w:rsidR="00186F35">
        <w:rPr>
          <w:rFonts w:ascii="Arial" w:eastAsia="MS Mincho" w:hAnsi="Arial"/>
          <w:b/>
          <w:sz w:val="24"/>
          <w:szCs w:val="24"/>
          <w:lang w:val="en-GB" w:eastAsia="x-none"/>
        </w:rPr>
        <w:t>bis</w:t>
      </w:r>
      <w:r w:rsidR="00813145">
        <w:rPr>
          <w:rFonts w:ascii="Arial" w:eastAsia="MS Mincho" w:hAnsi="Arial"/>
          <w:b/>
          <w:sz w:val="24"/>
          <w:szCs w:val="24"/>
          <w:lang w:val="en-GB" w:eastAsia="x-none"/>
        </w:rPr>
        <w:tab/>
      </w:r>
      <w:bookmarkStart w:id="2" w:name="_GoBack"/>
      <w:bookmarkEnd w:id="2"/>
      <w:r w:rsidR="00813145">
        <w:rPr>
          <w:rFonts w:ascii="Arial" w:eastAsia="MS Mincho" w:hAnsi="Arial"/>
          <w:b/>
          <w:sz w:val="24"/>
          <w:szCs w:val="24"/>
          <w:lang w:val="en-GB" w:eastAsia="x-none"/>
        </w:rPr>
        <w:t>R2-18</w:t>
      </w:r>
      <w:r w:rsidR="00081B9C">
        <w:rPr>
          <w:rFonts w:ascii="Arial" w:eastAsia="MS Mincho" w:hAnsi="Arial"/>
          <w:b/>
          <w:sz w:val="24"/>
          <w:szCs w:val="24"/>
          <w:lang w:val="en-GB" w:eastAsia="x-none"/>
        </w:rPr>
        <w:t>13673</w:t>
      </w:r>
    </w:p>
    <w:p w14:paraId="6877EE3A" w14:textId="5F836790" w:rsidR="00895250" w:rsidRPr="00895250" w:rsidRDefault="00186F35"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Chengdu, China</w:t>
      </w:r>
      <w:r w:rsidR="00895250" w:rsidRPr="00895250">
        <w:rPr>
          <w:rFonts w:ascii="Arial" w:eastAsia="MS Mincho" w:hAnsi="Arial"/>
          <w:b/>
          <w:sz w:val="24"/>
          <w:szCs w:val="24"/>
          <w:lang w:val="en-GB" w:eastAsia="x-none"/>
        </w:rPr>
        <w:t xml:space="preserve">, </w:t>
      </w:r>
      <w:r w:rsidR="00F56E4E">
        <w:rPr>
          <w:rFonts w:ascii="Arial" w:eastAsia="MS Mincho" w:hAnsi="Arial"/>
          <w:b/>
          <w:sz w:val="24"/>
          <w:szCs w:val="24"/>
          <w:lang w:val="en-GB" w:eastAsia="x-none"/>
        </w:rPr>
        <w:t>8-12</w:t>
      </w:r>
      <w:r>
        <w:rPr>
          <w:rFonts w:ascii="Arial" w:eastAsia="MS Mincho" w:hAnsi="Arial"/>
          <w:b/>
          <w:sz w:val="24"/>
          <w:szCs w:val="24"/>
          <w:lang w:val="en-GB" w:eastAsia="x-none"/>
        </w:rPr>
        <w:t xml:space="preserve"> October</w:t>
      </w:r>
      <w:r w:rsidR="00895250" w:rsidRPr="00895250">
        <w:rPr>
          <w:rFonts w:ascii="Arial" w:eastAsia="MS Mincho" w:hAnsi="Arial"/>
          <w:b/>
          <w:sz w:val="24"/>
          <w:szCs w:val="24"/>
          <w:lang w:val="en-GB" w:eastAsia="x-none"/>
        </w:rPr>
        <w:t xml:space="preserve"> 2018</w:t>
      </w:r>
    </w:p>
    <w:p w14:paraId="41F9B491" w14:textId="49EFE19E" w:rsidR="0097167E" w:rsidRPr="000E3C08"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0E3C08" w:rsidRDefault="00A07E02" w:rsidP="00A07E02">
      <w:pPr>
        <w:pStyle w:val="3GPPHeader"/>
        <w:rPr>
          <w:rFonts w:ascii="Arial" w:hAnsi="Arial" w:cs="Arial"/>
          <w:color w:val="FF0000"/>
          <w:szCs w:val="24"/>
          <w:lang w:eastAsia="zh-TW"/>
        </w:rPr>
      </w:pPr>
    </w:p>
    <w:p w14:paraId="027912C8" w14:textId="6CBAE35D" w:rsidR="00A07E02" w:rsidRPr="000E3C08" w:rsidRDefault="00A07E02" w:rsidP="00A07E02">
      <w:pPr>
        <w:pStyle w:val="3GPPHeader"/>
        <w:rPr>
          <w:rFonts w:ascii="Arial" w:hAnsi="Arial" w:cs="Arial"/>
          <w:szCs w:val="24"/>
        </w:rPr>
      </w:pPr>
      <w:r w:rsidRPr="000E3C08">
        <w:rPr>
          <w:rFonts w:ascii="Arial" w:hAnsi="Arial" w:cs="Arial"/>
          <w:szCs w:val="24"/>
        </w:rPr>
        <w:t>Agenda Item:</w:t>
      </w:r>
      <w:r w:rsidRPr="000E3C08">
        <w:rPr>
          <w:rFonts w:ascii="Arial" w:hAnsi="Arial" w:cs="Arial"/>
          <w:szCs w:val="24"/>
        </w:rPr>
        <w:tab/>
      </w:r>
      <w:r w:rsidR="00F56E4E">
        <w:rPr>
          <w:rFonts w:ascii="Arial" w:hAnsi="Arial" w:cs="Arial"/>
          <w:szCs w:val="24"/>
        </w:rPr>
        <w:t>11.4.2.4</w:t>
      </w:r>
    </w:p>
    <w:p w14:paraId="79D236BA" w14:textId="77777777" w:rsidR="00A07E02" w:rsidRPr="000E3C08" w:rsidRDefault="00A07E02" w:rsidP="00A07E02">
      <w:pPr>
        <w:pStyle w:val="3GPPHeader"/>
        <w:rPr>
          <w:rFonts w:ascii="Arial" w:hAnsi="Arial" w:cs="Arial"/>
          <w:szCs w:val="24"/>
        </w:rPr>
      </w:pPr>
      <w:r w:rsidRPr="000E3C08">
        <w:rPr>
          <w:rFonts w:ascii="Arial" w:hAnsi="Arial" w:cs="Arial"/>
          <w:szCs w:val="24"/>
        </w:rPr>
        <w:t xml:space="preserve">Source: </w:t>
      </w:r>
      <w:r w:rsidRPr="000E3C08">
        <w:rPr>
          <w:rFonts w:ascii="Arial" w:hAnsi="Arial" w:cs="Arial"/>
          <w:szCs w:val="24"/>
        </w:rPr>
        <w:tab/>
      </w:r>
      <w:proofErr w:type="spellStart"/>
      <w:r w:rsidRPr="000E3C08">
        <w:rPr>
          <w:rFonts w:ascii="Arial" w:hAnsi="Arial" w:cs="Arial"/>
          <w:szCs w:val="24"/>
        </w:rPr>
        <w:t>MediaTek</w:t>
      </w:r>
      <w:proofErr w:type="spellEnd"/>
      <w:r w:rsidRPr="000E3C08">
        <w:rPr>
          <w:rFonts w:ascii="Arial" w:hAnsi="Arial" w:cs="Arial"/>
          <w:szCs w:val="24"/>
        </w:rPr>
        <w:t xml:space="preserve"> Inc.</w:t>
      </w:r>
    </w:p>
    <w:p w14:paraId="108A86FF" w14:textId="41D9E498" w:rsidR="00A07E02" w:rsidRPr="000E3C08" w:rsidRDefault="00FF0668" w:rsidP="00A07E02">
      <w:pPr>
        <w:pStyle w:val="3GPPHeaderArial"/>
        <w:tabs>
          <w:tab w:val="left" w:pos="1701"/>
        </w:tabs>
        <w:rPr>
          <w:b/>
          <w:sz w:val="24"/>
          <w:lang w:val="en-GB" w:eastAsia="zh-TW"/>
        </w:rPr>
      </w:pPr>
      <w:r w:rsidRPr="000E3C08">
        <w:rPr>
          <w:b/>
          <w:sz w:val="24"/>
          <w:lang w:val="en-GB"/>
        </w:rPr>
        <w:t xml:space="preserve">Title:  </w:t>
      </w:r>
      <w:r w:rsidRPr="000E3C08">
        <w:rPr>
          <w:b/>
          <w:sz w:val="24"/>
          <w:lang w:val="en-GB"/>
        </w:rPr>
        <w:tab/>
      </w:r>
      <w:r w:rsidR="000F596A">
        <w:rPr>
          <w:b/>
          <w:sz w:val="24"/>
          <w:lang w:val="en-GB"/>
        </w:rPr>
        <w:t>UE-assisted resource allocation for NR V2X</w:t>
      </w:r>
    </w:p>
    <w:p w14:paraId="2D698DC6" w14:textId="77777777" w:rsidR="00A07E02" w:rsidRPr="000E3C08" w:rsidRDefault="00A07E02" w:rsidP="00A07E02">
      <w:pPr>
        <w:pStyle w:val="3GPPHeaderArial"/>
        <w:tabs>
          <w:tab w:val="left" w:pos="1701"/>
        </w:tabs>
        <w:rPr>
          <w:b/>
          <w:sz w:val="24"/>
          <w:lang w:val="en-GB" w:eastAsia="zh-TW"/>
        </w:rPr>
      </w:pPr>
    </w:p>
    <w:p w14:paraId="4570B40E" w14:textId="77777777" w:rsidR="00A07E02" w:rsidRPr="000E3C08" w:rsidRDefault="00A07E02" w:rsidP="00A07E02">
      <w:pPr>
        <w:pStyle w:val="3GPPHeader"/>
        <w:rPr>
          <w:rFonts w:ascii="Arial" w:hAnsi="Arial" w:cs="Arial"/>
          <w:szCs w:val="24"/>
        </w:rPr>
      </w:pPr>
      <w:r w:rsidRPr="000E3C08">
        <w:rPr>
          <w:rFonts w:ascii="Arial" w:hAnsi="Arial" w:cs="Arial"/>
          <w:szCs w:val="24"/>
        </w:rPr>
        <w:t>Document for:</w:t>
      </w:r>
      <w:r w:rsidRPr="000E3C08">
        <w:rPr>
          <w:rFonts w:ascii="Arial" w:hAnsi="Arial" w:cs="Arial"/>
          <w:szCs w:val="24"/>
        </w:rPr>
        <w:tab/>
        <w:t>Discussion and decision</w:t>
      </w:r>
    </w:p>
    <w:p w14:paraId="0FB84FBC" w14:textId="77777777" w:rsidR="00A07E02" w:rsidRPr="000E3C08" w:rsidRDefault="00A07E02" w:rsidP="00A07E02">
      <w:pPr>
        <w:pStyle w:val="Heading1"/>
        <w:overflowPunct w:val="0"/>
        <w:autoSpaceDE w:val="0"/>
        <w:autoSpaceDN w:val="0"/>
        <w:adjustRightInd w:val="0"/>
        <w:rPr>
          <w:rFonts w:eastAsia="PMingLiU" w:cs="Arial"/>
        </w:rPr>
      </w:pPr>
      <w:r w:rsidRPr="000E3C08">
        <w:rPr>
          <w:rFonts w:eastAsia="PMingLiU" w:cs="Arial"/>
        </w:rPr>
        <w:t>Introduction</w:t>
      </w:r>
      <w:bookmarkStart w:id="3" w:name="OLE_LINK39"/>
      <w:bookmarkStart w:id="4" w:name="OLE_LINK38"/>
      <w:bookmarkStart w:id="5" w:name="OLE_LINK37"/>
    </w:p>
    <w:p w14:paraId="4C460ABD" w14:textId="188170D0" w:rsidR="00E55DCB" w:rsidRPr="00F56E4E" w:rsidRDefault="000F596A" w:rsidP="00820C96">
      <w:pPr>
        <w:spacing w:after="120"/>
        <w:jc w:val="both"/>
        <w:rPr>
          <w:rFonts w:asciiTheme="minorHAnsi" w:hAnsiTheme="minorHAnsi" w:cs="Arial"/>
          <w:szCs w:val="20"/>
          <w:lang w:val="en-GB"/>
        </w:rPr>
      </w:pPr>
      <w:r w:rsidRPr="00F56E4E">
        <w:rPr>
          <w:rFonts w:asciiTheme="minorHAnsi" w:hAnsiTheme="minorHAnsi" w:cs="Arial"/>
          <w:szCs w:val="20"/>
          <w:lang w:val="en-GB"/>
        </w:rPr>
        <w:t xml:space="preserve">During discussion of the NR V2X SI, RAN1 have discussed the possibility of supporting </w:t>
      </w:r>
      <w:r w:rsidR="00BE23C6" w:rsidRPr="00F56E4E">
        <w:rPr>
          <w:rFonts w:asciiTheme="minorHAnsi" w:hAnsiTheme="minorHAnsi" w:cs="Arial"/>
          <w:szCs w:val="20"/>
          <w:lang w:val="en-GB"/>
        </w:rPr>
        <w:t xml:space="preserve">some form of </w:t>
      </w:r>
      <w:r w:rsidRPr="00F56E4E">
        <w:rPr>
          <w:rFonts w:asciiTheme="minorHAnsi" w:hAnsiTheme="minorHAnsi" w:cs="Arial"/>
          <w:szCs w:val="20"/>
          <w:lang w:val="en-GB"/>
        </w:rPr>
        <w:t xml:space="preserve">UE-assisted resource allocation, in which one UE either assists or performs resource allocation for another UE ([1], section 7.2.4.1.4).  </w:t>
      </w:r>
      <w:r w:rsidR="000F4EBA" w:rsidRPr="00F56E4E">
        <w:rPr>
          <w:rFonts w:asciiTheme="minorHAnsi" w:hAnsiTheme="minorHAnsi" w:cs="Arial"/>
          <w:szCs w:val="20"/>
          <w:lang w:val="en-GB"/>
        </w:rPr>
        <w:t xml:space="preserve">This document </w:t>
      </w:r>
      <w:r w:rsidRPr="00F56E4E">
        <w:rPr>
          <w:rFonts w:asciiTheme="minorHAnsi" w:hAnsiTheme="minorHAnsi" w:cs="Arial"/>
          <w:szCs w:val="20"/>
          <w:lang w:val="en-GB"/>
        </w:rPr>
        <w:t xml:space="preserve">makes some preliminary </w:t>
      </w:r>
      <w:r w:rsidR="00D87764" w:rsidRPr="00F56E4E">
        <w:rPr>
          <w:rFonts w:asciiTheme="minorHAnsi" w:hAnsiTheme="minorHAnsi" w:cs="Arial"/>
          <w:szCs w:val="20"/>
          <w:lang w:val="en-GB"/>
        </w:rPr>
        <w:t>suggestions</w:t>
      </w:r>
      <w:r w:rsidRPr="00F56E4E">
        <w:rPr>
          <w:rFonts w:asciiTheme="minorHAnsi" w:hAnsiTheme="minorHAnsi" w:cs="Arial"/>
          <w:szCs w:val="20"/>
          <w:lang w:val="en-GB"/>
        </w:rPr>
        <w:t xml:space="preserve"> on this topic from a RAN2 perspective</w:t>
      </w:r>
      <w:r w:rsidR="000F4EBA" w:rsidRPr="00F56E4E">
        <w:rPr>
          <w:rFonts w:asciiTheme="minorHAnsi" w:hAnsiTheme="minorHAnsi" w:cs="Arial"/>
          <w:szCs w:val="20"/>
          <w:lang w:val="en-GB"/>
        </w:rPr>
        <w:t>.</w:t>
      </w:r>
    </w:p>
    <w:p w14:paraId="3E9FB8B8" w14:textId="77777777" w:rsidR="006564D5" w:rsidRPr="00DE165A" w:rsidRDefault="00A07E02" w:rsidP="00996FF6">
      <w:pPr>
        <w:pStyle w:val="Heading1"/>
        <w:overflowPunct w:val="0"/>
        <w:autoSpaceDE w:val="0"/>
        <w:autoSpaceDN w:val="0"/>
        <w:adjustRightInd w:val="0"/>
        <w:rPr>
          <w:rFonts w:eastAsia="PMingLiU" w:cs="Arial"/>
        </w:rPr>
      </w:pPr>
      <w:bookmarkStart w:id="6" w:name="OLE_LINK110"/>
      <w:bookmarkStart w:id="7" w:name="OLE_LINK109"/>
      <w:bookmarkEnd w:id="3"/>
      <w:bookmarkEnd w:id="4"/>
      <w:bookmarkEnd w:id="5"/>
      <w:r w:rsidRPr="00DE165A">
        <w:rPr>
          <w:rFonts w:eastAsia="PMingLiU"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2CFB23A4" w14:textId="18EB8B21" w:rsidR="00BE23C6" w:rsidRDefault="00BE23C6" w:rsidP="00BE23C6">
      <w:pPr>
        <w:spacing w:after="240"/>
        <w:rPr>
          <w:lang w:val="en-GB" w:eastAsia="en-US"/>
        </w:rPr>
      </w:pPr>
      <w:r w:rsidRPr="00BE23C6">
        <w:rPr>
          <w:lang w:val="en-GB" w:eastAsia="en-US"/>
        </w:rPr>
        <w:t xml:space="preserve">A UE-assisted resource allocation scheme could take either of two forms, depending on the level of involvement of the </w:t>
      </w:r>
      <w:proofErr w:type="spellStart"/>
      <w:r w:rsidRPr="00BE23C6">
        <w:rPr>
          <w:lang w:val="en-GB" w:eastAsia="en-US"/>
        </w:rPr>
        <w:t>gNB</w:t>
      </w:r>
      <w:proofErr w:type="spellEnd"/>
      <w:r w:rsidRPr="00BE23C6">
        <w:rPr>
          <w:lang w:val="en-GB" w:eastAsia="en-US"/>
        </w:rPr>
        <w:t>.  In either approach, there is a “controlling” UE that is responsible for communicating the resource allocation to the “communicating” UE that ultimately requires the resources.</w:t>
      </w:r>
      <w:r w:rsidR="00D87764">
        <w:rPr>
          <w:lang w:val="en-GB" w:eastAsia="en-US"/>
        </w:rPr>
        <w:t xml:space="preserve">  In partial-coverage cases, the controlling UE would be expected to be in coverage of the </w:t>
      </w:r>
      <w:proofErr w:type="spellStart"/>
      <w:r w:rsidR="00D87764">
        <w:rPr>
          <w:lang w:val="en-GB" w:eastAsia="en-US"/>
        </w:rPr>
        <w:t>gNB</w:t>
      </w:r>
      <w:proofErr w:type="spellEnd"/>
      <w:r w:rsidR="00D87764">
        <w:rPr>
          <w:lang w:val="en-GB" w:eastAsia="en-US"/>
        </w:rPr>
        <w:t xml:space="preserve"> while the communicating UE could be outside coverage.</w:t>
      </w:r>
    </w:p>
    <w:p w14:paraId="34945CAC" w14:textId="13195132" w:rsidR="00FF26D7" w:rsidRDefault="00FF26D7" w:rsidP="00BE23C6">
      <w:pPr>
        <w:spacing w:after="240"/>
        <w:rPr>
          <w:lang w:val="en-GB" w:eastAsia="en-US"/>
        </w:rPr>
      </w:pPr>
      <w:r>
        <w:rPr>
          <w:lang w:val="en-GB" w:eastAsia="en-US"/>
        </w:rPr>
        <w:t xml:space="preserve">UE-assisted scheduling could be particularly useful for cases where a “cluster head” UE has collective responsibility for the scheduling of multiple UEs.  For instance, this could apply in a platooning scenario, where the platoon leader could control scheduling of </w:t>
      </w:r>
      <w:proofErr w:type="spellStart"/>
      <w:r>
        <w:rPr>
          <w:lang w:val="en-GB" w:eastAsia="en-US"/>
        </w:rPr>
        <w:t>sidelink</w:t>
      </w:r>
      <w:proofErr w:type="spellEnd"/>
      <w:r>
        <w:rPr>
          <w:lang w:val="en-GB" w:eastAsia="en-US"/>
        </w:rPr>
        <w:t xml:space="preserve"> transmissions for the members.</w:t>
      </w:r>
      <w:r w:rsidR="00E25564">
        <w:rPr>
          <w:lang w:val="en-GB" w:eastAsia="en-US"/>
        </w:rPr>
        <w:t xml:space="preserve">  It could also apply when the controlling UE is a UE-type RSU, and it could be considered for general V2V cases with partial coverage, where an in-coverage UE could serve as a controlling UE to broker resources for nearby communicating UEs (with which it might have no other relationship).</w:t>
      </w:r>
    </w:p>
    <w:p w14:paraId="1FBCFB6F" w14:textId="30068EC4" w:rsidR="005C28B4" w:rsidRDefault="005C28B4" w:rsidP="005C28B4">
      <w:pPr>
        <w:pStyle w:val="Heading2"/>
      </w:pPr>
      <w:r>
        <w:t>Approach 1</w:t>
      </w:r>
    </w:p>
    <w:p w14:paraId="4F3D40B7" w14:textId="13218B86" w:rsidR="00BE23C6" w:rsidRDefault="00BE23C6" w:rsidP="00BE23C6">
      <w:pPr>
        <w:spacing w:after="240"/>
        <w:rPr>
          <w:lang w:val="en-GB" w:eastAsia="en-US"/>
        </w:rPr>
      </w:pPr>
      <w:r w:rsidRPr="00BE23C6">
        <w:rPr>
          <w:lang w:val="en-GB" w:eastAsia="en-US"/>
        </w:rPr>
        <w:t xml:space="preserve">In the first approach, the controlling UE obtains a grant of resources by some means (e.g. from the </w:t>
      </w:r>
      <w:proofErr w:type="spellStart"/>
      <w:r w:rsidRPr="00BE23C6">
        <w:rPr>
          <w:lang w:val="en-GB" w:eastAsia="en-US"/>
        </w:rPr>
        <w:t>gNB</w:t>
      </w:r>
      <w:proofErr w:type="spellEnd"/>
      <w:r w:rsidRPr="00BE23C6">
        <w:rPr>
          <w:lang w:val="en-GB" w:eastAsia="en-US"/>
        </w:rPr>
        <w:t xml:space="preserve"> while in coverage, or by an autonomous resource allocation scheme), and subsequently receives, processes, and answers a scheduling request from the communicating UE</w:t>
      </w:r>
      <w:r>
        <w:rPr>
          <w:lang w:val="en-GB" w:eastAsia="en-US"/>
        </w:rPr>
        <w:t xml:space="preserve">, as shown in </w:t>
      </w:r>
      <w:r>
        <w:rPr>
          <w:lang w:val="en-GB" w:eastAsia="en-US"/>
        </w:rPr>
        <w:fldChar w:fldCharType="begin"/>
      </w:r>
      <w:r>
        <w:rPr>
          <w:lang w:val="en-GB" w:eastAsia="en-US"/>
        </w:rPr>
        <w:instrText xml:space="preserve"> REF _Ref525033836 \h </w:instrText>
      </w:r>
      <w:r>
        <w:rPr>
          <w:lang w:val="en-GB" w:eastAsia="en-US"/>
        </w:rPr>
      </w:r>
      <w:r>
        <w:rPr>
          <w:lang w:val="en-GB" w:eastAsia="en-US"/>
        </w:rPr>
        <w:fldChar w:fldCharType="separate"/>
      </w:r>
      <w:r>
        <w:t xml:space="preserve">Figure </w:t>
      </w:r>
      <w:r>
        <w:rPr>
          <w:noProof/>
        </w:rPr>
        <w:t>1</w:t>
      </w:r>
      <w:r>
        <w:rPr>
          <w:lang w:val="en-GB" w:eastAsia="en-US"/>
        </w:rPr>
        <w:fldChar w:fldCharType="end"/>
      </w:r>
      <w:r w:rsidRPr="00BE23C6">
        <w:rPr>
          <w:lang w:val="en-GB" w:eastAsia="en-US"/>
        </w:rPr>
        <w:t>.</w:t>
      </w:r>
    </w:p>
    <w:p w14:paraId="0AC3D275" w14:textId="474CF12F" w:rsidR="00BE23C6" w:rsidRDefault="00BE23C6" w:rsidP="00BE23C6">
      <w:pPr>
        <w:keepNext/>
        <w:spacing w:after="240"/>
        <w:jc w:val="center"/>
      </w:pPr>
      <w:r>
        <w:object w:dxaOrig="8662" w:dyaOrig="3806" w14:anchorId="65E8D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183pt" o:ole="">
            <v:imagedata r:id="rId8" o:title=""/>
          </v:shape>
          <o:OLEObject Type="Embed" ProgID="Visio.Drawing.11" ShapeID="_x0000_i1025" DrawAspect="Content" ObjectID="_1599585975" r:id="rId9"/>
        </w:object>
      </w:r>
    </w:p>
    <w:p w14:paraId="0E03CAE5" w14:textId="22F7E537" w:rsidR="00BE23C6" w:rsidRDefault="00BE23C6" w:rsidP="00BE23C6">
      <w:pPr>
        <w:pStyle w:val="Caption"/>
        <w:jc w:val="center"/>
      </w:pPr>
      <w:bookmarkStart w:id="12" w:name="_Ref525033836"/>
      <w:r>
        <w:t xml:space="preserve">Figure </w:t>
      </w:r>
      <w:r>
        <w:fldChar w:fldCharType="begin"/>
      </w:r>
      <w:r>
        <w:instrText xml:space="preserve"> SEQ Figure \* ARABIC </w:instrText>
      </w:r>
      <w:r>
        <w:fldChar w:fldCharType="separate"/>
      </w:r>
      <w:r>
        <w:rPr>
          <w:noProof/>
        </w:rPr>
        <w:t>1</w:t>
      </w:r>
      <w:r>
        <w:fldChar w:fldCharType="end"/>
      </w:r>
      <w:bookmarkEnd w:id="12"/>
      <w:r>
        <w:t>: UE-assisted resource allocation, approach 1</w:t>
      </w:r>
    </w:p>
    <w:p w14:paraId="67DDAB63" w14:textId="529AAFF3" w:rsidR="00BE23C6" w:rsidRDefault="00BE23C6" w:rsidP="00BE23C6">
      <w:pPr>
        <w:spacing w:after="240"/>
        <w:rPr>
          <w:lang w:val="en-GB" w:eastAsia="en-US"/>
        </w:rPr>
      </w:pPr>
      <w:r>
        <w:rPr>
          <w:lang w:val="en-GB" w:eastAsia="en-US"/>
        </w:rPr>
        <w:t xml:space="preserve">This approach is particularly suited to the partial-coverage use case in which the controlling UE is in coverage while the communicating UE may not be.  The controlling UE can reserve a block of resources from the </w:t>
      </w:r>
      <w:proofErr w:type="spellStart"/>
      <w:r>
        <w:rPr>
          <w:lang w:val="en-GB" w:eastAsia="en-US"/>
        </w:rPr>
        <w:t>gNB</w:t>
      </w:r>
      <w:proofErr w:type="spellEnd"/>
      <w:r>
        <w:rPr>
          <w:lang w:val="en-GB" w:eastAsia="en-US"/>
        </w:rPr>
        <w:t>, such as an SPS-like configured grant, and then autonomously allocate those resources to requesting UEs.  This essentially puts some base station functionality in the controlling UE.</w:t>
      </w:r>
    </w:p>
    <w:p w14:paraId="6473915B" w14:textId="67881F88" w:rsidR="00BE23C6" w:rsidRDefault="00BE23C6" w:rsidP="00BE23C6">
      <w:pPr>
        <w:spacing w:after="240"/>
        <w:rPr>
          <w:lang w:val="en-GB" w:eastAsia="en-US"/>
        </w:rPr>
      </w:pPr>
      <w:r>
        <w:rPr>
          <w:lang w:val="en-GB" w:eastAsia="en-US"/>
        </w:rPr>
        <w:t>In addition, approach 1 can be used for the out-of-coverage use case, provided the controlling UE has some way to obtain its initial grant, e.g. by an autonomous resource reservation scheme (as discussed in RAN1 under Mode 2).  This could be especially applicable if the controlling UE is an RSU which effectively has the job of providing coverage for the area</w:t>
      </w:r>
      <w:r w:rsidR="00D87764">
        <w:rPr>
          <w:lang w:val="en-GB" w:eastAsia="en-US"/>
        </w:rPr>
        <w:t xml:space="preserve"> for V2X applications</w:t>
      </w:r>
      <w:r>
        <w:rPr>
          <w:lang w:val="en-GB" w:eastAsia="en-US"/>
        </w:rPr>
        <w:t>.</w:t>
      </w:r>
    </w:p>
    <w:p w14:paraId="6AD3283D" w14:textId="41BBAEFC" w:rsidR="00FF26D7" w:rsidRDefault="00BE23C6" w:rsidP="00BE23C6">
      <w:pPr>
        <w:spacing w:after="240"/>
        <w:rPr>
          <w:lang w:val="en-GB" w:eastAsia="en-US"/>
        </w:rPr>
      </w:pPr>
      <w:r>
        <w:rPr>
          <w:b/>
          <w:lang w:val="en-GB" w:eastAsia="en-US"/>
        </w:rPr>
        <w:t>Proposal 1:</w:t>
      </w:r>
      <w:r>
        <w:rPr>
          <w:lang w:val="en-GB" w:eastAsia="en-US"/>
        </w:rPr>
        <w:t xml:space="preserve"> Approach 1</w:t>
      </w:r>
      <w:r w:rsidR="005C28B4">
        <w:rPr>
          <w:lang w:val="en-GB" w:eastAsia="en-US"/>
        </w:rPr>
        <w:t>, in which the controlling UE issues a grant from its own resource reservation to the communicating UE,</w:t>
      </w:r>
      <w:r>
        <w:rPr>
          <w:lang w:val="en-GB" w:eastAsia="en-US"/>
        </w:rPr>
        <w:t xml:space="preserve"> can be considered in Rel-16 as a method of UE-assisted resource allocation.</w:t>
      </w:r>
    </w:p>
    <w:p w14:paraId="672E0A21" w14:textId="17027EA9" w:rsidR="00E65F07" w:rsidRDefault="00E65F07" w:rsidP="00BE23C6">
      <w:pPr>
        <w:spacing w:after="240"/>
        <w:rPr>
          <w:lang w:val="en-GB" w:eastAsia="en-US"/>
        </w:rPr>
      </w:pPr>
      <w:r>
        <w:rPr>
          <w:lang w:val="en-GB" w:eastAsia="en-US"/>
        </w:rPr>
        <w:t xml:space="preserve">In a variation on this theme, the </w:t>
      </w:r>
      <w:proofErr w:type="spellStart"/>
      <w:r>
        <w:rPr>
          <w:lang w:val="en-GB" w:eastAsia="en-US"/>
        </w:rPr>
        <w:t>gNB</w:t>
      </w:r>
      <w:proofErr w:type="spellEnd"/>
      <w:r>
        <w:rPr>
          <w:lang w:val="en-GB" w:eastAsia="en-US"/>
        </w:rPr>
        <w:t xml:space="preserve"> could only signal a resource pool (rather than an exclusive grant) to the controlling UEs, and each controlling UE could schedule resources within the pool.  This would allow the controlling UEs to prevent collisions between their own communicating UEs, but it does not avoid collisions between grants from two different controlling UEs—for example, if two platoons meet on the road, the platoon leaders may be scheduling their members for communication in the same resource pool, resulting in the potential for collision.  However, this may not be a problem for other deployment cases such as when the controlling UEs are RSUs.</w:t>
      </w:r>
    </w:p>
    <w:p w14:paraId="6082DA6D" w14:textId="5A57FD84" w:rsidR="00E65F07" w:rsidRPr="00E65F07" w:rsidRDefault="00E65F07" w:rsidP="00BE23C6">
      <w:pPr>
        <w:spacing w:after="240"/>
        <w:rPr>
          <w:lang w:val="en-GB" w:eastAsia="en-US"/>
        </w:rPr>
      </w:pPr>
      <w:r>
        <w:rPr>
          <w:b/>
          <w:lang w:val="en-GB" w:eastAsia="en-US"/>
        </w:rPr>
        <w:t>Proposal 2:</w:t>
      </w:r>
      <w:r>
        <w:rPr>
          <w:lang w:val="en-GB" w:eastAsia="en-US"/>
        </w:rPr>
        <w:t xml:space="preserve"> The “grant” in approach 1 can be considered either as an exclusive grant for a specific controlling UE or as a resource pool shared among multiple controlling UEs.</w:t>
      </w:r>
    </w:p>
    <w:p w14:paraId="25AAA693" w14:textId="1EC51924" w:rsidR="005C28B4" w:rsidRDefault="005C28B4" w:rsidP="005C28B4">
      <w:pPr>
        <w:pStyle w:val="Heading2"/>
      </w:pPr>
      <w:r>
        <w:t>Approach 2</w:t>
      </w:r>
    </w:p>
    <w:p w14:paraId="2794D372" w14:textId="42B320BC" w:rsidR="00BE23C6" w:rsidRDefault="00BE23C6" w:rsidP="00BE23C6">
      <w:pPr>
        <w:spacing w:after="240"/>
        <w:rPr>
          <w:lang w:val="en-GB" w:eastAsia="en-US"/>
        </w:rPr>
      </w:pPr>
      <w:r>
        <w:rPr>
          <w:lang w:val="en-GB" w:eastAsia="en-US"/>
        </w:rPr>
        <w:t xml:space="preserve">Alternatively, a second approach would have the controlling UE acting as a relay for scheduling requests and the corresponding grants.  This would allow the </w:t>
      </w:r>
      <w:proofErr w:type="spellStart"/>
      <w:r>
        <w:rPr>
          <w:lang w:val="en-GB" w:eastAsia="en-US"/>
        </w:rPr>
        <w:t>gNB</w:t>
      </w:r>
      <w:proofErr w:type="spellEnd"/>
      <w:r>
        <w:rPr>
          <w:lang w:val="en-GB" w:eastAsia="en-US"/>
        </w:rPr>
        <w:t xml:space="preserve"> to manage resources even for UEs out of coverage, as shown in </w:t>
      </w:r>
      <w:r>
        <w:rPr>
          <w:lang w:val="en-GB" w:eastAsia="en-US"/>
        </w:rPr>
        <w:fldChar w:fldCharType="begin"/>
      </w:r>
      <w:r>
        <w:rPr>
          <w:lang w:val="en-GB" w:eastAsia="en-US"/>
        </w:rPr>
        <w:instrText xml:space="preserve"> REF _Ref525034386 \h </w:instrText>
      </w:r>
      <w:r>
        <w:rPr>
          <w:lang w:val="en-GB" w:eastAsia="en-US"/>
        </w:rPr>
      </w:r>
      <w:r>
        <w:rPr>
          <w:lang w:val="en-GB" w:eastAsia="en-US"/>
        </w:rPr>
        <w:fldChar w:fldCharType="separate"/>
      </w:r>
      <w:r>
        <w:t xml:space="preserve">Figure </w:t>
      </w:r>
      <w:r>
        <w:rPr>
          <w:noProof/>
        </w:rPr>
        <w:t>2</w:t>
      </w:r>
      <w:r>
        <w:rPr>
          <w:lang w:val="en-GB" w:eastAsia="en-US"/>
        </w:rPr>
        <w:fldChar w:fldCharType="end"/>
      </w:r>
      <w:r>
        <w:rPr>
          <w:lang w:val="en-GB" w:eastAsia="en-US"/>
        </w:rPr>
        <w:t>.</w:t>
      </w:r>
    </w:p>
    <w:p w14:paraId="732C7484" w14:textId="0AA16676" w:rsidR="00BE23C6" w:rsidRPr="00BE23C6" w:rsidRDefault="005C28B4" w:rsidP="00BE23C6">
      <w:pPr>
        <w:keepNext/>
        <w:spacing w:after="240"/>
        <w:jc w:val="center"/>
        <w:rPr>
          <w:lang w:val="en-GB" w:eastAsia="en-US"/>
        </w:rPr>
      </w:pPr>
      <w:r>
        <w:object w:dxaOrig="8662" w:dyaOrig="3806" w14:anchorId="26C19385">
          <v:shape id="_x0000_i1026" type="#_x0000_t75" style="width:393.75pt;height:173.25pt" o:ole="">
            <v:imagedata r:id="rId10" o:title=""/>
          </v:shape>
          <o:OLEObject Type="Embed" ProgID="Visio.Drawing.11" ShapeID="_x0000_i1026" DrawAspect="Content" ObjectID="_1599585976" r:id="rId11"/>
        </w:object>
      </w:r>
    </w:p>
    <w:p w14:paraId="177D7EEE" w14:textId="0B0F5105" w:rsidR="00BE23C6" w:rsidRDefault="00BE23C6" w:rsidP="00BE23C6">
      <w:pPr>
        <w:pStyle w:val="Caption"/>
        <w:jc w:val="center"/>
      </w:pPr>
      <w:bookmarkStart w:id="13" w:name="_Ref525034386"/>
      <w:r>
        <w:t xml:space="preserve">Figure </w:t>
      </w:r>
      <w:r>
        <w:fldChar w:fldCharType="begin"/>
      </w:r>
      <w:r>
        <w:instrText xml:space="preserve"> SEQ Figure \* ARABIC </w:instrText>
      </w:r>
      <w:r>
        <w:fldChar w:fldCharType="separate"/>
      </w:r>
      <w:r>
        <w:rPr>
          <w:noProof/>
        </w:rPr>
        <w:t>2</w:t>
      </w:r>
      <w:r>
        <w:fldChar w:fldCharType="end"/>
      </w:r>
      <w:bookmarkEnd w:id="13"/>
      <w:r>
        <w:t>: UE-assisted resource allocation, approach 2</w:t>
      </w:r>
    </w:p>
    <w:p w14:paraId="65A3E1F0" w14:textId="7F339E78" w:rsidR="00BE23C6" w:rsidRDefault="005C28B4" w:rsidP="005C28B4">
      <w:pPr>
        <w:spacing w:after="240"/>
        <w:rPr>
          <w:lang w:val="en-GB" w:eastAsia="en-US"/>
        </w:rPr>
      </w:pPr>
      <w:r>
        <w:rPr>
          <w:lang w:val="en-GB" w:eastAsia="en-US"/>
        </w:rPr>
        <w:t xml:space="preserve">Because this approach depends on the real-time involvement of the </w:t>
      </w:r>
      <w:proofErr w:type="spellStart"/>
      <w:r>
        <w:rPr>
          <w:lang w:val="en-GB" w:eastAsia="en-US"/>
        </w:rPr>
        <w:t>gNB</w:t>
      </w:r>
      <w:proofErr w:type="spellEnd"/>
      <w:r>
        <w:rPr>
          <w:lang w:val="en-GB" w:eastAsia="en-US"/>
        </w:rPr>
        <w:t xml:space="preserve">, it is only suitable for the partial-coverage case (in principle it could also be used in-coverage, but it is not clear if there would be any benefit).  It essentially asks the controlling UE to act as a relay for the scheduling request and the corresponding grant, and thus it might seem that </w:t>
      </w:r>
      <w:r w:rsidR="00D87764">
        <w:rPr>
          <w:lang w:val="en-GB" w:eastAsia="en-US"/>
        </w:rPr>
        <w:t xml:space="preserve">any consideration of </w:t>
      </w:r>
      <w:r>
        <w:rPr>
          <w:lang w:val="en-GB" w:eastAsia="en-US"/>
        </w:rPr>
        <w:t>approach 2 should be deferred until the general discussion of relaying.</w:t>
      </w:r>
    </w:p>
    <w:p w14:paraId="66E5F45E" w14:textId="76DBE378" w:rsidR="005C28B4" w:rsidRDefault="005C28B4" w:rsidP="005C28B4">
      <w:pPr>
        <w:spacing w:after="240"/>
        <w:rPr>
          <w:lang w:val="en-GB" w:eastAsia="en-US"/>
        </w:rPr>
      </w:pPr>
      <w:r>
        <w:rPr>
          <w:lang w:val="en-GB" w:eastAsia="en-US"/>
        </w:rPr>
        <w:t xml:space="preserve">However, once approach 1 is specified, the needed signalling support for approach 2 is present.  For the communicating UE, the two approaches are not different; the communicating UE issues a scheduling request, receives a grant, and uses it to transmit.  In approach 1, the grant comes from a block of resources already available to the controlling UE; in approach 2, the grant is obtained from the </w:t>
      </w:r>
      <w:proofErr w:type="spellStart"/>
      <w:r>
        <w:rPr>
          <w:lang w:val="en-GB" w:eastAsia="en-US"/>
        </w:rPr>
        <w:t>gNB</w:t>
      </w:r>
      <w:proofErr w:type="spellEnd"/>
      <w:r>
        <w:rPr>
          <w:lang w:val="en-GB" w:eastAsia="en-US"/>
        </w:rPr>
        <w:t xml:space="preserve"> in real time, using regular signalling and procedures</w:t>
      </w:r>
      <w:r w:rsidR="00072EAE">
        <w:rPr>
          <w:lang w:val="en-GB" w:eastAsia="en-US"/>
        </w:rPr>
        <w:t>, potentially with some enhancement to indicate the correspondence between the relayed request and the grant</w:t>
      </w:r>
      <w:r>
        <w:rPr>
          <w:lang w:val="en-GB" w:eastAsia="en-US"/>
        </w:rPr>
        <w:t xml:space="preserve">.  The </w:t>
      </w:r>
      <w:r w:rsidR="00072EAE">
        <w:rPr>
          <w:lang w:val="en-GB" w:eastAsia="en-US"/>
        </w:rPr>
        <w:t xml:space="preserve">main </w:t>
      </w:r>
      <w:r>
        <w:rPr>
          <w:lang w:val="en-GB" w:eastAsia="en-US"/>
        </w:rPr>
        <w:t>difference is in the controlling UE implementation, and there seems no reason for the standard to exclude the implementation of approach 2.</w:t>
      </w:r>
    </w:p>
    <w:p w14:paraId="14C5320D" w14:textId="6CB26F1F" w:rsidR="005C28B4" w:rsidRDefault="005C28B4" w:rsidP="005C28B4">
      <w:pPr>
        <w:spacing w:after="240"/>
        <w:rPr>
          <w:lang w:val="en-GB" w:eastAsia="en-US"/>
        </w:rPr>
      </w:pPr>
      <w:r>
        <w:rPr>
          <w:b/>
          <w:lang w:val="en-GB" w:eastAsia="en-US"/>
        </w:rPr>
        <w:t xml:space="preserve">Proposal </w:t>
      </w:r>
      <w:r w:rsidR="00E65F07">
        <w:rPr>
          <w:b/>
          <w:lang w:val="en-GB" w:eastAsia="en-US"/>
        </w:rPr>
        <w:t>3</w:t>
      </w:r>
      <w:r>
        <w:rPr>
          <w:b/>
          <w:lang w:val="en-GB" w:eastAsia="en-US"/>
        </w:rPr>
        <w:t>:</w:t>
      </w:r>
      <w:r>
        <w:rPr>
          <w:lang w:val="en-GB" w:eastAsia="en-US"/>
        </w:rPr>
        <w:t xml:space="preserve"> Approach 2, in which the controlling UE forwards the communicating UE’s scheduling request and the corresponding grant, can be considered in Rel-16 as a method of UE-assisted resource allocation.</w:t>
      </w:r>
    </w:p>
    <w:p w14:paraId="08192C00" w14:textId="14E9FFE0" w:rsidR="005C28B4" w:rsidRDefault="005C28B4" w:rsidP="005C28B4">
      <w:pPr>
        <w:pStyle w:val="Heading2"/>
      </w:pPr>
      <w:r>
        <w:t>Specification impact</w:t>
      </w:r>
    </w:p>
    <w:p w14:paraId="48B9A489" w14:textId="65AAD494" w:rsidR="005C28B4" w:rsidRDefault="005C28B4" w:rsidP="005C28B4">
      <w:pPr>
        <w:spacing w:after="240"/>
        <w:rPr>
          <w:lang w:val="en-GB" w:eastAsia="en-US"/>
        </w:rPr>
      </w:pPr>
      <w:r>
        <w:rPr>
          <w:lang w:val="en-GB" w:eastAsia="en-US"/>
        </w:rPr>
        <w:t xml:space="preserve">The specification impact of approaches 1 and 2 is similar: The signalling for the scheduling request and corresponding grant needs to be defined for the </w:t>
      </w:r>
      <w:proofErr w:type="spellStart"/>
      <w:r>
        <w:rPr>
          <w:lang w:val="en-GB" w:eastAsia="en-US"/>
        </w:rPr>
        <w:t>sidelink</w:t>
      </w:r>
      <w:proofErr w:type="spellEnd"/>
      <w:r>
        <w:rPr>
          <w:lang w:val="en-GB" w:eastAsia="en-US"/>
        </w:rPr>
        <w:t xml:space="preserve">.  The scheduling mechanisms on the </w:t>
      </w:r>
      <w:proofErr w:type="spellStart"/>
      <w:r>
        <w:rPr>
          <w:lang w:val="en-GB" w:eastAsia="en-US"/>
        </w:rPr>
        <w:t>Uu</w:t>
      </w:r>
      <w:proofErr w:type="spellEnd"/>
      <w:r>
        <w:rPr>
          <w:lang w:val="en-GB" w:eastAsia="en-US"/>
        </w:rPr>
        <w:t xml:space="preserve"> interface will anyway need to be defined for Mode 1 resource allocation, and UE-assisted cases can reuse the same </w:t>
      </w:r>
      <w:proofErr w:type="spellStart"/>
      <w:r>
        <w:rPr>
          <w:lang w:val="en-GB" w:eastAsia="en-US"/>
        </w:rPr>
        <w:t>Uu</w:t>
      </w:r>
      <w:proofErr w:type="spellEnd"/>
      <w:r>
        <w:rPr>
          <w:lang w:val="en-GB" w:eastAsia="en-US"/>
        </w:rPr>
        <w:t xml:space="preserve"> signalling where applicable.</w:t>
      </w:r>
    </w:p>
    <w:p w14:paraId="65AA25FA" w14:textId="35FF6E77" w:rsidR="005C28B4" w:rsidRDefault="005C28B4" w:rsidP="005C28B4">
      <w:pPr>
        <w:spacing w:after="240"/>
        <w:rPr>
          <w:lang w:val="en-GB" w:eastAsia="en-US"/>
        </w:rPr>
      </w:pPr>
      <w:r>
        <w:rPr>
          <w:lang w:val="en-GB" w:eastAsia="en-US"/>
        </w:rPr>
        <w:t xml:space="preserve">Approach 1 requires that the </w:t>
      </w:r>
      <w:proofErr w:type="spellStart"/>
      <w:r>
        <w:rPr>
          <w:lang w:val="en-GB" w:eastAsia="en-US"/>
        </w:rPr>
        <w:t>Uu</w:t>
      </w:r>
      <w:proofErr w:type="spellEnd"/>
      <w:r>
        <w:rPr>
          <w:lang w:val="en-GB" w:eastAsia="en-US"/>
        </w:rPr>
        <w:t xml:space="preserve"> signalling would have the ability to give some form of “block” grant on the </w:t>
      </w:r>
      <w:proofErr w:type="spellStart"/>
      <w:r>
        <w:rPr>
          <w:lang w:val="en-GB" w:eastAsia="en-US"/>
        </w:rPr>
        <w:t>sidelink</w:t>
      </w:r>
      <w:proofErr w:type="spellEnd"/>
      <w:r>
        <w:rPr>
          <w:lang w:val="en-GB" w:eastAsia="en-US"/>
        </w:rPr>
        <w:t xml:space="preserve">, such as a configured grant (in which individual instances of the grant could then be “re-granted” to the communicating UE) or a signalled resource pool.  Since these resources are not intended to be used in real time, it may make sense to have them configured by RRC signalling similar to the </w:t>
      </w:r>
      <w:r w:rsidR="004B24FC">
        <w:rPr>
          <w:lang w:val="en-GB" w:eastAsia="en-US"/>
        </w:rPr>
        <w:t xml:space="preserve">type 1 </w:t>
      </w:r>
      <w:r>
        <w:rPr>
          <w:lang w:val="en-GB" w:eastAsia="en-US"/>
        </w:rPr>
        <w:t>configured grant.</w:t>
      </w:r>
    </w:p>
    <w:p w14:paraId="37CA044B" w14:textId="145DF445" w:rsidR="005C28B4" w:rsidRDefault="005C28B4" w:rsidP="005C28B4">
      <w:pPr>
        <w:spacing w:after="240"/>
        <w:rPr>
          <w:lang w:val="en-GB" w:eastAsia="en-US"/>
        </w:rPr>
      </w:pPr>
      <w:r>
        <w:rPr>
          <w:b/>
          <w:lang w:val="en-GB" w:eastAsia="en-US"/>
        </w:rPr>
        <w:t xml:space="preserve">Proposal </w:t>
      </w:r>
      <w:r w:rsidR="00E65F07">
        <w:rPr>
          <w:b/>
          <w:lang w:val="en-GB" w:eastAsia="en-US"/>
        </w:rPr>
        <w:t>4</w:t>
      </w:r>
      <w:r>
        <w:rPr>
          <w:b/>
          <w:lang w:val="en-GB" w:eastAsia="en-US"/>
        </w:rPr>
        <w:t>:</w:t>
      </w:r>
      <w:r>
        <w:rPr>
          <w:lang w:val="en-GB" w:eastAsia="en-US"/>
        </w:rPr>
        <w:t xml:space="preserve"> The resources for approach 1 can be assigned to the controlling UE by RRC signalling.</w:t>
      </w:r>
    </w:p>
    <w:p w14:paraId="21D43A30" w14:textId="724A9DD4" w:rsidR="00321F3E" w:rsidRDefault="00D87764" w:rsidP="005C28B4">
      <w:pPr>
        <w:spacing w:after="240"/>
        <w:rPr>
          <w:lang w:val="en-GB" w:eastAsia="en-US"/>
        </w:rPr>
      </w:pPr>
      <w:r>
        <w:rPr>
          <w:lang w:val="en-GB" w:eastAsia="en-US"/>
        </w:rPr>
        <w:t xml:space="preserve">A scheduling request/grant mechanism for the </w:t>
      </w:r>
      <w:proofErr w:type="spellStart"/>
      <w:r>
        <w:rPr>
          <w:lang w:val="en-GB" w:eastAsia="en-US"/>
        </w:rPr>
        <w:t>sidelink</w:t>
      </w:r>
      <w:proofErr w:type="spellEnd"/>
      <w:r>
        <w:rPr>
          <w:lang w:val="en-GB" w:eastAsia="en-US"/>
        </w:rPr>
        <w:t xml:space="preserve"> needs to be designed for both approaches.  We anticipate that this could impact both MAC and PHY layers and would need to be coordinated between RAN1 and RAN2.</w:t>
      </w:r>
    </w:p>
    <w:p w14:paraId="209E41AF" w14:textId="7370C637" w:rsidR="00D87764" w:rsidRPr="00D87764" w:rsidRDefault="00D87764" w:rsidP="005C28B4">
      <w:pPr>
        <w:spacing w:after="240"/>
        <w:rPr>
          <w:lang w:val="en-GB" w:eastAsia="en-US"/>
        </w:rPr>
      </w:pPr>
      <w:r>
        <w:rPr>
          <w:b/>
          <w:lang w:val="en-GB" w:eastAsia="en-US"/>
        </w:rPr>
        <w:t xml:space="preserve">Proposal </w:t>
      </w:r>
      <w:r w:rsidR="00E65F07">
        <w:rPr>
          <w:b/>
          <w:lang w:val="en-GB" w:eastAsia="en-US"/>
        </w:rPr>
        <w:t>5</w:t>
      </w:r>
      <w:r>
        <w:rPr>
          <w:b/>
          <w:lang w:val="en-GB" w:eastAsia="en-US"/>
        </w:rPr>
        <w:t>:</w:t>
      </w:r>
      <w:r>
        <w:rPr>
          <w:lang w:val="en-GB" w:eastAsia="en-US"/>
        </w:rPr>
        <w:t xml:space="preserve"> RAN2 should coordinate with RAN1 for the design of a request/grant mechanism on the </w:t>
      </w:r>
      <w:proofErr w:type="spellStart"/>
      <w:r>
        <w:rPr>
          <w:lang w:val="en-GB" w:eastAsia="en-US"/>
        </w:rPr>
        <w:t>sidelink</w:t>
      </w:r>
      <w:proofErr w:type="spellEnd"/>
      <w:r w:rsidR="00AE25A0">
        <w:rPr>
          <w:lang w:val="en-GB" w:eastAsia="en-US"/>
        </w:rPr>
        <w:t xml:space="preserve"> to enable UE-assisted resource allocation</w:t>
      </w:r>
      <w:r>
        <w:rPr>
          <w:lang w:val="en-GB" w:eastAsia="en-US"/>
        </w:rPr>
        <w:t>.</w:t>
      </w:r>
    </w:p>
    <w:p w14:paraId="0E35054B" w14:textId="6192AF61" w:rsidR="00A07E02" w:rsidRPr="00DE165A" w:rsidRDefault="00A07E02" w:rsidP="000E3C08">
      <w:pPr>
        <w:pStyle w:val="Heading1"/>
        <w:overflowPunct w:val="0"/>
        <w:autoSpaceDE w:val="0"/>
        <w:autoSpaceDN w:val="0"/>
        <w:adjustRightInd w:val="0"/>
        <w:rPr>
          <w:rFonts w:eastAsia="PMingLiU" w:cs="Arial"/>
        </w:rPr>
      </w:pPr>
      <w:r w:rsidRPr="00DE165A">
        <w:rPr>
          <w:rFonts w:eastAsia="PMingLiU" w:cs="Arial"/>
        </w:rPr>
        <w:lastRenderedPageBreak/>
        <w:t>Conclusion</w:t>
      </w:r>
    </w:p>
    <w:bookmarkEnd w:id="0"/>
    <w:bookmarkEnd w:id="1"/>
    <w:p w14:paraId="33E41A1C" w14:textId="2E3AAE42" w:rsidR="00C80EA8" w:rsidRDefault="00674996" w:rsidP="00076184">
      <w:pPr>
        <w:spacing w:after="120"/>
        <w:rPr>
          <w:rFonts w:ascii="Arial" w:hAnsi="Arial" w:cs="Arial"/>
          <w:sz w:val="20"/>
          <w:szCs w:val="20"/>
          <w:lang w:val="en-GB"/>
        </w:rPr>
      </w:pPr>
      <w:r>
        <w:rPr>
          <w:rFonts w:ascii="Arial" w:hAnsi="Arial" w:cs="Arial"/>
          <w:sz w:val="20"/>
          <w:szCs w:val="20"/>
          <w:lang w:val="en-GB"/>
        </w:rPr>
        <w:t>This document promulgated the following proposals</w:t>
      </w:r>
      <w:r w:rsidR="00C80EA8" w:rsidRPr="00CB6B00">
        <w:rPr>
          <w:rFonts w:ascii="Arial" w:hAnsi="Arial" w:cs="Arial"/>
          <w:sz w:val="20"/>
          <w:szCs w:val="20"/>
          <w:lang w:val="en-GB"/>
        </w:rPr>
        <w:t>:</w:t>
      </w:r>
    </w:p>
    <w:p w14:paraId="14ADD91D" w14:textId="77777777" w:rsidR="00081B9C" w:rsidRDefault="00081B9C" w:rsidP="00081B9C">
      <w:pPr>
        <w:spacing w:after="240"/>
        <w:rPr>
          <w:lang w:val="en-GB" w:eastAsia="en-US"/>
        </w:rPr>
      </w:pPr>
      <w:r>
        <w:rPr>
          <w:b/>
          <w:lang w:val="en-GB" w:eastAsia="en-US"/>
        </w:rPr>
        <w:t>Proposal 1:</w:t>
      </w:r>
      <w:r>
        <w:rPr>
          <w:lang w:val="en-GB" w:eastAsia="en-US"/>
        </w:rPr>
        <w:t xml:space="preserve"> Approach 1, in which the controlling UE issues a grant from its own resource reservation to the communicating UE, can be considered in Rel-16 as a method of UE-assisted resource allocation.</w:t>
      </w:r>
    </w:p>
    <w:p w14:paraId="6C6EEEA5" w14:textId="77777777" w:rsidR="00081B9C" w:rsidRPr="00E65F07" w:rsidRDefault="00081B9C" w:rsidP="00081B9C">
      <w:pPr>
        <w:spacing w:after="240"/>
        <w:rPr>
          <w:lang w:val="en-GB" w:eastAsia="en-US"/>
        </w:rPr>
      </w:pPr>
      <w:r>
        <w:rPr>
          <w:b/>
          <w:lang w:val="en-GB" w:eastAsia="en-US"/>
        </w:rPr>
        <w:t>Proposal 2:</w:t>
      </w:r>
      <w:r>
        <w:rPr>
          <w:lang w:val="en-GB" w:eastAsia="en-US"/>
        </w:rPr>
        <w:t xml:space="preserve"> The “grant” in approach 1 can be considered either as an exclusive grant for a specific controlling UE or as a resource pool shared among multiple controlling UEs.</w:t>
      </w:r>
    </w:p>
    <w:p w14:paraId="76C62A39" w14:textId="77777777" w:rsidR="00081B9C" w:rsidRDefault="00081B9C" w:rsidP="00081B9C">
      <w:pPr>
        <w:spacing w:after="240"/>
        <w:rPr>
          <w:lang w:val="en-GB" w:eastAsia="en-US"/>
        </w:rPr>
      </w:pPr>
      <w:r>
        <w:rPr>
          <w:b/>
          <w:lang w:val="en-GB" w:eastAsia="en-US"/>
        </w:rPr>
        <w:t>Proposal 3:</w:t>
      </w:r>
      <w:r>
        <w:rPr>
          <w:lang w:val="en-GB" w:eastAsia="en-US"/>
        </w:rPr>
        <w:t xml:space="preserve"> Approach 2, in which the controlling UE forwards the communicating UE’s scheduling request and the corresponding grant, can be considered in Rel-16 as a method of UE-assisted resource allocation.</w:t>
      </w:r>
    </w:p>
    <w:p w14:paraId="2B4EB755" w14:textId="77777777" w:rsidR="00081B9C" w:rsidRDefault="00081B9C" w:rsidP="00081B9C">
      <w:pPr>
        <w:spacing w:after="240"/>
        <w:rPr>
          <w:lang w:val="en-GB" w:eastAsia="en-US"/>
        </w:rPr>
      </w:pPr>
      <w:r>
        <w:rPr>
          <w:b/>
          <w:lang w:val="en-GB" w:eastAsia="en-US"/>
        </w:rPr>
        <w:t>Proposal 4:</w:t>
      </w:r>
      <w:r>
        <w:rPr>
          <w:lang w:val="en-GB" w:eastAsia="en-US"/>
        </w:rPr>
        <w:t xml:space="preserve"> The resources for approach 1 can be assigned to the controlling UE by RRC signalling.</w:t>
      </w:r>
    </w:p>
    <w:p w14:paraId="05DBFDA4" w14:textId="77777777" w:rsidR="00081B9C" w:rsidRPr="00D87764" w:rsidRDefault="00081B9C" w:rsidP="00081B9C">
      <w:pPr>
        <w:spacing w:after="240"/>
        <w:rPr>
          <w:lang w:val="en-GB" w:eastAsia="en-US"/>
        </w:rPr>
      </w:pPr>
      <w:r>
        <w:rPr>
          <w:b/>
          <w:lang w:val="en-GB" w:eastAsia="en-US"/>
        </w:rPr>
        <w:t>Proposal 5:</w:t>
      </w:r>
      <w:r>
        <w:rPr>
          <w:lang w:val="en-GB" w:eastAsia="en-US"/>
        </w:rPr>
        <w:t xml:space="preserve"> RAN2 should coordinate with RAN1 for the design of a request/grant mechanism on the </w:t>
      </w:r>
      <w:proofErr w:type="spellStart"/>
      <w:r>
        <w:rPr>
          <w:lang w:val="en-GB" w:eastAsia="en-US"/>
        </w:rPr>
        <w:t>sidelink</w:t>
      </w:r>
      <w:proofErr w:type="spellEnd"/>
      <w:r>
        <w:rPr>
          <w:lang w:val="en-GB" w:eastAsia="en-US"/>
        </w:rPr>
        <w:t xml:space="preserve"> to enable UE-assisted resource allocation.</w:t>
      </w:r>
    </w:p>
    <w:p w14:paraId="1CD51B74" w14:textId="71304200" w:rsidR="00A07E02" w:rsidRPr="00DE165A" w:rsidRDefault="007E37A2" w:rsidP="00A07E02">
      <w:pPr>
        <w:pStyle w:val="Heading1"/>
        <w:overflowPunct w:val="0"/>
        <w:autoSpaceDE w:val="0"/>
        <w:autoSpaceDN w:val="0"/>
        <w:adjustRightInd w:val="0"/>
        <w:rPr>
          <w:rFonts w:eastAsia="PMingLiU" w:cs="Arial"/>
        </w:rPr>
      </w:pPr>
      <w:r w:rsidRPr="00DE165A">
        <w:rPr>
          <w:rFonts w:eastAsia="PMingLiU" w:cs="Arial"/>
          <w:lang w:eastAsia="zh-TW"/>
        </w:rPr>
        <w:t>R</w:t>
      </w:r>
      <w:r w:rsidR="00A07E02" w:rsidRPr="00DE165A">
        <w:rPr>
          <w:rFonts w:eastAsia="PMingLiU" w:cs="Arial"/>
        </w:rPr>
        <w:t>eference</w:t>
      </w:r>
      <w:r w:rsidR="00674996">
        <w:rPr>
          <w:rFonts w:eastAsia="PMingLiU" w:cs="Arial"/>
        </w:rPr>
        <w:t>s</w:t>
      </w:r>
    </w:p>
    <w:p w14:paraId="67D9A507" w14:textId="69D27E74" w:rsidR="00DE139C" w:rsidRDefault="000F596A" w:rsidP="000F4EBA">
      <w:pPr>
        <w:numPr>
          <w:ilvl w:val="0"/>
          <w:numId w:val="10"/>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RAN1 Chairman’s Notes, RAN1#94</w:t>
      </w:r>
    </w:p>
    <w:sectPr w:rsidR="00DE139C" w:rsidSect="00E70F1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A8586" w14:textId="77777777" w:rsidR="0014577D" w:rsidRDefault="0014577D">
      <w:pPr>
        <w:pStyle w:val="TAL"/>
      </w:pPr>
      <w:r>
        <w:separator/>
      </w:r>
    </w:p>
  </w:endnote>
  <w:endnote w:type="continuationSeparator" w:id="0">
    <w:p w14:paraId="34896BEE" w14:textId="77777777" w:rsidR="0014577D" w:rsidRDefault="0014577D">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C879C5">
      <w:t>4</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6CF9B" w14:textId="77777777" w:rsidR="0014577D" w:rsidRDefault="0014577D">
      <w:pPr>
        <w:pStyle w:val="TAL"/>
      </w:pPr>
      <w:r>
        <w:separator/>
      </w:r>
    </w:p>
  </w:footnote>
  <w:footnote w:type="continuationSeparator" w:id="0">
    <w:p w14:paraId="0327E7C6" w14:textId="77777777" w:rsidR="0014577D" w:rsidRDefault="0014577D">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7"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8"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1"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7"/>
  </w:num>
  <w:num w:numId="5">
    <w:abstractNumId w:val="4"/>
  </w:num>
  <w:num w:numId="6">
    <w:abstractNumId w:val="3"/>
  </w:num>
  <w:num w:numId="7">
    <w:abstractNumId w:val="14"/>
  </w:num>
  <w:num w:numId="8">
    <w:abstractNumId w:val="13"/>
  </w:num>
  <w:num w:numId="9">
    <w:abstractNumId w:val="0"/>
  </w:num>
  <w:num w:numId="10">
    <w:abstractNumId w:val="2"/>
  </w:num>
  <w:num w:numId="11">
    <w:abstractNumId w:val="9"/>
  </w:num>
  <w:num w:numId="12">
    <w:abstractNumId w:val="12"/>
  </w:num>
  <w:num w:numId="13">
    <w:abstractNumId w:val="11"/>
  </w:num>
  <w:num w:numId="14">
    <w:abstractNumId w:val="1"/>
  </w:num>
  <w:num w:numId="15">
    <w:abstractNumId w:val="8"/>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153"/>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2EAE"/>
    <w:rsid w:val="00073F74"/>
    <w:rsid w:val="00073F79"/>
    <w:rsid w:val="00075D95"/>
    <w:rsid w:val="00076184"/>
    <w:rsid w:val="00076AB1"/>
    <w:rsid w:val="00076DA4"/>
    <w:rsid w:val="000771A9"/>
    <w:rsid w:val="00077A44"/>
    <w:rsid w:val="00077AA6"/>
    <w:rsid w:val="00077D9E"/>
    <w:rsid w:val="0008028B"/>
    <w:rsid w:val="00081B9C"/>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F6"/>
    <w:rsid w:val="000C01C4"/>
    <w:rsid w:val="000C1A87"/>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8AF"/>
    <w:rsid w:val="000D5252"/>
    <w:rsid w:val="000D5403"/>
    <w:rsid w:val="000D572E"/>
    <w:rsid w:val="000D57FE"/>
    <w:rsid w:val="000D5C8A"/>
    <w:rsid w:val="000D6E96"/>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6D34"/>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596A"/>
    <w:rsid w:val="000F606C"/>
    <w:rsid w:val="000F7D52"/>
    <w:rsid w:val="00100446"/>
    <w:rsid w:val="001004B3"/>
    <w:rsid w:val="00100575"/>
    <w:rsid w:val="0010066F"/>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D36"/>
    <w:rsid w:val="001341E3"/>
    <w:rsid w:val="001352BE"/>
    <w:rsid w:val="001355E7"/>
    <w:rsid w:val="00136162"/>
    <w:rsid w:val="001364F1"/>
    <w:rsid w:val="0013657B"/>
    <w:rsid w:val="001367F5"/>
    <w:rsid w:val="00137935"/>
    <w:rsid w:val="00140ABD"/>
    <w:rsid w:val="00140B83"/>
    <w:rsid w:val="0014152E"/>
    <w:rsid w:val="0014243A"/>
    <w:rsid w:val="001424E0"/>
    <w:rsid w:val="00142855"/>
    <w:rsid w:val="00142930"/>
    <w:rsid w:val="00142D75"/>
    <w:rsid w:val="001436D1"/>
    <w:rsid w:val="00144732"/>
    <w:rsid w:val="00144BD2"/>
    <w:rsid w:val="00144ED0"/>
    <w:rsid w:val="00145581"/>
    <w:rsid w:val="0014577D"/>
    <w:rsid w:val="00145B02"/>
    <w:rsid w:val="00145D63"/>
    <w:rsid w:val="0014605E"/>
    <w:rsid w:val="001468C6"/>
    <w:rsid w:val="00147188"/>
    <w:rsid w:val="0014780B"/>
    <w:rsid w:val="00147C32"/>
    <w:rsid w:val="00147E9F"/>
    <w:rsid w:val="0015004C"/>
    <w:rsid w:val="00150718"/>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6802"/>
    <w:rsid w:val="001E6840"/>
    <w:rsid w:val="001E6981"/>
    <w:rsid w:val="001E69FB"/>
    <w:rsid w:val="001E7D1D"/>
    <w:rsid w:val="001F0310"/>
    <w:rsid w:val="001F21D0"/>
    <w:rsid w:val="001F2A83"/>
    <w:rsid w:val="001F31AA"/>
    <w:rsid w:val="001F3360"/>
    <w:rsid w:val="001F39ED"/>
    <w:rsid w:val="001F3A6A"/>
    <w:rsid w:val="001F493D"/>
    <w:rsid w:val="001F4E4E"/>
    <w:rsid w:val="001F5388"/>
    <w:rsid w:val="001F6192"/>
    <w:rsid w:val="001F639C"/>
    <w:rsid w:val="001F6702"/>
    <w:rsid w:val="001F6FEB"/>
    <w:rsid w:val="001F71D1"/>
    <w:rsid w:val="001F74D9"/>
    <w:rsid w:val="001F770E"/>
    <w:rsid w:val="001F7DB4"/>
    <w:rsid w:val="002003DF"/>
    <w:rsid w:val="00200A80"/>
    <w:rsid w:val="00200C37"/>
    <w:rsid w:val="00200E29"/>
    <w:rsid w:val="00201A88"/>
    <w:rsid w:val="002024F8"/>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A2B"/>
    <w:rsid w:val="0021459D"/>
    <w:rsid w:val="00214AB8"/>
    <w:rsid w:val="00214C48"/>
    <w:rsid w:val="00214E0D"/>
    <w:rsid w:val="00215261"/>
    <w:rsid w:val="00217020"/>
    <w:rsid w:val="002170A4"/>
    <w:rsid w:val="00217757"/>
    <w:rsid w:val="00217911"/>
    <w:rsid w:val="00217A70"/>
    <w:rsid w:val="00217AA0"/>
    <w:rsid w:val="00217B22"/>
    <w:rsid w:val="00220189"/>
    <w:rsid w:val="0022080A"/>
    <w:rsid w:val="00221143"/>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21F2"/>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6AB"/>
    <w:rsid w:val="00276A4C"/>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F6"/>
    <w:rsid w:val="002B3425"/>
    <w:rsid w:val="002B34BE"/>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1F3E"/>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26"/>
    <w:rsid w:val="003A4A98"/>
    <w:rsid w:val="003A4DB4"/>
    <w:rsid w:val="003A4E3A"/>
    <w:rsid w:val="003A558B"/>
    <w:rsid w:val="003A5A48"/>
    <w:rsid w:val="003A5E90"/>
    <w:rsid w:val="003A611A"/>
    <w:rsid w:val="003A6719"/>
    <w:rsid w:val="003A6C5D"/>
    <w:rsid w:val="003B024D"/>
    <w:rsid w:val="003B0A3F"/>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11153"/>
    <w:rsid w:val="004118E1"/>
    <w:rsid w:val="004122A9"/>
    <w:rsid w:val="00412B14"/>
    <w:rsid w:val="0041338B"/>
    <w:rsid w:val="004139A2"/>
    <w:rsid w:val="00413F26"/>
    <w:rsid w:val="00414729"/>
    <w:rsid w:val="00414B67"/>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4FC"/>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6CB5"/>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B72"/>
    <w:rsid w:val="00586C4E"/>
    <w:rsid w:val="00586E3D"/>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8B4"/>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D9A"/>
    <w:rsid w:val="0067208E"/>
    <w:rsid w:val="00672D29"/>
    <w:rsid w:val="006732AC"/>
    <w:rsid w:val="0067369D"/>
    <w:rsid w:val="006744BE"/>
    <w:rsid w:val="00674940"/>
    <w:rsid w:val="00674996"/>
    <w:rsid w:val="0067520C"/>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EDC"/>
    <w:rsid w:val="00697139"/>
    <w:rsid w:val="006972B1"/>
    <w:rsid w:val="0069732A"/>
    <w:rsid w:val="0069745B"/>
    <w:rsid w:val="006A05B7"/>
    <w:rsid w:val="006A11C0"/>
    <w:rsid w:val="006A19C6"/>
    <w:rsid w:val="006A3712"/>
    <w:rsid w:val="006A39C1"/>
    <w:rsid w:val="006A3E5E"/>
    <w:rsid w:val="006A4181"/>
    <w:rsid w:val="006A4C5A"/>
    <w:rsid w:val="006A5923"/>
    <w:rsid w:val="006A5EDB"/>
    <w:rsid w:val="006A6641"/>
    <w:rsid w:val="006A68E1"/>
    <w:rsid w:val="006A6E87"/>
    <w:rsid w:val="006A712C"/>
    <w:rsid w:val="006A773A"/>
    <w:rsid w:val="006A784B"/>
    <w:rsid w:val="006A79D8"/>
    <w:rsid w:val="006B0711"/>
    <w:rsid w:val="006B097C"/>
    <w:rsid w:val="006B2CDC"/>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B9B"/>
    <w:rsid w:val="006E14DA"/>
    <w:rsid w:val="006E1D67"/>
    <w:rsid w:val="006E1D92"/>
    <w:rsid w:val="006E25DA"/>
    <w:rsid w:val="006E2DCF"/>
    <w:rsid w:val="006E2EAC"/>
    <w:rsid w:val="006E362F"/>
    <w:rsid w:val="006E36E0"/>
    <w:rsid w:val="006E3714"/>
    <w:rsid w:val="006E3743"/>
    <w:rsid w:val="006E38EB"/>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771"/>
    <w:rsid w:val="006F77FC"/>
    <w:rsid w:val="006F7F11"/>
    <w:rsid w:val="00700368"/>
    <w:rsid w:val="007004AD"/>
    <w:rsid w:val="007013C5"/>
    <w:rsid w:val="00702589"/>
    <w:rsid w:val="0070266C"/>
    <w:rsid w:val="007030DF"/>
    <w:rsid w:val="00703B17"/>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39F"/>
    <w:rsid w:val="0073254A"/>
    <w:rsid w:val="00733293"/>
    <w:rsid w:val="0073419A"/>
    <w:rsid w:val="00734460"/>
    <w:rsid w:val="007357E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0B8"/>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EAD"/>
    <w:rsid w:val="00831844"/>
    <w:rsid w:val="00831A7F"/>
    <w:rsid w:val="00832977"/>
    <w:rsid w:val="0083315C"/>
    <w:rsid w:val="00833ACE"/>
    <w:rsid w:val="0083414F"/>
    <w:rsid w:val="0083442C"/>
    <w:rsid w:val="008344A7"/>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EF6"/>
    <w:rsid w:val="008B62BE"/>
    <w:rsid w:val="008B66CC"/>
    <w:rsid w:val="008B71C5"/>
    <w:rsid w:val="008B75F2"/>
    <w:rsid w:val="008B776C"/>
    <w:rsid w:val="008C2131"/>
    <w:rsid w:val="008C29A5"/>
    <w:rsid w:val="008C29C2"/>
    <w:rsid w:val="008C3B66"/>
    <w:rsid w:val="008C45BD"/>
    <w:rsid w:val="008C4707"/>
    <w:rsid w:val="008C5BCC"/>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0008"/>
    <w:rsid w:val="008E14CB"/>
    <w:rsid w:val="008E15FA"/>
    <w:rsid w:val="008E1E83"/>
    <w:rsid w:val="008E294A"/>
    <w:rsid w:val="008E35AE"/>
    <w:rsid w:val="008E3906"/>
    <w:rsid w:val="008E44CF"/>
    <w:rsid w:val="008E4AD0"/>
    <w:rsid w:val="008E56F0"/>
    <w:rsid w:val="008E5967"/>
    <w:rsid w:val="008E62EE"/>
    <w:rsid w:val="008E7264"/>
    <w:rsid w:val="008F06DC"/>
    <w:rsid w:val="008F071D"/>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529E"/>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853"/>
    <w:rsid w:val="00953E42"/>
    <w:rsid w:val="00953EA9"/>
    <w:rsid w:val="0095415D"/>
    <w:rsid w:val="0095572E"/>
    <w:rsid w:val="00955D98"/>
    <w:rsid w:val="009566B1"/>
    <w:rsid w:val="009567EA"/>
    <w:rsid w:val="00957093"/>
    <w:rsid w:val="00957495"/>
    <w:rsid w:val="00957F2C"/>
    <w:rsid w:val="0096110A"/>
    <w:rsid w:val="009612F0"/>
    <w:rsid w:val="00961385"/>
    <w:rsid w:val="00961A04"/>
    <w:rsid w:val="009629D0"/>
    <w:rsid w:val="00963078"/>
    <w:rsid w:val="00964825"/>
    <w:rsid w:val="00964D76"/>
    <w:rsid w:val="00964F2C"/>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972"/>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2AD8"/>
    <w:rsid w:val="009C2E9D"/>
    <w:rsid w:val="009C3001"/>
    <w:rsid w:val="009C3DD3"/>
    <w:rsid w:val="009C4CA6"/>
    <w:rsid w:val="009C5B46"/>
    <w:rsid w:val="009C68EA"/>
    <w:rsid w:val="009C7446"/>
    <w:rsid w:val="009C7639"/>
    <w:rsid w:val="009C7C5D"/>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24EB"/>
    <w:rsid w:val="00A428C8"/>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1F8"/>
    <w:rsid w:val="00A74BE8"/>
    <w:rsid w:val="00A74DE3"/>
    <w:rsid w:val="00A750ED"/>
    <w:rsid w:val="00A7586E"/>
    <w:rsid w:val="00A75F32"/>
    <w:rsid w:val="00A75FCC"/>
    <w:rsid w:val="00A76013"/>
    <w:rsid w:val="00A76616"/>
    <w:rsid w:val="00A76D84"/>
    <w:rsid w:val="00A77168"/>
    <w:rsid w:val="00A7747C"/>
    <w:rsid w:val="00A77A37"/>
    <w:rsid w:val="00A77DD3"/>
    <w:rsid w:val="00A80351"/>
    <w:rsid w:val="00A80536"/>
    <w:rsid w:val="00A806F5"/>
    <w:rsid w:val="00A8112E"/>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5A0"/>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AA"/>
    <w:rsid w:val="00B00928"/>
    <w:rsid w:val="00B00B6C"/>
    <w:rsid w:val="00B01D5A"/>
    <w:rsid w:val="00B01D5F"/>
    <w:rsid w:val="00B02336"/>
    <w:rsid w:val="00B0326E"/>
    <w:rsid w:val="00B03CE6"/>
    <w:rsid w:val="00B03EB9"/>
    <w:rsid w:val="00B04F42"/>
    <w:rsid w:val="00B04F5E"/>
    <w:rsid w:val="00B05173"/>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98"/>
    <w:rsid w:val="00B3605F"/>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D8C"/>
    <w:rsid w:val="00B80DC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F04"/>
    <w:rsid w:val="00B942DF"/>
    <w:rsid w:val="00B9450D"/>
    <w:rsid w:val="00B94FD9"/>
    <w:rsid w:val="00B95576"/>
    <w:rsid w:val="00B95C14"/>
    <w:rsid w:val="00B96386"/>
    <w:rsid w:val="00B96849"/>
    <w:rsid w:val="00B976CB"/>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DCA"/>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604"/>
    <w:rsid w:val="00BB7655"/>
    <w:rsid w:val="00BB76E8"/>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4639"/>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3C6"/>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94E"/>
    <w:rsid w:val="00BF7CB3"/>
    <w:rsid w:val="00BF7E51"/>
    <w:rsid w:val="00C0009C"/>
    <w:rsid w:val="00C00354"/>
    <w:rsid w:val="00C01273"/>
    <w:rsid w:val="00C01B69"/>
    <w:rsid w:val="00C01E7B"/>
    <w:rsid w:val="00C027B7"/>
    <w:rsid w:val="00C03FA5"/>
    <w:rsid w:val="00C03FBA"/>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DDC"/>
    <w:rsid w:val="00C5265A"/>
    <w:rsid w:val="00C52B23"/>
    <w:rsid w:val="00C52FEA"/>
    <w:rsid w:val="00C53CD2"/>
    <w:rsid w:val="00C540FB"/>
    <w:rsid w:val="00C54C98"/>
    <w:rsid w:val="00C556D1"/>
    <w:rsid w:val="00C55745"/>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931"/>
    <w:rsid w:val="00C847BF"/>
    <w:rsid w:val="00C853DC"/>
    <w:rsid w:val="00C86129"/>
    <w:rsid w:val="00C862C6"/>
    <w:rsid w:val="00C868E1"/>
    <w:rsid w:val="00C87205"/>
    <w:rsid w:val="00C876CE"/>
    <w:rsid w:val="00C879C5"/>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5B1"/>
    <w:rsid w:val="00CF1A67"/>
    <w:rsid w:val="00CF1FF1"/>
    <w:rsid w:val="00CF31D0"/>
    <w:rsid w:val="00CF36B4"/>
    <w:rsid w:val="00CF384B"/>
    <w:rsid w:val="00CF3F14"/>
    <w:rsid w:val="00CF3FEA"/>
    <w:rsid w:val="00CF4C39"/>
    <w:rsid w:val="00CF4DA3"/>
    <w:rsid w:val="00CF525A"/>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E68"/>
    <w:rsid w:val="00D46F6B"/>
    <w:rsid w:val="00D502ED"/>
    <w:rsid w:val="00D5068D"/>
    <w:rsid w:val="00D50809"/>
    <w:rsid w:val="00D50C48"/>
    <w:rsid w:val="00D519ED"/>
    <w:rsid w:val="00D536C4"/>
    <w:rsid w:val="00D546B8"/>
    <w:rsid w:val="00D54CF8"/>
    <w:rsid w:val="00D54D64"/>
    <w:rsid w:val="00D55098"/>
    <w:rsid w:val="00D55974"/>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764"/>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43F6"/>
    <w:rsid w:val="00D944DC"/>
    <w:rsid w:val="00D94882"/>
    <w:rsid w:val="00D9492F"/>
    <w:rsid w:val="00D94C5B"/>
    <w:rsid w:val="00D95561"/>
    <w:rsid w:val="00D956EF"/>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4C5"/>
    <w:rsid w:val="00DC0C04"/>
    <w:rsid w:val="00DC13B4"/>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E7D"/>
    <w:rsid w:val="00DF10AF"/>
    <w:rsid w:val="00DF119D"/>
    <w:rsid w:val="00DF15EC"/>
    <w:rsid w:val="00DF2143"/>
    <w:rsid w:val="00DF232B"/>
    <w:rsid w:val="00DF2B34"/>
    <w:rsid w:val="00DF2C5A"/>
    <w:rsid w:val="00DF2D9D"/>
    <w:rsid w:val="00DF30B7"/>
    <w:rsid w:val="00DF3167"/>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936"/>
    <w:rsid w:val="00E2505A"/>
    <w:rsid w:val="00E25564"/>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5F07"/>
    <w:rsid w:val="00E6669D"/>
    <w:rsid w:val="00E67A7C"/>
    <w:rsid w:val="00E67FAC"/>
    <w:rsid w:val="00E70BDC"/>
    <w:rsid w:val="00E70F17"/>
    <w:rsid w:val="00E70F1A"/>
    <w:rsid w:val="00E71B36"/>
    <w:rsid w:val="00E72ACE"/>
    <w:rsid w:val="00E7303C"/>
    <w:rsid w:val="00E73955"/>
    <w:rsid w:val="00E73D97"/>
    <w:rsid w:val="00E7406A"/>
    <w:rsid w:val="00E742F5"/>
    <w:rsid w:val="00E7470D"/>
    <w:rsid w:val="00E75521"/>
    <w:rsid w:val="00E7693C"/>
    <w:rsid w:val="00E769EC"/>
    <w:rsid w:val="00E76C12"/>
    <w:rsid w:val="00E77DBE"/>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B5"/>
    <w:rsid w:val="00E87D23"/>
    <w:rsid w:val="00E90DA9"/>
    <w:rsid w:val="00E90E9A"/>
    <w:rsid w:val="00E91054"/>
    <w:rsid w:val="00E926F4"/>
    <w:rsid w:val="00E927FF"/>
    <w:rsid w:val="00E93328"/>
    <w:rsid w:val="00E9340C"/>
    <w:rsid w:val="00E93892"/>
    <w:rsid w:val="00E93BA8"/>
    <w:rsid w:val="00E94B65"/>
    <w:rsid w:val="00E94BCD"/>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33BA"/>
    <w:rsid w:val="00F136BE"/>
    <w:rsid w:val="00F1388D"/>
    <w:rsid w:val="00F142FE"/>
    <w:rsid w:val="00F14AEE"/>
    <w:rsid w:val="00F14E11"/>
    <w:rsid w:val="00F15237"/>
    <w:rsid w:val="00F1534C"/>
    <w:rsid w:val="00F15427"/>
    <w:rsid w:val="00F15672"/>
    <w:rsid w:val="00F1584F"/>
    <w:rsid w:val="00F163EF"/>
    <w:rsid w:val="00F1649D"/>
    <w:rsid w:val="00F16943"/>
    <w:rsid w:val="00F17841"/>
    <w:rsid w:val="00F17E30"/>
    <w:rsid w:val="00F205A5"/>
    <w:rsid w:val="00F206CE"/>
    <w:rsid w:val="00F209FC"/>
    <w:rsid w:val="00F20C78"/>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E4E"/>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26D7"/>
    <w:rsid w:val="00FF3457"/>
    <w:rsid w:val="00FF468D"/>
    <w:rsid w:val="00FF4A47"/>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FB7963-042B-4733-A078-C188CE965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1168</Words>
  <Characters>6664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7817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Nathan Tenny</cp:lastModifiedBy>
  <cp:revision>2</cp:revision>
  <cp:lastPrinted>2007-12-21T04:58:00Z</cp:lastPrinted>
  <dcterms:created xsi:type="dcterms:W3CDTF">2018-09-28T03:40:00Z</dcterms:created>
  <dcterms:modified xsi:type="dcterms:W3CDTF">2018-09-28T03:40:00Z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