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F51AF" w14:textId="0F658C8D"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553FFF">
        <w:rPr>
          <w:rFonts w:cs="Arial" w:hint="eastAsia"/>
          <w:lang w:eastAsia="ja-JP"/>
        </w:rPr>
        <w:t>102</w:t>
      </w:r>
      <w:r w:rsidRPr="00863065">
        <w:rPr>
          <w:rFonts w:cs="Arial"/>
        </w:rPr>
        <w:tab/>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F407F6">
        <w:rPr>
          <w:rFonts w:cs="Arial"/>
          <w:lang w:eastAsia="ja-JP"/>
        </w:rPr>
        <w:t>0</w:t>
      </w:r>
      <w:r w:rsidR="003A66B5">
        <w:rPr>
          <w:rFonts w:cs="Arial"/>
          <w:lang w:eastAsia="ja-JP"/>
        </w:rPr>
        <w:t>7390</w:t>
      </w:r>
    </w:p>
    <w:p w14:paraId="170D94F2" w14:textId="77777777" w:rsidR="00DB7D65" w:rsidRPr="00863065" w:rsidRDefault="00553FFF" w:rsidP="00156F86">
      <w:pPr>
        <w:pStyle w:val="af6"/>
        <w:tabs>
          <w:tab w:val="left" w:pos="709"/>
          <w:tab w:val="right" w:pos="9639"/>
        </w:tabs>
        <w:spacing w:after="0"/>
        <w:jc w:val="left"/>
        <w:rPr>
          <w:rFonts w:cs="Arial"/>
          <w:lang w:val="en-US" w:eastAsia="ja-JP"/>
        </w:rPr>
      </w:pPr>
      <w:r>
        <w:rPr>
          <w:rFonts w:cs="Arial"/>
          <w:lang w:val="en-US" w:eastAsia="ja-JP"/>
        </w:rPr>
        <w:t>21</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25</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May</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14:paraId="7F17D0BE" w14:textId="77777777" w:rsidR="00DB7D65" w:rsidRPr="00863065" w:rsidRDefault="00553FFF"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Busan</w:t>
      </w:r>
      <w:r w:rsidR="00947941" w:rsidRPr="00863065">
        <w:rPr>
          <w:rFonts w:cs="Arial"/>
          <w:lang w:val="en-US" w:eastAsia="ja-JP"/>
        </w:rPr>
        <w:t xml:space="preserve">, </w:t>
      </w:r>
      <w:r>
        <w:rPr>
          <w:rFonts w:cs="Arial"/>
          <w:lang w:val="en-US" w:eastAsia="ja-JP"/>
        </w:rPr>
        <w:t>Korea</w:t>
      </w:r>
    </w:p>
    <w:p w14:paraId="4FAFF824"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2CCF654E" w14:textId="45CDB438"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r w:rsidR="009E3992">
        <w:rPr>
          <w:rFonts w:ascii="Arial" w:hAnsi="Arial" w:cs="Arial"/>
          <w:b/>
          <w:sz w:val="24"/>
          <w:lang w:val="en-US" w:eastAsia="ja-JP"/>
        </w:rPr>
        <w:t>, Intel Corporation</w:t>
      </w:r>
    </w:p>
    <w:p w14:paraId="2B6E2E37" w14:textId="7777777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25B2F">
        <w:rPr>
          <w:rFonts w:ascii="Arial" w:hAnsi="Arial" w:cs="Arial"/>
          <w:b/>
          <w:sz w:val="24"/>
        </w:rPr>
        <w:t>Bandwidth configuration for basic BWP operation</w:t>
      </w:r>
    </w:p>
    <w:p w14:paraId="3CEFB565"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530EAD1F" w14:textId="77777777"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042003">
        <w:rPr>
          <w:rFonts w:ascii="Arial" w:hAnsi="Arial" w:cs="Arial"/>
          <w:b/>
          <w:sz w:val="24"/>
          <w:lang w:eastAsia="ja-JP"/>
        </w:rPr>
        <w:t>10.2.2.1</w:t>
      </w:r>
      <w:r w:rsidR="00DF7871">
        <w:rPr>
          <w:rFonts w:ascii="Arial" w:hAnsi="Arial" w:cs="Arial"/>
          <w:b/>
          <w:sz w:val="24"/>
          <w:lang w:eastAsia="ja-JP"/>
        </w:rPr>
        <w:tab/>
      </w:r>
      <w:r w:rsidR="00042003">
        <w:rPr>
          <w:rFonts w:ascii="Arial" w:hAnsi="Arial" w:cs="Arial"/>
          <w:b/>
          <w:sz w:val="24"/>
          <w:lang w:eastAsia="ja-JP"/>
        </w:rPr>
        <w:t>Stage 2 corrections</w:t>
      </w:r>
      <w:r w:rsidR="00DF7871">
        <w:rPr>
          <w:rFonts w:ascii="Arial" w:hAnsi="Arial" w:cs="Arial"/>
          <w:b/>
          <w:sz w:val="24"/>
          <w:lang w:eastAsia="ja-JP"/>
        </w:rPr>
        <w:t xml:space="preserve"> for EN-DC</w:t>
      </w:r>
      <w:r w:rsidR="00042003">
        <w:rPr>
          <w:rFonts w:ascii="Arial" w:hAnsi="Arial" w:cs="Arial"/>
          <w:b/>
          <w:sz w:val="24"/>
          <w:lang w:eastAsia="ja-JP"/>
        </w:rPr>
        <w:tab/>
        <w:t>-</w:t>
      </w:r>
      <w:r w:rsidR="00042003">
        <w:rPr>
          <w:rFonts w:ascii="Arial" w:hAnsi="Arial" w:cs="Arial"/>
          <w:b/>
          <w:sz w:val="24"/>
          <w:lang w:eastAsia="ja-JP"/>
        </w:rPr>
        <w:tab/>
        <w:t>Use plane</w:t>
      </w:r>
    </w:p>
    <w:p w14:paraId="75145866"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28902E9A" w14:textId="77777777" w:rsidR="00CA2777" w:rsidRDefault="008E4B60" w:rsidP="00CA2777">
      <w:pPr>
        <w:rPr>
          <w:lang w:eastAsia="ja-JP"/>
        </w:rPr>
      </w:pPr>
      <w:r>
        <w:rPr>
          <w:rFonts w:hint="eastAsia"/>
          <w:lang w:eastAsia="ja-JP"/>
        </w:rPr>
        <w:t>At RAN2 #101bis, RAN2 agreed as follows:</w:t>
      </w:r>
    </w:p>
    <w:p w14:paraId="3E589300" w14:textId="77777777" w:rsidR="008E4B60" w:rsidRDefault="00DD382D" w:rsidP="00DD382D">
      <w:pPr>
        <w:pStyle w:val="B1"/>
        <w:pBdr>
          <w:top w:val="single" w:sz="4" w:space="1" w:color="auto"/>
          <w:left w:val="single" w:sz="4" w:space="4" w:color="auto"/>
          <w:bottom w:val="single" w:sz="4" w:space="1" w:color="auto"/>
          <w:right w:val="single" w:sz="4" w:space="4" w:color="auto"/>
        </w:pBdr>
      </w:pPr>
      <w:r>
        <w:t>=&gt;</w:t>
      </w:r>
      <w:r>
        <w:tab/>
      </w:r>
      <w:r w:rsidRPr="00DD382D">
        <w:t>At P/SCell addition and at HO it shall be possible that the UE immediately uses a BWP as configured by the network and not be limited to initially using the Initial BWP as in system information (which may be limited in bandwidth).</w:t>
      </w:r>
    </w:p>
    <w:p w14:paraId="670C44A9" w14:textId="77777777" w:rsidR="008E4B60" w:rsidRPr="00CA2777" w:rsidRDefault="00885FF2" w:rsidP="00CA2777">
      <w:pPr>
        <w:rPr>
          <w:lang w:eastAsia="ja-JP"/>
        </w:rPr>
      </w:pPr>
      <w:r>
        <w:rPr>
          <w:rFonts w:hint="eastAsia"/>
          <w:lang w:eastAsia="ja-JP"/>
        </w:rPr>
        <w:t xml:space="preserve">An email discussion took place after the </w:t>
      </w:r>
      <w:r w:rsidR="00376158">
        <w:rPr>
          <w:lang w:eastAsia="ja-JP"/>
        </w:rPr>
        <w:t>#</w:t>
      </w:r>
      <w:r>
        <w:rPr>
          <w:rFonts w:hint="eastAsia"/>
          <w:lang w:eastAsia="ja-JP"/>
        </w:rPr>
        <w:t>101bis meeting</w:t>
      </w:r>
      <w:r>
        <w:rPr>
          <w:lang w:eastAsia="ja-JP"/>
        </w:rPr>
        <w:t xml:space="preserve">, focusing on RRC triggered activation </w:t>
      </w:r>
      <w:r w:rsidR="00350A2B">
        <w:rPr>
          <w:lang w:eastAsia="ja-JP"/>
        </w:rPr>
        <w:t>[101bis#40]</w:t>
      </w:r>
      <w:r w:rsidR="00376158">
        <w:rPr>
          <w:lang w:eastAsia="ja-JP"/>
        </w:rPr>
        <w:t xml:space="preserve"> </w:t>
      </w:r>
      <w:r w:rsidR="00350A2B">
        <w:rPr>
          <w:lang w:eastAsia="ja-JP"/>
        </w:rPr>
        <w:t xml:space="preserve">[NR]. </w:t>
      </w:r>
      <w:r w:rsidR="00376158">
        <w:rPr>
          <w:lang w:eastAsia="ja-JP"/>
        </w:rPr>
        <w:t>Since the email discussion paid attention to the other aspects and is not likely to conclude to work on the above agreement, this paper attempts to investigate how to iron out the limitation as stated in the agreement.</w:t>
      </w:r>
    </w:p>
    <w:p w14:paraId="5CB2E32E" w14:textId="77777777" w:rsidR="005852CD" w:rsidRDefault="00C30470" w:rsidP="00C30470">
      <w:pPr>
        <w:pStyle w:val="2"/>
        <w:numPr>
          <w:ilvl w:val="0"/>
          <w:numId w:val="2"/>
        </w:numPr>
        <w:rPr>
          <w:lang w:eastAsia="ja-JP"/>
        </w:rPr>
      </w:pPr>
      <w:r>
        <w:rPr>
          <w:rFonts w:hint="eastAsia"/>
          <w:lang w:eastAsia="ja-JP"/>
        </w:rPr>
        <w:t>Discussion</w:t>
      </w:r>
    </w:p>
    <w:p w14:paraId="55C2491B" w14:textId="77777777" w:rsidR="00F823B1" w:rsidRDefault="00F823B1" w:rsidP="00F823B1">
      <w:pPr>
        <w:pStyle w:val="2"/>
        <w:numPr>
          <w:ilvl w:val="1"/>
          <w:numId w:val="2"/>
        </w:numPr>
        <w:rPr>
          <w:rFonts w:cs="Arial"/>
          <w:lang w:eastAsia="ja-JP"/>
        </w:rPr>
      </w:pPr>
      <w:r>
        <w:rPr>
          <w:rFonts w:cs="Arial" w:hint="eastAsia"/>
          <w:lang w:eastAsia="ja-JP"/>
        </w:rPr>
        <w:t>Clarification on bandwidth limitation</w:t>
      </w:r>
    </w:p>
    <w:p w14:paraId="197B7225" w14:textId="77777777" w:rsidR="00B62CC2" w:rsidRDefault="00B62CC2" w:rsidP="00CA2777">
      <w:pPr>
        <w:rPr>
          <w:lang w:eastAsia="ja-JP"/>
        </w:rPr>
      </w:pPr>
      <w:r>
        <w:rPr>
          <w:rFonts w:hint="eastAsia"/>
          <w:lang w:eastAsia="ja-JP"/>
        </w:rPr>
        <w:t xml:space="preserve">At first, the UE acquire the bandwidth of initial BWP via MIB (P-BCH). MIB includes </w:t>
      </w:r>
      <w:r w:rsidRPr="00B62CC2">
        <w:rPr>
          <w:rFonts w:hint="eastAsia"/>
          <w:i/>
          <w:lang w:eastAsia="ja-JP"/>
        </w:rPr>
        <w:t>pdcch-ConfigSIB</w:t>
      </w:r>
      <w:r>
        <w:rPr>
          <w:rFonts w:hint="eastAsia"/>
          <w:lang w:eastAsia="ja-JP"/>
        </w:rPr>
        <w:t xml:space="preserve"> (a.k.a </w:t>
      </w:r>
      <w:r w:rsidRPr="00B62CC2">
        <w:rPr>
          <w:rFonts w:hint="eastAsia"/>
          <w:i/>
          <w:lang w:eastAsia="ja-JP"/>
        </w:rPr>
        <w:t>RMSI-PDC</w:t>
      </w:r>
      <w:r w:rsidR="00496073">
        <w:rPr>
          <w:rFonts w:hint="eastAsia"/>
          <w:i/>
          <w:lang w:eastAsia="ja-JP"/>
        </w:rPr>
        <w:t>C</w:t>
      </w:r>
      <w:r w:rsidRPr="00B62CC2">
        <w:rPr>
          <w:rFonts w:hint="eastAsia"/>
          <w:i/>
          <w:lang w:eastAsia="ja-JP"/>
        </w:rPr>
        <w:t>H-Config</w:t>
      </w:r>
      <w:r>
        <w:rPr>
          <w:rFonts w:hint="eastAsia"/>
          <w:lang w:eastAsia="ja-JP"/>
        </w:rPr>
        <w:t xml:space="preserve"> in RAN1 specifications), </w:t>
      </w:r>
      <w:r>
        <w:rPr>
          <w:lang w:eastAsia="ja-JP"/>
        </w:rPr>
        <w:t>which</w:t>
      </w:r>
      <w:r>
        <w:rPr>
          <w:rFonts w:hint="eastAsia"/>
          <w:lang w:eastAsia="ja-JP"/>
        </w:rPr>
        <w:t xml:space="preserve"> </w:t>
      </w:r>
      <w:r w:rsidR="00496073">
        <w:rPr>
          <w:rFonts w:hint="eastAsia"/>
          <w:lang w:eastAsia="ja-JP"/>
        </w:rPr>
        <w:t xml:space="preserve">provides the number of PRBs for CORESET #0. CORESET #0 is used at least for SIB1. The number of PRBs supported for CORESET #0 is limited to 24, 48 and 96 </w:t>
      </w:r>
      <w:r w:rsidR="00C16963">
        <w:rPr>
          <w:rFonts w:hint="eastAsia"/>
          <w:lang w:eastAsia="ja-JP"/>
        </w:rPr>
        <w:t>P</w:t>
      </w:r>
      <w:r w:rsidR="00496073">
        <w:rPr>
          <w:rFonts w:hint="eastAsia"/>
          <w:lang w:eastAsia="ja-JP"/>
        </w:rPr>
        <w:t xml:space="preserve">RBs. </w:t>
      </w:r>
      <w:r w:rsidR="00CE3480">
        <w:rPr>
          <w:rFonts w:hint="eastAsia"/>
          <w:lang w:eastAsia="ja-JP"/>
        </w:rPr>
        <w:t xml:space="preserve">In addition, </w:t>
      </w:r>
      <w:r w:rsidR="00CE3480" w:rsidRPr="00CE3480">
        <w:rPr>
          <w:rFonts w:hint="eastAsia"/>
          <w:i/>
          <w:lang w:eastAsia="ja-JP"/>
        </w:rPr>
        <w:t>ServingCellConfigCommon</w:t>
      </w:r>
      <w:r w:rsidR="00CE3480">
        <w:rPr>
          <w:rFonts w:hint="eastAsia"/>
          <w:lang w:eastAsia="ja-JP"/>
        </w:rPr>
        <w:t xml:space="preserve"> allows </w:t>
      </w:r>
      <w:r w:rsidR="00B67F09">
        <w:rPr>
          <w:lang w:eastAsia="ja-JP"/>
        </w:rPr>
        <w:t>the</w:t>
      </w:r>
      <w:r w:rsidR="00B67F09">
        <w:rPr>
          <w:rFonts w:hint="eastAsia"/>
          <w:lang w:eastAsia="ja-JP"/>
        </w:rPr>
        <w:t xml:space="preserve"> NW </w:t>
      </w:r>
      <w:r w:rsidR="00CE3480">
        <w:rPr>
          <w:rFonts w:hint="eastAsia"/>
          <w:lang w:eastAsia="ja-JP"/>
        </w:rPr>
        <w:t xml:space="preserve">to configure </w:t>
      </w:r>
      <w:r w:rsidR="00CE3480">
        <w:rPr>
          <w:lang w:eastAsia="ja-JP"/>
        </w:rPr>
        <w:t>the</w:t>
      </w:r>
      <w:r w:rsidR="00CE3480">
        <w:rPr>
          <w:rFonts w:hint="eastAsia"/>
          <w:lang w:eastAsia="ja-JP"/>
        </w:rPr>
        <w:t xml:space="preserve"> bandwidth of initial DL/UL BWP up to 275 PRBs</w:t>
      </w:r>
      <w:r w:rsidR="00B67F09">
        <w:rPr>
          <w:rFonts w:hint="eastAsia"/>
          <w:lang w:eastAsia="ja-JP"/>
        </w:rPr>
        <w:t xml:space="preserve"> (by </w:t>
      </w:r>
      <w:r w:rsidR="00B67F09" w:rsidRPr="00B67F09">
        <w:rPr>
          <w:rFonts w:hint="eastAsia"/>
          <w:i/>
          <w:lang w:eastAsia="ja-JP"/>
        </w:rPr>
        <w:t>locationAndBandwidth</w:t>
      </w:r>
      <w:r w:rsidR="00B67F09">
        <w:rPr>
          <w:rFonts w:hint="eastAsia"/>
          <w:lang w:eastAsia="ja-JP"/>
        </w:rPr>
        <w:t xml:space="preserve"> in </w:t>
      </w:r>
      <w:r w:rsidR="00B67F09" w:rsidRPr="00B67F09">
        <w:rPr>
          <w:rFonts w:hint="eastAsia"/>
          <w:i/>
          <w:lang w:eastAsia="ja-JP"/>
        </w:rPr>
        <w:t>BWP-DownlinkCommon/UplinkCommon</w:t>
      </w:r>
      <w:r w:rsidR="00B67F09">
        <w:rPr>
          <w:rFonts w:hint="eastAsia"/>
          <w:lang w:eastAsia="ja-JP"/>
        </w:rPr>
        <w:t xml:space="preserve">). Unless configured differently in </w:t>
      </w:r>
      <w:r w:rsidR="00B67F09" w:rsidRPr="00B67F09">
        <w:rPr>
          <w:rFonts w:hint="eastAsia"/>
          <w:i/>
          <w:lang w:eastAsia="ja-JP"/>
        </w:rPr>
        <w:t>ServingCellConfigCommon</w:t>
      </w:r>
      <w:r w:rsidR="00B67F09">
        <w:rPr>
          <w:rFonts w:hint="eastAsia"/>
          <w:lang w:eastAsia="ja-JP"/>
        </w:rPr>
        <w:t>, the bandwidth of initial BWP follows the one obtained by MIB. This is the detailed limitation as stated in the agreement.</w:t>
      </w:r>
    </w:p>
    <w:p w14:paraId="2FD6A70C" w14:textId="77777777" w:rsidR="00B67F09" w:rsidRDefault="00C16963" w:rsidP="00056041">
      <w:pPr>
        <w:pStyle w:val="B1"/>
        <w:ind w:left="1704" w:hanging="1420"/>
      </w:pPr>
      <w:r w:rsidRPr="00056041">
        <w:rPr>
          <w:rFonts w:hint="eastAsia"/>
          <w:b/>
        </w:rPr>
        <w:t>Observation:</w:t>
      </w:r>
      <w:r>
        <w:rPr>
          <w:rFonts w:hint="eastAsia"/>
        </w:rPr>
        <w:tab/>
      </w:r>
      <w:r w:rsidR="00056041">
        <w:rPr>
          <w:rFonts w:hint="eastAsia"/>
        </w:rPr>
        <w:t>While the specification supports the carrier bandwidth up to 275 PRBs, t</w:t>
      </w:r>
      <w:r>
        <w:rPr>
          <w:rFonts w:hint="eastAsia"/>
        </w:rPr>
        <w:t xml:space="preserve">he </w:t>
      </w:r>
      <w:r>
        <w:t>bandwidth</w:t>
      </w:r>
      <w:r>
        <w:rPr>
          <w:rFonts w:hint="eastAsia"/>
        </w:rPr>
        <w:t xml:space="preserve"> of initial BWP is limited to 24, 48 and 96 PRBs</w:t>
      </w:r>
      <w:r w:rsidR="00056041">
        <w:rPr>
          <w:rFonts w:hint="eastAsia"/>
        </w:rPr>
        <w:t>, if the bandwidth obtained in MIB is used as it is.</w:t>
      </w:r>
    </w:p>
    <w:p w14:paraId="58D33446" w14:textId="77777777" w:rsidR="00867903" w:rsidRDefault="00EA7947" w:rsidP="00867903">
      <w:pPr>
        <w:pStyle w:val="2"/>
        <w:numPr>
          <w:ilvl w:val="1"/>
          <w:numId w:val="2"/>
        </w:numPr>
        <w:rPr>
          <w:rFonts w:cs="Arial"/>
          <w:lang w:eastAsia="ja-JP"/>
        </w:rPr>
      </w:pPr>
      <w:r>
        <w:rPr>
          <w:rFonts w:cs="Arial" w:hint="eastAsia"/>
          <w:lang w:eastAsia="ja-JP"/>
        </w:rPr>
        <w:t>Analysis on resolving the bandwidth limitation</w:t>
      </w:r>
    </w:p>
    <w:p w14:paraId="3989551F" w14:textId="77777777" w:rsidR="00CA2777" w:rsidRDefault="00612077" w:rsidP="00CA2777">
      <w:pPr>
        <w:rPr>
          <w:lang w:eastAsia="ja-JP"/>
        </w:rPr>
      </w:pPr>
      <w:r>
        <w:rPr>
          <w:rFonts w:hint="eastAsia"/>
          <w:lang w:eastAsia="ja-JP"/>
        </w:rPr>
        <w:t xml:space="preserve">There was a contribution to clarify how </w:t>
      </w:r>
      <w:r w:rsidR="00065F4C">
        <w:rPr>
          <w:rFonts w:hint="eastAsia"/>
          <w:lang w:eastAsia="ja-JP"/>
        </w:rPr>
        <w:t>to configure the bandwidth</w:t>
      </w:r>
      <w:r>
        <w:rPr>
          <w:lang w:eastAsia="ja-JP"/>
        </w:rPr>
        <w:t xml:space="preserve"> in accordance with the UE feature of basic BWP operation [3].</w:t>
      </w:r>
      <w:r w:rsidR="006233FA">
        <w:rPr>
          <w:lang w:eastAsia="ja-JP"/>
        </w:rPr>
        <w:t xml:space="preserve"> The functional compo</w:t>
      </w:r>
      <w:r w:rsidR="00F45EC7">
        <w:rPr>
          <w:lang w:eastAsia="ja-JP"/>
        </w:rPr>
        <w:t xml:space="preserve">nents </w:t>
      </w:r>
      <w:r w:rsidR="00F45EC7">
        <w:rPr>
          <w:rFonts w:hint="eastAsia"/>
          <w:lang w:eastAsia="ja-JP"/>
        </w:rPr>
        <w:t>of</w:t>
      </w:r>
      <w:r w:rsidR="00065F4C">
        <w:rPr>
          <w:lang w:eastAsia="ja-JP"/>
        </w:rPr>
        <w:t xml:space="preserve"> basic BWP operation </w:t>
      </w:r>
      <w:r w:rsidR="00065F4C">
        <w:rPr>
          <w:rFonts w:hint="eastAsia"/>
          <w:lang w:eastAsia="ja-JP"/>
        </w:rPr>
        <w:t>are</w:t>
      </w:r>
      <w:r w:rsidR="00065F4C">
        <w:rPr>
          <w:lang w:eastAsia="ja-JP"/>
        </w:rPr>
        <w:t xml:space="preserve"> </w:t>
      </w:r>
      <w:r w:rsidR="00F45EC7">
        <w:rPr>
          <w:rFonts w:hint="eastAsia"/>
          <w:lang w:eastAsia="ja-JP"/>
        </w:rPr>
        <w:t>excerpted</w:t>
      </w:r>
      <w:r w:rsidR="006233FA">
        <w:rPr>
          <w:lang w:eastAsia="ja-JP"/>
        </w:rPr>
        <w:t xml:space="preserve"> from the L1 feature list below [4]. The basic BWP operation is supposed to be mandatory without capability signalling.</w:t>
      </w:r>
      <w:r w:rsidR="003979E7">
        <w:rPr>
          <w:rFonts w:hint="eastAsia"/>
          <w:lang w:eastAsia="ja-JP"/>
        </w:rPr>
        <w:t xml:space="preserve"> As the first step, </w:t>
      </w:r>
      <w:r w:rsidR="00E908B6">
        <w:rPr>
          <w:rFonts w:hint="eastAsia"/>
          <w:lang w:eastAsia="ja-JP"/>
        </w:rPr>
        <w:t xml:space="preserve">this sub-clause looks into how the </w:t>
      </w:r>
      <w:r w:rsidR="00E908B6">
        <w:rPr>
          <w:lang w:eastAsia="ja-JP"/>
        </w:rPr>
        <w:t>bandwidth</w:t>
      </w:r>
      <w:r w:rsidR="00E908B6">
        <w:rPr>
          <w:rFonts w:hint="eastAsia"/>
          <w:lang w:eastAsia="ja-JP"/>
        </w:rPr>
        <w:t xml:space="preserve"> limitation can be ironed out for a UE supporting this basic operation.</w:t>
      </w:r>
    </w:p>
    <w:p w14:paraId="64934B1E" w14:textId="77777777" w:rsidR="00612077" w:rsidRDefault="006233FA" w:rsidP="006233FA">
      <w:pPr>
        <w:pStyle w:val="TH"/>
        <w:rPr>
          <w:lang w:eastAsia="ja-JP"/>
        </w:rPr>
      </w:pPr>
      <w:r>
        <w:rPr>
          <w:rFonts w:hint="eastAsia"/>
          <w:lang w:eastAsia="ja-JP"/>
        </w:rPr>
        <w:t>T</w:t>
      </w:r>
      <w:r>
        <w:rPr>
          <w:lang w:eastAsia="ja-JP"/>
        </w:rPr>
        <w:t>able 2-1:</w:t>
      </w:r>
      <w:r>
        <w:rPr>
          <w:lang w:eastAsia="ja-JP"/>
        </w:rPr>
        <w:tab/>
        <w:t>Functional components of basic BWP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566"/>
        <w:gridCol w:w="996"/>
        <w:gridCol w:w="2122"/>
        <w:gridCol w:w="3120"/>
        <w:gridCol w:w="1837"/>
      </w:tblGrid>
      <w:tr w:rsidR="00612077" w:rsidRPr="00A2545F" w14:paraId="270E2152" w14:textId="77777777" w:rsidTr="00612077">
        <w:trPr>
          <w:trHeight w:val="196"/>
        </w:trPr>
        <w:tc>
          <w:tcPr>
            <w:tcW w:w="513" w:type="pct"/>
            <w:shd w:val="clear" w:color="000000" w:fill="99CCFF"/>
            <w:vAlign w:val="center"/>
            <w:hideMark/>
          </w:tcPr>
          <w:p w14:paraId="01B5BB55" w14:textId="77777777" w:rsidR="00612077" w:rsidRPr="00612077" w:rsidRDefault="00612077" w:rsidP="00CD78E0">
            <w:pPr>
              <w:snapToGrid w:val="0"/>
              <w:jc w:val="center"/>
              <w:rPr>
                <w:rFonts w:ascii="Arial" w:eastAsia="ＭＳ Ｐゴシック" w:hAnsi="Arial" w:cs="Arial"/>
                <w:sz w:val="18"/>
                <w:szCs w:val="18"/>
              </w:rPr>
            </w:pPr>
            <w:r w:rsidRPr="00612077">
              <w:rPr>
                <w:rFonts w:ascii="Arial" w:eastAsia="ＭＳ Ｐゴシック" w:hAnsi="Arial" w:cs="Arial"/>
                <w:sz w:val="18"/>
                <w:szCs w:val="18"/>
              </w:rPr>
              <w:t>Features</w:t>
            </w:r>
          </w:p>
        </w:tc>
        <w:tc>
          <w:tcPr>
            <w:tcW w:w="294" w:type="pct"/>
            <w:shd w:val="clear" w:color="000000" w:fill="99CCFF"/>
            <w:vAlign w:val="center"/>
            <w:hideMark/>
          </w:tcPr>
          <w:p w14:paraId="33E061E7" w14:textId="77777777" w:rsidR="00612077" w:rsidRPr="00612077" w:rsidRDefault="00612077" w:rsidP="00CD78E0">
            <w:pPr>
              <w:snapToGrid w:val="0"/>
              <w:jc w:val="center"/>
              <w:rPr>
                <w:rFonts w:ascii="Arial" w:eastAsia="ＭＳ Ｐゴシック" w:hAnsi="Arial" w:cs="Arial"/>
                <w:sz w:val="18"/>
                <w:szCs w:val="18"/>
              </w:rPr>
            </w:pPr>
            <w:r w:rsidRPr="00612077">
              <w:rPr>
                <w:rFonts w:ascii="Arial" w:eastAsia="ＭＳ Ｐゴシック" w:hAnsi="Arial" w:cs="Arial"/>
                <w:sz w:val="18"/>
                <w:szCs w:val="18"/>
              </w:rPr>
              <w:t>#</w:t>
            </w:r>
          </w:p>
        </w:tc>
        <w:tc>
          <w:tcPr>
            <w:tcW w:w="517" w:type="pct"/>
            <w:shd w:val="clear" w:color="000000" w:fill="99CCFF"/>
            <w:vAlign w:val="center"/>
            <w:hideMark/>
          </w:tcPr>
          <w:p w14:paraId="4218B356" w14:textId="77777777" w:rsidR="00612077" w:rsidRPr="00612077" w:rsidRDefault="00612077" w:rsidP="00CD78E0">
            <w:pPr>
              <w:snapToGrid w:val="0"/>
              <w:jc w:val="center"/>
              <w:rPr>
                <w:rFonts w:ascii="Arial" w:eastAsia="ＭＳ Ｐゴシック" w:hAnsi="Arial" w:cs="Arial"/>
                <w:sz w:val="18"/>
                <w:szCs w:val="18"/>
              </w:rPr>
            </w:pPr>
            <w:r w:rsidRPr="00612077">
              <w:rPr>
                <w:rFonts w:ascii="Arial" w:eastAsia="ＭＳ Ｐゴシック" w:hAnsi="Arial" w:cs="Arial"/>
                <w:sz w:val="18"/>
                <w:szCs w:val="18"/>
              </w:rPr>
              <w:t>Feature group</w:t>
            </w:r>
          </w:p>
        </w:tc>
        <w:tc>
          <w:tcPr>
            <w:tcW w:w="1102" w:type="pct"/>
            <w:shd w:val="clear" w:color="000000" w:fill="99CCFF"/>
            <w:vAlign w:val="center"/>
            <w:hideMark/>
          </w:tcPr>
          <w:p w14:paraId="48A4C19C" w14:textId="77777777" w:rsidR="00612077" w:rsidRPr="00612077" w:rsidRDefault="00612077" w:rsidP="00CD78E0">
            <w:pPr>
              <w:snapToGrid w:val="0"/>
              <w:jc w:val="center"/>
              <w:rPr>
                <w:rFonts w:ascii="Arial" w:eastAsia="ＭＳ Ｐゴシック" w:hAnsi="Arial" w:cs="Arial"/>
                <w:sz w:val="18"/>
                <w:szCs w:val="18"/>
              </w:rPr>
            </w:pPr>
            <w:r w:rsidRPr="00612077">
              <w:rPr>
                <w:rFonts w:ascii="Arial" w:eastAsia="ＭＳ Ｐゴシック" w:hAnsi="Arial" w:cs="Arial"/>
                <w:sz w:val="18"/>
                <w:szCs w:val="18"/>
              </w:rPr>
              <w:t>Components</w:t>
            </w:r>
          </w:p>
        </w:tc>
        <w:tc>
          <w:tcPr>
            <w:tcW w:w="1620" w:type="pct"/>
            <w:shd w:val="clear" w:color="000000" w:fill="99CCFF"/>
            <w:vAlign w:val="center"/>
            <w:hideMark/>
          </w:tcPr>
          <w:p w14:paraId="73A44F91" w14:textId="77777777" w:rsidR="00612077" w:rsidRPr="00612077" w:rsidRDefault="00612077" w:rsidP="00CD78E0">
            <w:pPr>
              <w:snapToGrid w:val="0"/>
              <w:jc w:val="center"/>
              <w:rPr>
                <w:rFonts w:ascii="Arial" w:eastAsia="ＭＳ Ｐゴシック" w:hAnsi="Arial" w:cs="Arial"/>
                <w:sz w:val="18"/>
                <w:szCs w:val="18"/>
              </w:rPr>
            </w:pPr>
            <w:r w:rsidRPr="00612077">
              <w:rPr>
                <w:rFonts w:ascii="Arial" w:eastAsia="ＭＳ Ｐゴシック" w:hAnsi="Arial" w:cs="Arial"/>
                <w:sz w:val="18"/>
                <w:szCs w:val="18"/>
              </w:rPr>
              <w:t>Note</w:t>
            </w:r>
          </w:p>
        </w:tc>
        <w:tc>
          <w:tcPr>
            <w:tcW w:w="954" w:type="pct"/>
            <w:shd w:val="clear" w:color="auto" w:fill="99CCFF"/>
            <w:vAlign w:val="center"/>
            <w:hideMark/>
          </w:tcPr>
          <w:p w14:paraId="018D5BF9" w14:textId="77777777" w:rsidR="00612077" w:rsidRPr="00612077" w:rsidRDefault="00612077" w:rsidP="00CD78E0">
            <w:pPr>
              <w:snapToGrid w:val="0"/>
              <w:jc w:val="center"/>
              <w:rPr>
                <w:rFonts w:ascii="Arial" w:eastAsia="ＭＳ Ｐゴシック" w:hAnsi="Arial" w:cs="Arial"/>
                <w:sz w:val="18"/>
                <w:szCs w:val="18"/>
              </w:rPr>
            </w:pPr>
            <w:r w:rsidRPr="00612077">
              <w:rPr>
                <w:rFonts w:ascii="Arial" w:eastAsia="ＭＳ Ｐゴシック" w:hAnsi="Arial" w:cs="Arial"/>
                <w:sz w:val="18"/>
                <w:szCs w:val="18"/>
              </w:rPr>
              <w:t>RAN WG recommendation</w:t>
            </w:r>
          </w:p>
        </w:tc>
      </w:tr>
      <w:tr w:rsidR="00612077" w:rsidRPr="00A2545F" w14:paraId="18732DF8" w14:textId="77777777" w:rsidTr="00612077">
        <w:trPr>
          <w:trHeight w:val="1877"/>
        </w:trPr>
        <w:tc>
          <w:tcPr>
            <w:tcW w:w="513" w:type="pct"/>
            <w:shd w:val="clear" w:color="auto" w:fill="auto"/>
          </w:tcPr>
          <w:p w14:paraId="642113AA" w14:textId="77777777" w:rsidR="00612077" w:rsidRPr="00612077" w:rsidRDefault="00612077" w:rsidP="00CD78E0">
            <w:pPr>
              <w:snapToGrid w:val="0"/>
              <w:rPr>
                <w:rFonts w:ascii="Arial" w:eastAsia="ＭＳ Ｐゴシック" w:hAnsi="Arial" w:cs="Arial"/>
                <w:sz w:val="18"/>
                <w:szCs w:val="18"/>
              </w:rPr>
            </w:pPr>
            <w:r w:rsidRPr="00612077">
              <w:rPr>
                <w:rFonts w:ascii="Arial" w:eastAsia="ＭＳ Ｐゴシック" w:hAnsi="Arial" w:cs="Arial"/>
                <w:sz w:val="18"/>
                <w:szCs w:val="18"/>
              </w:rPr>
              <w:t>6. CA/DC, BWP, SUL</w:t>
            </w:r>
          </w:p>
        </w:tc>
        <w:tc>
          <w:tcPr>
            <w:tcW w:w="294" w:type="pct"/>
            <w:shd w:val="clear" w:color="auto" w:fill="auto"/>
          </w:tcPr>
          <w:p w14:paraId="63FC5408" w14:textId="77777777" w:rsidR="00612077" w:rsidRPr="00612077" w:rsidRDefault="00612077" w:rsidP="00CD78E0">
            <w:pPr>
              <w:snapToGrid w:val="0"/>
              <w:rPr>
                <w:rFonts w:ascii="Arial" w:eastAsia="ＭＳ Ｐゴシック" w:hAnsi="Arial" w:cs="Arial"/>
                <w:sz w:val="18"/>
                <w:szCs w:val="18"/>
              </w:rPr>
            </w:pPr>
            <w:r w:rsidRPr="00612077">
              <w:rPr>
                <w:rFonts w:ascii="Arial" w:eastAsia="ＭＳ Ｐゴシック" w:hAnsi="Arial" w:cs="Arial"/>
                <w:sz w:val="18"/>
                <w:szCs w:val="18"/>
              </w:rPr>
              <w:t>6-1</w:t>
            </w:r>
          </w:p>
        </w:tc>
        <w:tc>
          <w:tcPr>
            <w:tcW w:w="517" w:type="pct"/>
            <w:shd w:val="clear" w:color="auto" w:fill="auto"/>
            <w:vAlign w:val="center"/>
          </w:tcPr>
          <w:p w14:paraId="6230B562" w14:textId="77777777" w:rsidR="00612077" w:rsidRPr="00612077" w:rsidRDefault="00612077" w:rsidP="00CD78E0">
            <w:pPr>
              <w:snapToGrid w:val="0"/>
              <w:rPr>
                <w:rFonts w:ascii="Arial" w:eastAsia="ＭＳ Ｐゴシック" w:hAnsi="Arial" w:cs="Arial"/>
                <w:sz w:val="18"/>
                <w:szCs w:val="18"/>
              </w:rPr>
            </w:pPr>
            <w:r w:rsidRPr="00612077">
              <w:rPr>
                <w:rFonts w:ascii="Arial" w:eastAsia="ＭＳ Ｐゴシック" w:hAnsi="Arial" w:cs="Arial"/>
                <w:sz w:val="18"/>
                <w:szCs w:val="18"/>
              </w:rPr>
              <w:t>Basic BWP operation</w:t>
            </w:r>
          </w:p>
        </w:tc>
        <w:tc>
          <w:tcPr>
            <w:tcW w:w="1102" w:type="pct"/>
            <w:shd w:val="clear" w:color="auto" w:fill="auto"/>
            <w:vAlign w:val="center"/>
          </w:tcPr>
          <w:p w14:paraId="01AB61D3" w14:textId="77777777" w:rsidR="00612077" w:rsidRPr="00612077" w:rsidRDefault="00612077" w:rsidP="00CD78E0">
            <w:pPr>
              <w:snapToGrid w:val="0"/>
              <w:rPr>
                <w:rFonts w:ascii="Arial" w:eastAsia="ＭＳ Ｐゴシック" w:hAnsi="Arial" w:cs="Arial"/>
                <w:sz w:val="18"/>
                <w:szCs w:val="18"/>
              </w:rPr>
            </w:pPr>
            <w:r w:rsidRPr="00612077">
              <w:rPr>
                <w:rFonts w:ascii="Arial" w:eastAsia="ＭＳ Ｐゴシック" w:hAnsi="Arial" w:cs="Arial"/>
                <w:sz w:val="18"/>
                <w:szCs w:val="18"/>
              </w:rPr>
              <w:t>1) 1 UE-specific RRC configured DL BWP per carrier</w:t>
            </w:r>
          </w:p>
          <w:p w14:paraId="26D47A60" w14:textId="77777777" w:rsidR="00612077" w:rsidRPr="00612077" w:rsidRDefault="00612077" w:rsidP="00CD78E0">
            <w:pPr>
              <w:snapToGrid w:val="0"/>
              <w:rPr>
                <w:rFonts w:ascii="Arial" w:eastAsia="ＭＳ Ｐゴシック" w:hAnsi="Arial" w:cs="Arial"/>
                <w:sz w:val="18"/>
                <w:szCs w:val="18"/>
              </w:rPr>
            </w:pPr>
            <w:r w:rsidRPr="00612077">
              <w:rPr>
                <w:rFonts w:ascii="Arial" w:eastAsia="ＭＳ Ｐゴシック" w:hAnsi="Arial" w:cs="Arial"/>
                <w:sz w:val="18"/>
                <w:szCs w:val="18"/>
              </w:rPr>
              <w:t>2) 1 UE-specific RRC configured UL BWP per carrier</w:t>
            </w:r>
          </w:p>
          <w:p w14:paraId="40677A7C" w14:textId="77777777" w:rsidR="00612077" w:rsidRPr="00612077" w:rsidRDefault="00612077" w:rsidP="00CD78E0">
            <w:pPr>
              <w:snapToGrid w:val="0"/>
              <w:rPr>
                <w:rFonts w:ascii="Arial" w:eastAsia="ＭＳ Ｐゴシック" w:hAnsi="Arial" w:cs="Arial"/>
                <w:sz w:val="18"/>
                <w:szCs w:val="18"/>
              </w:rPr>
            </w:pPr>
            <w:r w:rsidRPr="00612077">
              <w:rPr>
                <w:rFonts w:ascii="Arial" w:eastAsia="ＭＳ Ｐゴシック" w:hAnsi="Arial" w:cs="Arial"/>
                <w:sz w:val="18"/>
                <w:szCs w:val="18"/>
              </w:rPr>
              <w:lastRenderedPageBreak/>
              <w:t>3) RRC reconfiguration of any parameters related to BWP</w:t>
            </w:r>
          </w:p>
        </w:tc>
        <w:tc>
          <w:tcPr>
            <w:tcW w:w="1620" w:type="pct"/>
            <w:shd w:val="clear" w:color="auto" w:fill="auto"/>
            <w:vAlign w:val="center"/>
          </w:tcPr>
          <w:p w14:paraId="5CD2CE12" w14:textId="77777777" w:rsidR="00612077" w:rsidRPr="00612077" w:rsidRDefault="00612077" w:rsidP="00CD78E0">
            <w:pPr>
              <w:snapToGrid w:val="0"/>
              <w:rPr>
                <w:rFonts w:ascii="Arial" w:hAnsi="Arial" w:cs="Arial"/>
                <w:sz w:val="18"/>
                <w:szCs w:val="18"/>
              </w:rPr>
            </w:pPr>
            <w:r w:rsidRPr="00612077">
              <w:rPr>
                <w:rFonts w:ascii="Arial" w:hAnsi="Arial" w:cs="Arial"/>
                <w:sz w:val="18"/>
                <w:szCs w:val="18"/>
              </w:rPr>
              <w:lastRenderedPageBreak/>
              <w:t>This feature should be mandatory for at least BWPs which is the same as the set of specified channel BW.</w:t>
            </w:r>
          </w:p>
          <w:p w14:paraId="1E387F61" w14:textId="77777777" w:rsidR="00612077" w:rsidRPr="00612077" w:rsidRDefault="00612077" w:rsidP="00CD78E0">
            <w:pPr>
              <w:snapToGrid w:val="0"/>
              <w:rPr>
                <w:rFonts w:ascii="Arial" w:hAnsi="Arial" w:cs="Arial"/>
                <w:sz w:val="18"/>
                <w:szCs w:val="18"/>
              </w:rPr>
            </w:pPr>
            <w:r w:rsidRPr="00612077">
              <w:rPr>
                <w:rFonts w:ascii="Arial" w:hAnsi="Arial" w:cs="Arial"/>
                <w:sz w:val="18"/>
                <w:szCs w:val="18"/>
              </w:rPr>
              <w:t>RAN4 may discuss other BW requirements.</w:t>
            </w:r>
          </w:p>
          <w:p w14:paraId="787B62DC" w14:textId="77777777" w:rsidR="00612077" w:rsidRPr="00612077" w:rsidRDefault="00612077" w:rsidP="00CD78E0">
            <w:pPr>
              <w:snapToGrid w:val="0"/>
              <w:rPr>
                <w:rFonts w:ascii="Arial" w:hAnsi="Arial" w:cs="Arial"/>
                <w:sz w:val="18"/>
                <w:szCs w:val="18"/>
              </w:rPr>
            </w:pPr>
            <w:r w:rsidRPr="00612077">
              <w:rPr>
                <w:rFonts w:ascii="Arial" w:eastAsia="ＭＳ Ｐゴシック" w:hAnsi="Arial" w:cs="Arial"/>
                <w:sz w:val="18"/>
                <w:szCs w:val="18"/>
              </w:rPr>
              <w:t xml:space="preserve">UE-specific RRC configured DL/UL BWP can have the same or different </w:t>
            </w:r>
            <w:r w:rsidRPr="00612077">
              <w:rPr>
                <w:rFonts w:ascii="Arial" w:eastAsia="ＭＳ Ｐゴシック" w:hAnsi="Arial" w:cs="Arial"/>
                <w:sz w:val="18"/>
                <w:szCs w:val="18"/>
              </w:rPr>
              <w:lastRenderedPageBreak/>
              <w:t>numerology from the initial active DL/UL BWP</w:t>
            </w:r>
          </w:p>
        </w:tc>
        <w:tc>
          <w:tcPr>
            <w:tcW w:w="954" w:type="pct"/>
            <w:shd w:val="clear" w:color="auto" w:fill="auto"/>
            <w:vAlign w:val="center"/>
          </w:tcPr>
          <w:p w14:paraId="308C7BB9" w14:textId="77777777" w:rsidR="00612077" w:rsidRPr="00612077" w:rsidRDefault="00612077" w:rsidP="00CD78E0">
            <w:pPr>
              <w:snapToGrid w:val="0"/>
              <w:rPr>
                <w:rFonts w:ascii="Arial" w:eastAsia="ＭＳ Ｐゴシック" w:hAnsi="Arial" w:cs="Arial"/>
                <w:sz w:val="18"/>
                <w:szCs w:val="18"/>
              </w:rPr>
            </w:pPr>
            <w:r w:rsidRPr="00612077">
              <w:rPr>
                <w:rFonts w:ascii="Arial" w:eastAsia="ＭＳ Ｐゴシック" w:hAnsi="Arial" w:cs="Arial"/>
                <w:sz w:val="18"/>
                <w:szCs w:val="18"/>
              </w:rPr>
              <w:lastRenderedPageBreak/>
              <w:t>[Mandatory without capability signaling]</w:t>
            </w:r>
          </w:p>
        </w:tc>
      </w:tr>
    </w:tbl>
    <w:p w14:paraId="15B73AB2" w14:textId="77777777" w:rsidR="00ED7579" w:rsidRDefault="00ED7579" w:rsidP="00CA2777">
      <w:pPr>
        <w:rPr>
          <w:lang w:eastAsia="ja-JP"/>
        </w:rPr>
      </w:pPr>
      <w:r>
        <w:rPr>
          <w:rFonts w:hint="eastAsia"/>
          <w:lang w:eastAsia="ja-JP"/>
        </w:rPr>
        <w:t>For the basic BWP operation, the UE is capable of configuring the following two options:</w:t>
      </w:r>
    </w:p>
    <w:p w14:paraId="31536999" w14:textId="77777777" w:rsidR="00612077" w:rsidRDefault="006E262E" w:rsidP="006E262E">
      <w:pPr>
        <w:pStyle w:val="B1"/>
        <w:ind w:left="1420" w:hanging="1136"/>
      </w:pPr>
      <w:r w:rsidRPr="006E262E">
        <w:rPr>
          <w:rFonts w:hint="eastAsia"/>
          <w:b/>
        </w:rPr>
        <w:t>Option 1:</w:t>
      </w:r>
      <w:r>
        <w:rPr>
          <w:rFonts w:hint="eastAsia"/>
        </w:rPr>
        <w:tab/>
      </w:r>
      <w:r w:rsidRPr="006E262E">
        <w:rPr>
          <w:i/>
        </w:rPr>
        <w:t>BWP-DownlinkCommon/UplinkCommon</w:t>
      </w:r>
      <w:r w:rsidRPr="006E262E">
        <w:t xml:space="preserve"> for </w:t>
      </w:r>
      <w:r w:rsidRPr="006E262E">
        <w:rPr>
          <w:i/>
        </w:rPr>
        <w:t>initialDownlink/UplinkBWP</w:t>
      </w:r>
      <w:r w:rsidRPr="006E262E">
        <w:t xml:space="preserve"> (BWP ID</w:t>
      </w:r>
      <w:r>
        <w:rPr>
          <w:rFonts w:hint="eastAsia"/>
        </w:rPr>
        <w:t xml:space="preserve"> </w:t>
      </w:r>
      <w:r w:rsidRPr="006E262E">
        <w:t>#0)</w:t>
      </w:r>
      <w:r>
        <w:rPr>
          <w:rFonts w:hint="eastAsia"/>
        </w:rPr>
        <w:t xml:space="preserve"> plus </w:t>
      </w:r>
      <w:r w:rsidRPr="006E262E">
        <w:rPr>
          <w:i/>
        </w:rPr>
        <w:t>BWP-Downlink/Uplink</w:t>
      </w:r>
      <w:r w:rsidRPr="006E262E">
        <w:t xml:space="preserve"> for one configured </w:t>
      </w:r>
      <w:r w:rsidR="00AF2B71">
        <w:rPr>
          <w:rFonts w:hint="eastAsia"/>
          <w:i/>
        </w:rPr>
        <w:t>d</w:t>
      </w:r>
      <w:r w:rsidR="00AF2B71">
        <w:rPr>
          <w:i/>
        </w:rPr>
        <w:t>ownlink/</w:t>
      </w:r>
      <w:r w:rsidR="00AF2B71">
        <w:rPr>
          <w:rFonts w:hint="eastAsia"/>
          <w:i/>
        </w:rPr>
        <w:t>u</w:t>
      </w:r>
      <w:r w:rsidRPr="006E262E">
        <w:rPr>
          <w:i/>
        </w:rPr>
        <w:t>plinkBWP</w:t>
      </w:r>
      <w:r w:rsidRPr="006E262E">
        <w:t xml:space="preserve"> (BWP ID</w:t>
      </w:r>
      <w:r>
        <w:rPr>
          <w:rFonts w:hint="eastAsia"/>
        </w:rPr>
        <w:t xml:space="preserve"> </w:t>
      </w:r>
      <w:r w:rsidRPr="006E262E">
        <w:t>#1)</w:t>
      </w:r>
    </w:p>
    <w:p w14:paraId="6806EF7E" w14:textId="77777777" w:rsidR="00AF2B71" w:rsidRPr="00ED7579" w:rsidRDefault="00AF2B71" w:rsidP="006E262E">
      <w:pPr>
        <w:pStyle w:val="B1"/>
        <w:ind w:left="1420" w:hanging="1136"/>
      </w:pPr>
      <w:r w:rsidRPr="00AF2B71">
        <w:rPr>
          <w:rFonts w:hint="eastAsia"/>
          <w:b/>
        </w:rPr>
        <w:t>Option 2:</w:t>
      </w:r>
      <w:r w:rsidRPr="00AF2B71">
        <w:rPr>
          <w:rFonts w:hint="eastAsia"/>
          <w:b/>
        </w:rPr>
        <w:tab/>
      </w:r>
      <w:r w:rsidRPr="00AF2B71">
        <w:rPr>
          <w:i/>
        </w:rPr>
        <w:t>BWP-DownlinkCommon/UplinkCommon</w:t>
      </w:r>
      <w:r w:rsidRPr="00AF2B71">
        <w:t xml:space="preserve"> and </w:t>
      </w:r>
      <w:r w:rsidRPr="00AF2B71">
        <w:rPr>
          <w:i/>
        </w:rPr>
        <w:t>BWP-DownlinkDedicated/UplinkDedicated</w:t>
      </w:r>
      <w:r w:rsidRPr="00AF2B71">
        <w:t xml:space="preserve"> for </w:t>
      </w:r>
      <w:r w:rsidRPr="00AF2B71">
        <w:rPr>
          <w:i/>
        </w:rPr>
        <w:t>initialDownlink/UplinkBWP</w:t>
      </w:r>
      <w:r w:rsidRPr="00AF2B71">
        <w:t xml:space="preserve"> (BWP ID #0)</w:t>
      </w:r>
    </w:p>
    <w:p w14:paraId="7334F7CB" w14:textId="77777777" w:rsidR="00F010BC" w:rsidRPr="00F010BC" w:rsidRDefault="00F010BC" w:rsidP="00F010BC">
      <w:pPr>
        <w:pStyle w:val="af9"/>
        <w:keepNext/>
        <w:keepLines/>
        <w:numPr>
          <w:ilvl w:val="0"/>
          <w:numId w:val="15"/>
        </w:numPr>
        <w:spacing w:before="180"/>
        <w:ind w:leftChars="0"/>
        <w:outlineLvl w:val="1"/>
        <w:rPr>
          <w:rFonts w:ascii="Arial" w:hAnsi="Arial" w:cs="Arial"/>
          <w:vanish/>
          <w:sz w:val="32"/>
          <w:lang w:eastAsia="ja-JP"/>
        </w:rPr>
      </w:pPr>
    </w:p>
    <w:p w14:paraId="42123DE3" w14:textId="77777777" w:rsidR="00F010BC" w:rsidRPr="00F010BC" w:rsidRDefault="00F010BC" w:rsidP="00F010BC">
      <w:pPr>
        <w:pStyle w:val="af9"/>
        <w:keepNext/>
        <w:keepLines/>
        <w:numPr>
          <w:ilvl w:val="1"/>
          <w:numId w:val="15"/>
        </w:numPr>
        <w:spacing w:before="180"/>
        <w:ind w:leftChars="0"/>
        <w:outlineLvl w:val="1"/>
        <w:rPr>
          <w:rFonts w:ascii="Arial" w:hAnsi="Arial" w:cs="Arial"/>
          <w:vanish/>
          <w:sz w:val="32"/>
          <w:lang w:eastAsia="ja-JP"/>
        </w:rPr>
      </w:pPr>
    </w:p>
    <w:p w14:paraId="4934BB1B" w14:textId="77777777" w:rsidR="00F010BC" w:rsidRPr="00F010BC" w:rsidRDefault="00F010BC" w:rsidP="00F010BC">
      <w:pPr>
        <w:pStyle w:val="af9"/>
        <w:keepNext/>
        <w:keepLines/>
        <w:numPr>
          <w:ilvl w:val="1"/>
          <w:numId w:val="15"/>
        </w:numPr>
        <w:spacing w:before="180"/>
        <w:ind w:leftChars="0"/>
        <w:outlineLvl w:val="1"/>
        <w:rPr>
          <w:rFonts w:ascii="Arial" w:hAnsi="Arial" w:cs="Arial"/>
          <w:vanish/>
          <w:sz w:val="32"/>
          <w:lang w:eastAsia="ja-JP"/>
        </w:rPr>
      </w:pPr>
    </w:p>
    <w:p w14:paraId="3A7FB19B" w14:textId="50DCFF23" w:rsidR="004A55BC" w:rsidRDefault="00F010BC" w:rsidP="006D299F">
      <w:pPr>
        <w:pStyle w:val="2"/>
        <w:numPr>
          <w:ilvl w:val="2"/>
          <w:numId w:val="15"/>
        </w:numPr>
        <w:rPr>
          <w:rFonts w:cs="Arial"/>
          <w:lang w:eastAsia="ja-JP"/>
        </w:rPr>
      </w:pPr>
      <w:r>
        <w:rPr>
          <w:rFonts w:cs="Arial"/>
          <w:lang w:eastAsia="ja-JP"/>
        </w:rPr>
        <w:t>.</w:t>
      </w:r>
      <w:r>
        <w:rPr>
          <w:rFonts w:cs="Arial"/>
          <w:lang w:eastAsia="ja-JP"/>
        </w:rPr>
        <w:tab/>
      </w:r>
      <w:r w:rsidR="004A55BC">
        <w:rPr>
          <w:rFonts w:cs="Arial" w:hint="eastAsia"/>
          <w:lang w:eastAsia="ja-JP"/>
        </w:rPr>
        <w:t xml:space="preserve">Analysis </w:t>
      </w:r>
      <w:r w:rsidR="004A55BC">
        <w:rPr>
          <w:rFonts w:cs="Arial"/>
          <w:lang w:eastAsia="ja-JP"/>
        </w:rPr>
        <w:t>of Option #1</w:t>
      </w:r>
    </w:p>
    <w:p w14:paraId="6D1E979A" w14:textId="77777777" w:rsidR="00ED7579" w:rsidRDefault="00414EC9" w:rsidP="00CA2777">
      <w:pPr>
        <w:rPr>
          <w:lang w:eastAsia="ja-JP"/>
        </w:rPr>
      </w:pPr>
      <w:r>
        <w:rPr>
          <w:lang w:eastAsia="ja-JP"/>
        </w:rPr>
        <w:t>With</w:t>
      </w:r>
      <w:r>
        <w:rPr>
          <w:rFonts w:hint="eastAsia"/>
          <w:lang w:eastAsia="ja-JP"/>
        </w:rPr>
        <w:t xml:space="preserve"> regards to Option 1, </w:t>
      </w:r>
      <w:r w:rsidR="00EC6F5D">
        <w:rPr>
          <w:rFonts w:hint="eastAsia"/>
          <w:lang w:eastAsia="ja-JP"/>
        </w:rPr>
        <w:t xml:space="preserve">The solution is straight forward that the NW configures wider bandwidth for BWP #1 than the one for BWP #0. </w:t>
      </w:r>
      <w:r w:rsidR="00B20FF7">
        <w:rPr>
          <w:rFonts w:hint="eastAsia"/>
          <w:lang w:eastAsia="ja-JP"/>
        </w:rPr>
        <w:t xml:space="preserve">The NW can leverage the wider </w:t>
      </w:r>
      <w:r w:rsidR="00B20FF7">
        <w:rPr>
          <w:lang w:eastAsia="ja-JP"/>
        </w:rPr>
        <w:t>bandwidth</w:t>
      </w:r>
      <w:r w:rsidR="00B20FF7">
        <w:rPr>
          <w:rFonts w:hint="eastAsia"/>
          <w:lang w:eastAsia="ja-JP"/>
        </w:rPr>
        <w:t xml:space="preserve"> to communicate with UE no matter how the </w:t>
      </w:r>
      <w:r w:rsidR="00B20FF7">
        <w:rPr>
          <w:lang w:eastAsia="ja-JP"/>
        </w:rPr>
        <w:t>bandwidth</w:t>
      </w:r>
      <w:r w:rsidR="00B20FF7">
        <w:rPr>
          <w:rFonts w:hint="eastAsia"/>
          <w:lang w:eastAsia="ja-JP"/>
        </w:rPr>
        <w:t xml:space="preserve"> initial BWP is. </w:t>
      </w:r>
      <w:r w:rsidR="00EC6F5D">
        <w:rPr>
          <w:rFonts w:hint="eastAsia"/>
          <w:lang w:eastAsia="ja-JP"/>
        </w:rPr>
        <w:t xml:space="preserve">For PCell, BWP #1 can be added by </w:t>
      </w:r>
      <w:r w:rsidR="00EC6F5D">
        <w:rPr>
          <w:lang w:eastAsia="ja-JP"/>
        </w:rPr>
        <w:t>reconfiguration</w:t>
      </w:r>
      <w:r w:rsidR="00EC6F5D">
        <w:rPr>
          <w:rFonts w:hint="eastAsia"/>
          <w:lang w:eastAsia="ja-JP"/>
        </w:rPr>
        <w:t xml:space="preserve"> after the RRC connection setup. For PSCell and SCell in EN-DC, it can be done when adding PSCell/SCell.</w:t>
      </w:r>
      <w:r w:rsidR="00682E5A">
        <w:rPr>
          <w:lang w:eastAsia="ja-JP"/>
        </w:rPr>
        <w:t xml:space="preserve"> On the other hand, for PSCell and SCell, the current RRC (38.331 v15.1.0) defines the following conditional presence to </w:t>
      </w:r>
      <w:r w:rsidR="00682E5A" w:rsidRPr="0089796D">
        <w:rPr>
          <w:i/>
          <w:lang w:eastAsia="ja-JP"/>
        </w:rPr>
        <w:t>BWP-DownlinkDedicated/UplinkDedicated</w:t>
      </w:r>
      <w:r w:rsidR="00682E5A">
        <w:rPr>
          <w:lang w:eastAsia="ja-JP"/>
        </w:rPr>
        <w:t xml:space="preserve"> of </w:t>
      </w:r>
      <w:r w:rsidR="00682E5A" w:rsidRPr="0089796D">
        <w:rPr>
          <w:i/>
          <w:lang w:eastAsia="ja-JP"/>
        </w:rPr>
        <w:t>initialDownlink/UplinkBWP</w:t>
      </w:r>
      <w:r w:rsidR="00682E5A">
        <w:rPr>
          <w:lang w:eastAsia="ja-JP"/>
        </w:rPr>
        <w:t xml:space="preserve"> such that it is mandatory present.</w:t>
      </w:r>
      <w:r w:rsidR="006C66BD">
        <w:rPr>
          <w:lang w:eastAsia="ja-JP"/>
        </w:rPr>
        <w:t xml:space="preserve"> To work Option 1 for PSCell and SCell, these dedicated part of </w:t>
      </w:r>
      <w:r w:rsidR="006C66BD" w:rsidRPr="001A1A59">
        <w:rPr>
          <w:i/>
          <w:lang w:eastAsia="ja-JP"/>
        </w:rPr>
        <w:t>initialDownlink/UplinkBWP</w:t>
      </w:r>
      <w:r w:rsidR="006C66BD">
        <w:rPr>
          <w:lang w:eastAsia="ja-JP"/>
        </w:rPr>
        <w:t xml:space="preserve"> should be optional present.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89796D" w:rsidRPr="0089796D" w14:paraId="4A6304BD" w14:textId="77777777" w:rsidTr="0089796D">
        <w:tc>
          <w:tcPr>
            <w:tcW w:w="2122" w:type="dxa"/>
          </w:tcPr>
          <w:p w14:paraId="49AADF30" w14:textId="77777777" w:rsidR="0089796D" w:rsidRPr="0089796D" w:rsidRDefault="0089796D" w:rsidP="0089796D">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89796D">
              <w:rPr>
                <w:rFonts w:ascii="Arial" w:eastAsia="Times New Roman" w:hAnsi="Arial"/>
                <w:b/>
                <w:sz w:val="18"/>
                <w:lang w:eastAsia="x-none"/>
              </w:rPr>
              <w:t>Conditional Presence</w:t>
            </w:r>
          </w:p>
        </w:tc>
        <w:tc>
          <w:tcPr>
            <w:tcW w:w="7512" w:type="dxa"/>
          </w:tcPr>
          <w:p w14:paraId="3B41122C" w14:textId="77777777" w:rsidR="0089796D" w:rsidRPr="0089796D" w:rsidRDefault="0089796D" w:rsidP="0089796D">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89796D">
              <w:rPr>
                <w:rFonts w:ascii="Arial" w:eastAsia="Times New Roman" w:hAnsi="Arial"/>
                <w:b/>
                <w:sz w:val="18"/>
                <w:lang w:eastAsia="x-none"/>
              </w:rPr>
              <w:t>Explanation</w:t>
            </w:r>
          </w:p>
        </w:tc>
      </w:tr>
      <w:tr w:rsidR="0089796D" w:rsidRPr="0089796D" w14:paraId="1A3B46DA" w14:textId="77777777" w:rsidTr="0089796D">
        <w:tc>
          <w:tcPr>
            <w:tcW w:w="2122" w:type="dxa"/>
          </w:tcPr>
          <w:p w14:paraId="53B9AFEF" w14:textId="77777777" w:rsidR="0089796D" w:rsidRPr="0089796D" w:rsidRDefault="0089796D" w:rsidP="0089796D">
            <w:pPr>
              <w:keepNext/>
              <w:keepLines/>
              <w:overflowPunct w:val="0"/>
              <w:autoSpaceDE w:val="0"/>
              <w:autoSpaceDN w:val="0"/>
              <w:adjustRightInd w:val="0"/>
              <w:spacing w:after="0"/>
              <w:textAlignment w:val="baseline"/>
              <w:rPr>
                <w:rFonts w:ascii="Arial" w:eastAsia="Times New Roman" w:hAnsi="Arial"/>
                <w:i/>
                <w:sz w:val="18"/>
                <w:lang w:eastAsia="x-none"/>
              </w:rPr>
            </w:pPr>
            <w:r w:rsidRPr="0089796D">
              <w:rPr>
                <w:rFonts w:ascii="Arial" w:eastAsia="Times New Roman" w:hAnsi="Arial"/>
                <w:i/>
                <w:sz w:val="18"/>
                <w:lang w:eastAsia="x-none"/>
              </w:rPr>
              <w:t>ServCellAdd</w:t>
            </w:r>
          </w:p>
        </w:tc>
        <w:tc>
          <w:tcPr>
            <w:tcW w:w="7512" w:type="dxa"/>
          </w:tcPr>
          <w:p w14:paraId="159F4589" w14:textId="77777777" w:rsidR="0089796D" w:rsidRPr="0089796D" w:rsidRDefault="0089796D" w:rsidP="0089796D">
            <w:pPr>
              <w:keepNext/>
              <w:keepLines/>
              <w:overflowPunct w:val="0"/>
              <w:autoSpaceDE w:val="0"/>
              <w:autoSpaceDN w:val="0"/>
              <w:adjustRightInd w:val="0"/>
              <w:spacing w:after="0"/>
              <w:textAlignment w:val="baseline"/>
              <w:rPr>
                <w:rFonts w:ascii="Arial" w:eastAsia="Times New Roman" w:hAnsi="Arial"/>
                <w:sz w:val="18"/>
                <w:lang w:eastAsia="x-none"/>
              </w:rPr>
            </w:pPr>
            <w:r w:rsidRPr="0089796D">
              <w:rPr>
                <w:rFonts w:ascii="Arial" w:eastAsia="Times New Roman" w:hAnsi="Arial"/>
                <w:sz w:val="18"/>
                <w:lang w:eastAsia="x-none"/>
              </w:rPr>
              <w:t>This field is mandatory present upon serving cell addition (for PSCell and SCell). It is optionally present, Need M otherwise.</w:t>
            </w:r>
          </w:p>
        </w:tc>
      </w:tr>
    </w:tbl>
    <w:p w14:paraId="6F19E7DE" w14:textId="77777777" w:rsidR="00682E5A" w:rsidRDefault="00682E5A" w:rsidP="00CA2777">
      <w:pPr>
        <w:rPr>
          <w:lang w:eastAsia="ja-JP"/>
        </w:rPr>
      </w:pPr>
    </w:p>
    <w:p w14:paraId="6BFB6667" w14:textId="6C0EB53C" w:rsidR="004A55BC" w:rsidRDefault="004A55BC" w:rsidP="00CA2777">
      <w:r>
        <w:rPr>
          <w:lang w:eastAsia="ja-JP"/>
        </w:rPr>
        <w:t>This option solves the requirement of 6-1, as RAN2 assuming that even though we have two BWPs that the UE sees (BWP ID#0 and BWP ID#1), only BWP ID#1 is the BWP that is configured to the UE by dedicated RRC message</w:t>
      </w:r>
      <w:r w:rsidR="00FC5424">
        <w:rPr>
          <w:lang w:eastAsia="ja-JP"/>
        </w:rPr>
        <w:t xml:space="preserve"> </w:t>
      </w:r>
      <w:r>
        <w:rPr>
          <w:lang w:eastAsia="ja-JP"/>
        </w:rPr>
        <w:t xml:space="preserve">and so </w:t>
      </w:r>
      <w:r>
        <w:t xml:space="preserve">considered as only one UE configured RRC BWP. </w:t>
      </w:r>
    </w:p>
    <w:p w14:paraId="726BE322" w14:textId="6BDB42E5" w:rsidR="004A55BC" w:rsidRDefault="004A55BC" w:rsidP="00CA2777">
      <w:r>
        <w:t>There is another implication from this. RAN1 is not yet aware of this way of seeing the BWP configurations, and in the specification 38.212 section 7.3.1.2, the formula used to calculate the BWP bit-width size for DCI</w:t>
      </w:r>
      <w:r w:rsidR="008F1F65">
        <w:t xml:space="preserve"> still considers the option #1 configuration to have two BWPs and so a ‘1’ bit BWP field in the DCI. But 6-1 operation assumes that DCI-based switching is not needed, and there can be a mismatch between RAN1 and RAN2 in this area.</w:t>
      </w:r>
    </w:p>
    <w:p w14:paraId="55A23969" w14:textId="0209B11C" w:rsidR="008F1F65" w:rsidRDefault="008F1F65" w:rsidP="00CA2777">
      <w:pPr>
        <w:rPr>
          <w:lang w:eastAsia="ja-JP"/>
        </w:rPr>
      </w:pPr>
      <w:r>
        <w:t xml:space="preserve">We propose that the RAN1 specification is to be updated that for UEs which only support 6-1 configuration do not use the bitwidth calculation logic for any configuration (including the option #1). An LS can be sent to RAN1 on this. </w:t>
      </w:r>
    </w:p>
    <w:p w14:paraId="6CB9635D" w14:textId="6567E783" w:rsidR="00F010BC" w:rsidRDefault="00F010BC" w:rsidP="006D299F">
      <w:pPr>
        <w:pStyle w:val="2"/>
        <w:numPr>
          <w:ilvl w:val="2"/>
          <w:numId w:val="15"/>
        </w:numPr>
        <w:rPr>
          <w:lang w:eastAsia="ja-JP"/>
        </w:rPr>
      </w:pPr>
      <w:r>
        <w:rPr>
          <w:lang w:eastAsia="ja-JP"/>
        </w:rPr>
        <w:t>.</w:t>
      </w:r>
      <w:r>
        <w:rPr>
          <w:lang w:eastAsia="ja-JP"/>
        </w:rPr>
        <w:tab/>
        <w:t>Analysis of Option #2</w:t>
      </w:r>
    </w:p>
    <w:p w14:paraId="4FE12536" w14:textId="77777777" w:rsidR="00F823B1" w:rsidRDefault="00EC6F5D" w:rsidP="00CA2777">
      <w:pPr>
        <w:rPr>
          <w:lang w:eastAsia="ja-JP"/>
        </w:rPr>
      </w:pPr>
      <w:r>
        <w:rPr>
          <w:rFonts w:hint="eastAsia"/>
          <w:lang w:eastAsia="ja-JP"/>
        </w:rPr>
        <w:t xml:space="preserve">With regards to Option 2, </w:t>
      </w:r>
      <w:r w:rsidR="00445145">
        <w:rPr>
          <w:rFonts w:hint="eastAsia"/>
          <w:lang w:eastAsia="ja-JP"/>
        </w:rPr>
        <w:t xml:space="preserve">as explained in sub-clause 2.1, the band </w:t>
      </w:r>
      <w:r w:rsidR="00445145">
        <w:rPr>
          <w:lang w:eastAsia="ja-JP"/>
        </w:rPr>
        <w:t>width</w:t>
      </w:r>
      <w:r w:rsidR="00445145">
        <w:rPr>
          <w:rFonts w:hint="eastAsia"/>
          <w:lang w:eastAsia="ja-JP"/>
        </w:rPr>
        <w:t xml:space="preserve"> of initial BWP can be configured in the common configuration of BWP via </w:t>
      </w:r>
      <w:r w:rsidR="00445145" w:rsidRPr="00445145">
        <w:rPr>
          <w:rFonts w:hint="eastAsia"/>
          <w:i/>
          <w:lang w:eastAsia="ja-JP"/>
        </w:rPr>
        <w:t>ServingCellConfigCommon</w:t>
      </w:r>
      <w:r w:rsidR="00445145">
        <w:rPr>
          <w:rFonts w:hint="eastAsia"/>
          <w:lang w:eastAsia="ja-JP"/>
        </w:rPr>
        <w:t xml:space="preserve">. </w:t>
      </w:r>
      <w:r w:rsidR="00A11E9E">
        <w:rPr>
          <w:rFonts w:hint="eastAsia"/>
          <w:lang w:eastAsia="ja-JP"/>
        </w:rPr>
        <w:t xml:space="preserve">From signalling point of view, </w:t>
      </w:r>
      <w:r w:rsidR="00A11E9E" w:rsidRPr="00A11E9E">
        <w:rPr>
          <w:rFonts w:hint="eastAsia"/>
          <w:i/>
          <w:lang w:eastAsia="ja-JP"/>
        </w:rPr>
        <w:t>ServingCellConfigCommon</w:t>
      </w:r>
      <w:r w:rsidR="00A11E9E">
        <w:rPr>
          <w:rFonts w:hint="eastAsia"/>
          <w:lang w:eastAsia="ja-JP"/>
        </w:rPr>
        <w:t xml:space="preserve"> can be included in both SIB1 and </w:t>
      </w:r>
      <w:r w:rsidR="00B25A4A">
        <w:rPr>
          <w:rFonts w:hint="eastAsia"/>
          <w:lang w:eastAsia="ja-JP"/>
        </w:rPr>
        <w:t>RRC</w:t>
      </w:r>
      <w:r w:rsidR="00B67306">
        <w:rPr>
          <w:rFonts w:hint="eastAsia"/>
          <w:lang w:eastAsia="ja-JP"/>
        </w:rPr>
        <w:t>R</w:t>
      </w:r>
      <w:r w:rsidR="00A11E9E">
        <w:rPr>
          <w:rFonts w:hint="eastAsia"/>
          <w:lang w:eastAsia="ja-JP"/>
        </w:rPr>
        <w:t>econfiguration.</w:t>
      </w:r>
      <w:r w:rsidR="00B25A4A">
        <w:rPr>
          <w:rFonts w:hint="eastAsia"/>
          <w:lang w:eastAsia="ja-JP"/>
        </w:rPr>
        <w:t xml:space="preserve"> Nevertheless,</w:t>
      </w:r>
      <w:r w:rsidR="00B25A4A" w:rsidRPr="00480F25">
        <w:rPr>
          <w:rFonts w:hint="eastAsia"/>
          <w:u w:val="single"/>
          <w:lang w:eastAsia="ja-JP"/>
        </w:rPr>
        <w:t xml:space="preserve"> the common configuration </w:t>
      </w:r>
      <w:r w:rsidR="00D9374D">
        <w:rPr>
          <w:u w:val="single"/>
          <w:lang w:eastAsia="ja-JP"/>
        </w:rPr>
        <w:t>in</w:t>
      </w:r>
      <w:r w:rsidR="00D9374D">
        <w:rPr>
          <w:rFonts w:hint="eastAsia"/>
          <w:u w:val="single"/>
          <w:lang w:eastAsia="ja-JP"/>
        </w:rPr>
        <w:t xml:space="preserve"> RRCR</w:t>
      </w:r>
      <w:r w:rsidR="00B25A4A" w:rsidRPr="00480F25">
        <w:rPr>
          <w:rFonts w:hint="eastAsia"/>
          <w:u w:val="single"/>
          <w:lang w:eastAsia="ja-JP"/>
        </w:rPr>
        <w:t>econfiguration must be the same as in SIB1</w:t>
      </w:r>
      <w:r w:rsidR="00B25A4A">
        <w:rPr>
          <w:rFonts w:hint="eastAsia"/>
          <w:lang w:eastAsia="ja-JP"/>
        </w:rPr>
        <w:t xml:space="preserve"> due to the following reasons:</w:t>
      </w:r>
    </w:p>
    <w:p w14:paraId="0B5D624F" w14:textId="77777777" w:rsidR="00B25A4A" w:rsidRDefault="00607656" w:rsidP="00607656">
      <w:pPr>
        <w:pStyle w:val="B1"/>
      </w:pPr>
      <w:r>
        <w:rPr>
          <w:rFonts w:hint="eastAsia"/>
        </w:rPr>
        <w:t>-</w:t>
      </w:r>
      <w:r>
        <w:rPr>
          <w:rFonts w:hint="eastAsia"/>
        </w:rPr>
        <w:tab/>
      </w:r>
      <w:r w:rsidRPr="00607656">
        <w:t xml:space="preserve">For standalone operation, the information provided in </w:t>
      </w:r>
      <w:r w:rsidRPr="00607656">
        <w:rPr>
          <w:i/>
        </w:rPr>
        <w:t>ServingCellConfigCommon</w:t>
      </w:r>
      <w:r w:rsidRPr="00607656">
        <w:t xml:space="preserve"> (which includes the common part of the initial BWP configuration) must match the values provided in SIB1</w:t>
      </w:r>
      <w:r>
        <w:t>. Hence, the NW can</w:t>
      </w:r>
      <w:r w:rsidRPr="00607656">
        <w:t xml:space="preserve">not use the </w:t>
      </w:r>
      <w:r w:rsidRPr="00607656">
        <w:rPr>
          <w:i/>
        </w:rPr>
        <w:t>reconfigurationWithSync</w:t>
      </w:r>
      <w:r w:rsidRPr="00607656">
        <w:t xml:space="preserve"> to replace the values in SIB1 by other values</w:t>
      </w:r>
      <w:r>
        <w:rPr>
          <w:rFonts w:hint="eastAsia"/>
        </w:rPr>
        <w:t>, in practice</w:t>
      </w:r>
      <w:r w:rsidRPr="00607656">
        <w:t>.</w:t>
      </w:r>
    </w:p>
    <w:p w14:paraId="18913470" w14:textId="77777777" w:rsidR="00607656" w:rsidRDefault="00607656" w:rsidP="00607656">
      <w:pPr>
        <w:pStyle w:val="B1"/>
      </w:pPr>
      <w:r>
        <w:rPr>
          <w:rFonts w:hint="eastAsia"/>
        </w:rPr>
        <w:t>-</w:t>
      </w:r>
      <w:r>
        <w:rPr>
          <w:rFonts w:hint="eastAsia"/>
        </w:rPr>
        <w:tab/>
      </w:r>
      <w:r>
        <w:t>For PSCell and SCell</w:t>
      </w:r>
      <w:r>
        <w:rPr>
          <w:rFonts w:hint="eastAsia"/>
        </w:rPr>
        <w:t xml:space="preserve">, </w:t>
      </w:r>
      <w:r w:rsidRPr="00607656">
        <w:t xml:space="preserve">the UE does not read system information. However, the UE must read MIB from the PSCell and would override parameters previously received in </w:t>
      </w:r>
      <w:r w:rsidRPr="00607656">
        <w:rPr>
          <w:i/>
        </w:rPr>
        <w:t>ServingCellConfigCommon</w:t>
      </w:r>
      <w:r w:rsidRPr="00607656">
        <w:t xml:space="preserve"> (e.g.</w:t>
      </w:r>
      <w:r>
        <w:t xml:space="preserve"> CORESET </w:t>
      </w:r>
      <w:r>
        <w:rPr>
          <w:rFonts w:hint="eastAsia"/>
        </w:rPr>
        <w:t>etc.</w:t>
      </w:r>
      <w:r>
        <w:t xml:space="preserve">) by the latest MIB values. </w:t>
      </w:r>
      <w:r>
        <w:rPr>
          <w:rFonts w:hint="eastAsia"/>
        </w:rPr>
        <w:t>I</w:t>
      </w:r>
      <w:r>
        <w:t xml:space="preserve">f we use ANR, the UE will </w:t>
      </w:r>
      <w:r w:rsidRPr="00607656">
        <w:t>read SIB1 of the PSCell and apply those values.</w:t>
      </w:r>
    </w:p>
    <w:p w14:paraId="159567F5" w14:textId="77777777" w:rsidR="00607656" w:rsidRDefault="00607656" w:rsidP="00607656">
      <w:pPr>
        <w:pStyle w:val="B1"/>
      </w:pPr>
      <w:r>
        <w:rPr>
          <w:rFonts w:hint="eastAsia"/>
        </w:rPr>
        <w:t>-</w:t>
      </w:r>
      <w:r>
        <w:rPr>
          <w:rFonts w:hint="eastAsia"/>
        </w:rPr>
        <w:tab/>
      </w:r>
      <w:r w:rsidRPr="00607656">
        <w:t xml:space="preserve">For </w:t>
      </w:r>
      <w:r>
        <w:t>SCells</w:t>
      </w:r>
      <w:r>
        <w:rPr>
          <w:rFonts w:hint="eastAsia"/>
        </w:rPr>
        <w:t xml:space="preserve">, </w:t>
      </w:r>
      <w:r w:rsidRPr="00607656">
        <w:t>the UE does not read MIB and SIB</w:t>
      </w:r>
      <w:r>
        <w:rPr>
          <w:rFonts w:hint="eastAsia"/>
        </w:rPr>
        <w:t xml:space="preserve"> so far in Rel-15</w:t>
      </w:r>
      <w:r>
        <w:t xml:space="preserve">. </w:t>
      </w:r>
      <w:r>
        <w:rPr>
          <w:rFonts w:hint="eastAsia"/>
        </w:rPr>
        <w:t xml:space="preserve">However, </w:t>
      </w:r>
      <w:r w:rsidRPr="00607656">
        <w:t>it may have to do tha</w:t>
      </w:r>
      <w:r>
        <w:t xml:space="preserve">t in the future if </w:t>
      </w:r>
      <w:r w:rsidRPr="00607656">
        <w:t xml:space="preserve">MBMS or D2D </w:t>
      </w:r>
      <w:r>
        <w:rPr>
          <w:rFonts w:hint="eastAsia"/>
        </w:rPr>
        <w:t xml:space="preserve">is introduced </w:t>
      </w:r>
      <w:r w:rsidRPr="00607656">
        <w:t>in a similar way as in LTE.</w:t>
      </w:r>
    </w:p>
    <w:p w14:paraId="1FC1EF7B" w14:textId="77777777" w:rsidR="00EC6F5D" w:rsidRDefault="00B67306" w:rsidP="00CA2777">
      <w:pPr>
        <w:rPr>
          <w:lang w:eastAsia="ja-JP"/>
        </w:rPr>
      </w:pPr>
      <w:r>
        <w:rPr>
          <w:rFonts w:hint="eastAsia"/>
          <w:lang w:eastAsia="ja-JP"/>
        </w:rPr>
        <w:t xml:space="preserve">For option 2, </w:t>
      </w:r>
      <w:r w:rsidR="00E33C03">
        <w:rPr>
          <w:rFonts w:hint="eastAsia"/>
          <w:lang w:eastAsia="ja-JP"/>
        </w:rPr>
        <w:t xml:space="preserve">especially for PCell, </w:t>
      </w:r>
      <w:r>
        <w:rPr>
          <w:rFonts w:hint="eastAsia"/>
          <w:lang w:eastAsia="ja-JP"/>
        </w:rPr>
        <w:t xml:space="preserve">the NW should be able to set the wider bandwidth in SIB1, while the NW must ensure the bandwidth of initial BWP configured in </w:t>
      </w:r>
      <w:r w:rsidRPr="00B67306">
        <w:rPr>
          <w:rFonts w:hint="eastAsia"/>
          <w:i/>
          <w:lang w:eastAsia="ja-JP"/>
        </w:rPr>
        <w:t>ServingCellConfigCommon</w:t>
      </w:r>
      <w:r>
        <w:rPr>
          <w:rFonts w:hint="eastAsia"/>
          <w:lang w:eastAsia="ja-JP"/>
        </w:rPr>
        <w:t xml:space="preserve"> is the same for SIB1 and </w:t>
      </w:r>
      <w:r>
        <w:rPr>
          <w:rFonts w:hint="eastAsia"/>
          <w:lang w:eastAsia="ja-JP"/>
        </w:rPr>
        <w:lastRenderedPageBreak/>
        <w:t xml:space="preserve">RRCReconfiguration. </w:t>
      </w:r>
      <w:r w:rsidR="006D6EA4">
        <w:rPr>
          <w:rFonts w:hint="eastAsia"/>
          <w:lang w:eastAsia="ja-JP"/>
        </w:rPr>
        <w:t xml:space="preserve">This aspect is applied even for PSCell and SCell in EN-DC where SIB is broadcast. </w:t>
      </w:r>
      <w:r>
        <w:rPr>
          <w:rFonts w:hint="eastAsia"/>
          <w:lang w:eastAsia="ja-JP"/>
        </w:rPr>
        <w:t xml:space="preserve">It is noted that even though the wider </w:t>
      </w:r>
      <w:r>
        <w:rPr>
          <w:lang w:eastAsia="ja-JP"/>
        </w:rPr>
        <w:t>bandwidth</w:t>
      </w:r>
      <w:r>
        <w:rPr>
          <w:rFonts w:hint="eastAsia"/>
          <w:lang w:eastAsia="ja-JP"/>
        </w:rPr>
        <w:t xml:space="preserve"> is configured in SIB1, the UE still follows the CORESET configurations for receiving PDCCH. </w:t>
      </w:r>
      <w:r>
        <w:rPr>
          <w:lang w:eastAsia="ja-JP"/>
        </w:rPr>
        <w:t>T</w:t>
      </w:r>
      <w:r>
        <w:rPr>
          <w:rFonts w:hint="eastAsia"/>
          <w:lang w:eastAsia="ja-JP"/>
        </w:rPr>
        <w:t xml:space="preserve">he wider bandwidth is leveraged for </w:t>
      </w:r>
      <w:r w:rsidR="00E33C03">
        <w:rPr>
          <w:rFonts w:hint="eastAsia"/>
          <w:lang w:eastAsia="ja-JP"/>
        </w:rPr>
        <w:t xml:space="preserve">transmitting and </w:t>
      </w:r>
      <w:r w:rsidR="00B26888">
        <w:rPr>
          <w:rFonts w:hint="eastAsia"/>
          <w:lang w:eastAsia="ja-JP"/>
        </w:rPr>
        <w:t xml:space="preserve">receiving </w:t>
      </w:r>
      <w:r>
        <w:rPr>
          <w:rFonts w:hint="eastAsia"/>
          <w:lang w:eastAsia="ja-JP"/>
        </w:rPr>
        <w:t>PDSCH/PUSCH.</w:t>
      </w:r>
    </w:p>
    <w:p w14:paraId="6E0D147A" w14:textId="77777777" w:rsidR="00E57063" w:rsidRDefault="00863065" w:rsidP="004A55BC">
      <w:pPr>
        <w:pStyle w:val="2"/>
        <w:numPr>
          <w:ilvl w:val="0"/>
          <w:numId w:val="15"/>
        </w:numPr>
        <w:rPr>
          <w:lang w:eastAsia="ja-JP"/>
        </w:rPr>
      </w:pPr>
      <w:r>
        <w:rPr>
          <w:rFonts w:hint="eastAsia"/>
          <w:lang w:eastAsia="ja-JP"/>
        </w:rPr>
        <w:t>Summary and proposal</w:t>
      </w:r>
    </w:p>
    <w:p w14:paraId="06D78183" w14:textId="77777777" w:rsidR="00CA2777" w:rsidRDefault="000612B7" w:rsidP="00CA2777">
      <w:pPr>
        <w:rPr>
          <w:lang w:eastAsia="ja-JP"/>
        </w:rPr>
      </w:pPr>
      <w:r>
        <w:rPr>
          <w:rFonts w:hint="eastAsia"/>
          <w:lang w:eastAsia="ja-JP"/>
        </w:rPr>
        <w:t xml:space="preserve">This paper investigated </w:t>
      </w:r>
      <w:r>
        <w:rPr>
          <w:lang w:eastAsia="ja-JP"/>
        </w:rPr>
        <w:t>how to iron out the bandwidth</w:t>
      </w:r>
      <w:r>
        <w:rPr>
          <w:rFonts w:hint="eastAsia"/>
          <w:lang w:eastAsia="ja-JP"/>
        </w:rPr>
        <w:t xml:space="preserve"> </w:t>
      </w:r>
      <w:r>
        <w:rPr>
          <w:lang w:eastAsia="ja-JP"/>
        </w:rPr>
        <w:t>limitation as stated in the agreement</w:t>
      </w:r>
      <w:r>
        <w:rPr>
          <w:rFonts w:hint="eastAsia"/>
          <w:lang w:eastAsia="ja-JP"/>
        </w:rPr>
        <w:t xml:space="preserve"> made at RAN2 #101bis. From signalling viewpoints, the limitation can be ironed out. On the other hand, </w:t>
      </w:r>
      <w:r w:rsidR="00B26888">
        <w:rPr>
          <w:lang w:eastAsia="ja-JP"/>
        </w:rPr>
        <w:t>some agreements would be worthwhile building a common consensus, which would also avoid IOT problems in future. Therefore, the followings are proposed:</w:t>
      </w:r>
    </w:p>
    <w:p w14:paraId="1490355E" w14:textId="1342E148" w:rsidR="00AA1184" w:rsidRPr="00AA1184" w:rsidRDefault="00AA1184" w:rsidP="00AA1184">
      <w:pPr>
        <w:pStyle w:val="B1"/>
        <w:ind w:left="1704" w:hanging="1420"/>
        <w:rPr>
          <w:b/>
        </w:rPr>
      </w:pPr>
      <w:r w:rsidRPr="00AA1184">
        <w:rPr>
          <w:rFonts w:hint="eastAsia"/>
          <w:b/>
        </w:rPr>
        <w:t>P</w:t>
      </w:r>
      <w:r w:rsidRPr="00AA1184">
        <w:rPr>
          <w:b/>
        </w:rPr>
        <w:t>roposal 1:</w:t>
      </w:r>
      <w:r w:rsidRPr="00AA1184">
        <w:rPr>
          <w:b/>
        </w:rPr>
        <w:tab/>
        <w:t xml:space="preserve">For basic BWP operation (#6-1 in L1 feature list), the UE </w:t>
      </w:r>
      <w:r w:rsidR="00D42D27">
        <w:rPr>
          <w:b/>
        </w:rPr>
        <w:t>can be configured with</w:t>
      </w:r>
      <w:r w:rsidRPr="00AA1184">
        <w:rPr>
          <w:b/>
        </w:rPr>
        <w:t xml:space="preserve"> the following options:</w:t>
      </w:r>
    </w:p>
    <w:p w14:paraId="7B5C0227" w14:textId="77777777" w:rsidR="00AA1184" w:rsidRPr="00AA1184" w:rsidRDefault="00AA1184" w:rsidP="00AA1184">
      <w:pPr>
        <w:pStyle w:val="B2"/>
        <w:ind w:left="1704" w:hanging="1137"/>
        <w:rPr>
          <w:b/>
        </w:rPr>
      </w:pPr>
      <w:r w:rsidRPr="00AA1184">
        <w:rPr>
          <w:rFonts w:hint="eastAsia"/>
          <w:b/>
          <w:lang w:eastAsia="ja-JP"/>
        </w:rPr>
        <w:t>Option 1:</w:t>
      </w:r>
      <w:r w:rsidRPr="00AA1184">
        <w:rPr>
          <w:rFonts w:hint="eastAsia"/>
          <w:b/>
          <w:lang w:eastAsia="ja-JP"/>
        </w:rPr>
        <w:tab/>
      </w:r>
      <w:r w:rsidRPr="00AA1184">
        <w:rPr>
          <w:b/>
          <w:i/>
        </w:rPr>
        <w:t>BWP-DownlinkCommon/UplinkCommon</w:t>
      </w:r>
      <w:r w:rsidRPr="00AA1184">
        <w:rPr>
          <w:b/>
        </w:rPr>
        <w:t xml:space="preserve"> for </w:t>
      </w:r>
      <w:r w:rsidRPr="00AA1184">
        <w:rPr>
          <w:b/>
          <w:i/>
        </w:rPr>
        <w:t>initialDownlink/UplinkBWP</w:t>
      </w:r>
      <w:r w:rsidRPr="00AA1184">
        <w:rPr>
          <w:b/>
        </w:rPr>
        <w:t xml:space="preserve"> (BWP ID</w:t>
      </w:r>
      <w:r w:rsidRPr="00AA1184">
        <w:rPr>
          <w:rFonts w:hint="eastAsia"/>
          <w:b/>
        </w:rPr>
        <w:t xml:space="preserve"> </w:t>
      </w:r>
      <w:r w:rsidRPr="00AA1184">
        <w:rPr>
          <w:b/>
        </w:rPr>
        <w:t>#0)</w:t>
      </w:r>
      <w:r w:rsidRPr="00AA1184">
        <w:rPr>
          <w:rFonts w:hint="eastAsia"/>
          <w:b/>
        </w:rPr>
        <w:t xml:space="preserve"> plus </w:t>
      </w:r>
      <w:r w:rsidRPr="00AA1184">
        <w:rPr>
          <w:b/>
          <w:i/>
        </w:rPr>
        <w:t>BWP-Downlink/Uplink</w:t>
      </w:r>
      <w:r w:rsidRPr="00AA1184">
        <w:rPr>
          <w:b/>
        </w:rPr>
        <w:t xml:space="preserve"> for one configured </w:t>
      </w:r>
      <w:r w:rsidRPr="00AA1184">
        <w:rPr>
          <w:rFonts w:hint="eastAsia"/>
          <w:b/>
          <w:i/>
        </w:rPr>
        <w:t>d</w:t>
      </w:r>
      <w:r w:rsidRPr="00AA1184">
        <w:rPr>
          <w:b/>
          <w:i/>
        </w:rPr>
        <w:t>ownlink/</w:t>
      </w:r>
      <w:r w:rsidRPr="00AA1184">
        <w:rPr>
          <w:rFonts w:hint="eastAsia"/>
          <w:b/>
          <w:i/>
        </w:rPr>
        <w:t>u</w:t>
      </w:r>
      <w:r w:rsidRPr="00AA1184">
        <w:rPr>
          <w:b/>
          <w:i/>
        </w:rPr>
        <w:t>plinkBWP</w:t>
      </w:r>
      <w:r w:rsidRPr="00AA1184">
        <w:rPr>
          <w:b/>
        </w:rPr>
        <w:t xml:space="preserve"> (BWP ID</w:t>
      </w:r>
      <w:r w:rsidRPr="00AA1184">
        <w:rPr>
          <w:rFonts w:hint="eastAsia"/>
          <w:b/>
        </w:rPr>
        <w:t xml:space="preserve"> </w:t>
      </w:r>
      <w:r w:rsidRPr="00AA1184">
        <w:rPr>
          <w:b/>
        </w:rPr>
        <w:t>#1);</w:t>
      </w:r>
    </w:p>
    <w:p w14:paraId="13CB9C6A" w14:textId="77777777" w:rsidR="00AA1184" w:rsidRPr="00AA1184" w:rsidRDefault="00AA1184" w:rsidP="00AA1184">
      <w:pPr>
        <w:pStyle w:val="B2"/>
        <w:ind w:left="1704" w:hanging="1137"/>
        <w:rPr>
          <w:b/>
          <w:lang w:eastAsia="ja-JP"/>
        </w:rPr>
      </w:pPr>
      <w:r w:rsidRPr="00AA1184">
        <w:rPr>
          <w:b/>
        </w:rPr>
        <w:t>Option 2:</w:t>
      </w:r>
      <w:r w:rsidRPr="00AA1184">
        <w:rPr>
          <w:b/>
        </w:rPr>
        <w:tab/>
      </w:r>
      <w:r w:rsidRPr="00AA1184">
        <w:rPr>
          <w:b/>
          <w:i/>
        </w:rPr>
        <w:t>BWP-DownlinkCommon/UplinkCommon</w:t>
      </w:r>
      <w:r w:rsidRPr="00AA1184">
        <w:rPr>
          <w:b/>
        </w:rPr>
        <w:t xml:space="preserve"> and </w:t>
      </w:r>
      <w:r w:rsidRPr="00AA1184">
        <w:rPr>
          <w:b/>
          <w:i/>
        </w:rPr>
        <w:t>BWP-DownlinkDedicated/UplinkDedicated</w:t>
      </w:r>
      <w:r w:rsidRPr="00AA1184">
        <w:rPr>
          <w:b/>
        </w:rPr>
        <w:t xml:space="preserve"> for </w:t>
      </w:r>
      <w:r w:rsidRPr="00AA1184">
        <w:rPr>
          <w:b/>
          <w:i/>
        </w:rPr>
        <w:t>initialDownlink/UplinkBWP</w:t>
      </w:r>
      <w:r w:rsidRPr="00AA1184">
        <w:rPr>
          <w:b/>
        </w:rPr>
        <w:t xml:space="preserve"> (BWP ID #0).</w:t>
      </w:r>
    </w:p>
    <w:p w14:paraId="053C46EF" w14:textId="77777777" w:rsidR="00194BC1" w:rsidRDefault="00194BC1" w:rsidP="00194BC1">
      <w:pPr>
        <w:pStyle w:val="B1"/>
        <w:ind w:left="1704" w:hanging="1420"/>
        <w:rPr>
          <w:b/>
        </w:rPr>
      </w:pPr>
      <w:r>
        <w:rPr>
          <w:rFonts w:hint="eastAsia"/>
          <w:b/>
        </w:rPr>
        <w:t>Proposal 2:</w:t>
      </w:r>
      <w:r>
        <w:rPr>
          <w:rFonts w:hint="eastAsia"/>
          <w:b/>
        </w:rPr>
        <w:tab/>
      </w:r>
      <w:r>
        <w:rPr>
          <w:b/>
        </w:rPr>
        <w:t xml:space="preserve">(To clarify that Option 1 works) For PSCell and SCell, </w:t>
      </w:r>
      <w:r w:rsidRPr="00FE25C5">
        <w:rPr>
          <w:b/>
          <w:i/>
        </w:rPr>
        <w:t>BWP-DownlinkDedicated/UplinkDedicated</w:t>
      </w:r>
      <w:r>
        <w:rPr>
          <w:b/>
        </w:rPr>
        <w:t xml:space="preserve"> of </w:t>
      </w:r>
      <w:r w:rsidRPr="00FE25C5">
        <w:rPr>
          <w:b/>
          <w:i/>
        </w:rPr>
        <w:t>initialDownlink/UplinkBWP</w:t>
      </w:r>
      <w:r>
        <w:rPr>
          <w:b/>
        </w:rPr>
        <w:t xml:space="preserve"> is optional present.</w:t>
      </w:r>
    </w:p>
    <w:p w14:paraId="4C7750EB" w14:textId="166F5F39" w:rsidR="008F1F65" w:rsidRDefault="008F1F65" w:rsidP="008F1F65">
      <w:pPr>
        <w:pStyle w:val="B1"/>
        <w:ind w:left="1704" w:hanging="1420"/>
        <w:rPr>
          <w:b/>
        </w:rPr>
      </w:pPr>
      <w:r>
        <w:rPr>
          <w:rFonts w:hint="eastAsia"/>
          <w:b/>
        </w:rPr>
        <w:t xml:space="preserve">Proposal </w:t>
      </w:r>
      <w:r>
        <w:rPr>
          <w:b/>
        </w:rPr>
        <w:t>3</w:t>
      </w:r>
      <w:r>
        <w:rPr>
          <w:rFonts w:hint="eastAsia"/>
          <w:b/>
        </w:rPr>
        <w:t>:</w:t>
      </w:r>
      <w:r>
        <w:rPr>
          <w:rFonts w:hint="eastAsia"/>
          <w:b/>
        </w:rPr>
        <w:tab/>
      </w:r>
      <w:r>
        <w:rPr>
          <w:b/>
        </w:rPr>
        <w:t>(To clarify that Option 1 works) Send an LS to RAN1 to add a clarification in RAN1 specification 36.212 stating that for the UE which only support option 6-1 (and do not support 6-2), the BWP bitwidth calculation logic does not apply.</w:t>
      </w:r>
    </w:p>
    <w:p w14:paraId="7479E9AE" w14:textId="4EC1202D" w:rsidR="00AA1184" w:rsidRDefault="00AA1184" w:rsidP="00194BC1">
      <w:pPr>
        <w:pStyle w:val="B1"/>
        <w:ind w:left="1704" w:hanging="1420"/>
        <w:rPr>
          <w:b/>
        </w:rPr>
      </w:pPr>
      <w:r w:rsidRPr="00AA1184">
        <w:rPr>
          <w:b/>
        </w:rPr>
        <w:t xml:space="preserve">Proposal </w:t>
      </w:r>
      <w:r w:rsidR="008F1F65">
        <w:rPr>
          <w:b/>
        </w:rPr>
        <w:t>4</w:t>
      </w:r>
      <w:r w:rsidRPr="00AA1184">
        <w:rPr>
          <w:b/>
        </w:rPr>
        <w:t>:</w:t>
      </w:r>
      <w:r w:rsidRPr="00AA1184">
        <w:rPr>
          <w:b/>
        </w:rPr>
        <w:tab/>
      </w:r>
      <w:r w:rsidR="00194BC1" w:rsidRPr="00AA1184" w:rsidDel="00194BC1">
        <w:rPr>
          <w:b/>
        </w:rPr>
        <w:t xml:space="preserve"> </w:t>
      </w:r>
      <w:r w:rsidR="00194BC1">
        <w:rPr>
          <w:b/>
        </w:rPr>
        <w:t xml:space="preserve">(To clarify that Option 2 works) </w:t>
      </w:r>
      <w:r w:rsidR="00D9374D">
        <w:rPr>
          <w:b/>
        </w:rPr>
        <w:t>For initial BWP, SIB1 can broadcast wider bandwidth than the one obtained from MIB.</w:t>
      </w:r>
    </w:p>
    <w:p w14:paraId="7BD99491" w14:textId="74F0A238" w:rsidR="00842840" w:rsidRDefault="00842840">
      <w:pPr>
        <w:pStyle w:val="B1"/>
        <w:ind w:left="1704" w:hanging="1420"/>
        <w:rPr>
          <w:b/>
        </w:rPr>
      </w:pPr>
      <w:r>
        <w:rPr>
          <w:rFonts w:hint="eastAsia"/>
          <w:b/>
        </w:rPr>
        <w:t>Proposal 4a:</w:t>
      </w:r>
      <w:r>
        <w:rPr>
          <w:rFonts w:hint="eastAsia"/>
          <w:b/>
        </w:rPr>
        <w:tab/>
      </w:r>
      <w:r w:rsidR="00390EF5">
        <w:rPr>
          <w:b/>
        </w:rPr>
        <w:t>In this case, upon receiving SIB1,</w:t>
      </w:r>
      <w:r>
        <w:rPr>
          <w:b/>
        </w:rPr>
        <w:t xml:space="preserve"> </w:t>
      </w:r>
      <w:r w:rsidR="00390EF5">
        <w:rPr>
          <w:b/>
        </w:rPr>
        <w:t xml:space="preserve">the UE applies the received bandwidth to </w:t>
      </w:r>
      <w:r w:rsidR="00390EF5" w:rsidRPr="006D299F">
        <w:rPr>
          <w:b/>
          <w:i/>
        </w:rPr>
        <w:t>initialDownlink/UplinkBWP</w:t>
      </w:r>
      <w:r w:rsidRPr="00842840">
        <w:rPr>
          <w:b/>
        </w:rPr>
        <w:t>.</w:t>
      </w:r>
      <w:r w:rsidR="00390EF5">
        <w:rPr>
          <w:b/>
        </w:rPr>
        <w:t xml:space="preserve"> Otherwise</w:t>
      </w:r>
      <w:r w:rsidR="004B0CD9">
        <w:rPr>
          <w:b/>
        </w:rPr>
        <w:t xml:space="preserve"> (i.e. SIB1 does not broadcast the bandwidth of </w:t>
      </w:r>
      <w:r w:rsidR="004B0CD9" w:rsidRPr="006D299F">
        <w:rPr>
          <w:b/>
          <w:i/>
        </w:rPr>
        <w:t>initial Downlink/UplinkBWP</w:t>
      </w:r>
      <w:r w:rsidR="004B0CD9">
        <w:rPr>
          <w:b/>
        </w:rPr>
        <w:t>)</w:t>
      </w:r>
      <w:r w:rsidR="00390EF5">
        <w:rPr>
          <w:b/>
        </w:rPr>
        <w:t xml:space="preserve">, </w:t>
      </w:r>
      <w:r w:rsidR="0040220A">
        <w:rPr>
          <w:b/>
        </w:rPr>
        <w:t>the UE continues to use the bandwidth obtained via MIB.</w:t>
      </w:r>
    </w:p>
    <w:p w14:paraId="0406B485" w14:textId="264900FD" w:rsidR="00D9374D" w:rsidRPr="00AA1184" w:rsidRDefault="00D9374D" w:rsidP="00D9374D">
      <w:pPr>
        <w:pStyle w:val="B1"/>
        <w:ind w:left="1704" w:hanging="1420"/>
        <w:rPr>
          <w:b/>
        </w:rPr>
      </w:pPr>
      <w:r>
        <w:rPr>
          <w:b/>
        </w:rPr>
        <w:t xml:space="preserve">Proposal </w:t>
      </w:r>
      <w:r w:rsidR="008F1F65">
        <w:rPr>
          <w:b/>
        </w:rPr>
        <w:t>5</w:t>
      </w:r>
      <w:r>
        <w:rPr>
          <w:b/>
        </w:rPr>
        <w:t>:</w:t>
      </w:r>
      <w:r>
        <w:rPr>
          <w:b/>
        </w:rPr>
        <w:tab/>
        <w:t>The network shall ensure that the common configuration in RRCReconfiguration is the same as in SIB1 (including the bandwidth of initial BWP).</w:t>
      </w:r>
    </w:p>
    <w:p w14:paraId="104812FC" w14:textId="75C71D7E" w:rsidR="000612B7" w:rsidRDefault="007A2D53" w:rsidP="00CA2777">
      <w:pPr>
        <w:rPr>
          <w:lang w:eastAsia="ja-JP"/>
        </w:rPr>
      </w:pPr>
      <w:r>
        <w:rPr>
          <w:lang w:eastAsia="ja-JP"/>
        </w:rPr>
        <w:t>If Proposal</w:t>
      </w:r>
      <w:r w:rsidR="00622A39">
        <w:rPr>
          <w:lang w:eastAsia="ja-JP"/>
        </w:rPr>
        <w:t>s</w:t>
      </w:r>
      <w:r>
        <w:rPr>
          <w:lang w:eastAsia="ja-JP"/>
        </w:rPr>
        <w:t xml:space="preserve"> </w:t>
      </w:r>
      <w:r w:rsidR="00622A39">
        <w:rPr>
          <w:lang w:eastAsia="ja-JP"/>
        </w:rPr>
        <w:t>are</w:t>
      </w:r>
      <w:r>
        <w:rPr>
          <w:lang w:eastAsia="ja-JP"/>
        </w:rPr>
        <w:t xml:space="preserve"> agreed, it would be better to cross check with RAN1 if it works properly from PHY viewpoints. The following is proposed as well:</w:t>
      </w:r>
    </w:p>
    <w:p w14:paraId="380CF7A8" w14:textId="5A0768A1" w:rsidR="007A2D53" w:rsidRPr="00A973AB" w:rsidRDefault="00A973AB" w:rsidP="00A973AB">
      <w:pPr>
        <w:pStyle w:val="B1"/>
        <w:rPr>
          <w:b/>
        </w:rPr>
      </w:pPr>
      <w:r w:rsidRPr="00A973AB">
        <w:rPr>
          <w:rFonts w:hint="eastAsia"/>
          <w:b/>
        </w:rPr>
        <w:t>P</w:t>
      </w:r>
      <w:r w:rsidRPr="00A973AB">
        <w:rPr>
          <w:b/>
        </w:rPr>
        <w:t xml:space="preserve">roposal </w:t>
      </w:r>
      <w:r w:rsidR="00D311B2">
        <w:rPr>
          <w:rFonts w:hint="eastAsia"/>
          <w:b/>
        </w:rPr>
        <w:t>6</w:t>
      </w:r>
      <w:bookmarkStart w:id="0" w:name="_GoBack"/>
      <w:bookmarkEnd w:id="0"/>
      <w:r w:rsidRPr="00A973AB">
        <w:rPr>
          <w:b/>
        </w:rPr>
        <w:t>:</w:t>
      </w:r>
      <w:r w:rsidRPr="00A973AB">
        <w:rPr>
          <w:b/>
        </w:rPr>
        <w:tab/>
      </w:r>
      <w:r w:rsidRPr="00A973AB">
        <w:rPr>
          <w:b/>
        </w:rPr>
        <w:tab/>
        <w:t xml:space="preserve">Send an LS to RAN1 to cross check the </w:t>
      </w:r>
      <w:r w:rsidR="00622A39">
        <w:rPr>
          <w:b/>
        </w:rPr>
        <w:t>proposals from PHY viewpoints</w:t>
      </w:r>
      <w:r w:rsidRPr="00A973AB">
        <w:rPr>
          <w:b/>
        </w:rPr>
        <w:t>.</w:t>
      </w:r>
    </w:p>
    <w:p w14:paraId="6485C504" w14:textId="77777777" w:rsidR="007A2D53" w:rsidRPr="007A2D53" w:rsidRDefault="00A973AB" w:rsidP="00CA2777">
      <w:pPr>
        <w:rPr>
          <w:lang w:eastAsia="ja-JP"/>
        </w:rPr>
      </w:pPr>
      <w:r>
        <w:rPr>
          <w:rFonts w:hint="eastAsia"/>
          <w:lang w:eastAsia="ja-JP"/>
        </w:rPr>
        <w:t xml:space="preserve">A draft LS </w:t>
      </w:r>
      <w:r>
        <w:rPr>
          <w:lang w:eastAsia="ja-JP"/>
        </w:rPr>
        <w:t>is available in [5].</w:t>
      </w:r>
    </w:p>
    <w:p w14:paraId="7AE41440" w14:textId="77777777" w:rsidR="00833813" w:rsidRDefault="00CE2B2D" w:rsidP="004A55BC">
      <w:pPr>
        <w:pStyle w:val="2"/>
        <w:numPr>
          <w:ilvl w:val="0"/>
          <w:numId w:val="15"/>
        </w:numPr>
        <w:rPr>
          <w:rFonts w:cs="Arial"/>
          <w:lang w:eastAsia="ja-JP"/>
        </w:rPr>
      </w:pPr>
      <w:r w:rsidRPr="00863065">
        <w:rPr>
          <w:rFonts w:cs="Arial"/>
          <w:lang w:eastAsia="ja-JP"/>
        </w:rPr>
        <w:t>Reference</w:t>
      </w:r>
      <w:r w:rsidR="00704805">
        <w:rPr>
          <w:rFonts w:cs="Arial" w:hint="eastAsia"/>
          <w:lang w:eastAsia="ja-JP"/>
        </w:rPr>
        <w:t>s</w:t>
      </w:r>
    </w:p>
    <w:p w14:paraId="1AE9C760" w14:textId="77777777" w:rsidR="006130CB" w:rsidRDefault="006130CB" w:rsidP="006130CB">
      <w:pPr>
        <w:rPr>
          <w:lang w:eastAsia="ja-JP"/>
        </w:rPr>
      </w:pPr>
      <w:r>
        <w:rPr>
          <w:rFonts w:hint="eastAsia"/>
          <w:lang w:eastAsia="ja-JP"/>
        </w:rPr>
        <w:t xml:space="preserve">[1] </w:t>
      </w:r>
      <w:r w:rsidR="00FB3C9A">
        <w:rPr>
          <w:lang w:eastAsia="ja-JP"/>
        </w:rPr>
        <w:t>R2-1806601, “</w:t>
      </w:r>
      <w:r w:rsidR="00FB3C9A" w:rsidRPr="00FB3C9A">
        <w:rPr>
          <w:lang w:eastAsia="ja-JP"/>
        </w:rPr>
        <w:t>RAN2#101bis Meeting Report</w:t>
      </w:r>
      <w:r w:rsidR="00FB3C9A">
        <w:rPr>
          <w:lang w:eastAsia="ja-JP"/>
        </w:rPr>
        <w:t>,” ETSI MCC.</w:t>
      </w:r>
    </w:p>
    <w:p w14:paraId="1592658D" w14:textId="77777777" w:rsidR="00FB3C9A" w:rsidRDefault="00A93FF9" w:rsidP="006130CB">
      <w:pPr>
        <w:rPr>
          <w:lang w:eastAsia="ja-JP"/>
        </w:rPr>
      </w:pPr>
      <w:r>
        <w:rPr>
          <w:rFonts w:hint="eastAsia"/>
          <w:lang w:eastAsia="ja-JP"/>
        </w:rPr>
        <w:t xml:space="preserve">[2] </w:t>
      </w:r>
      <w:r>
        <w:rPr>
          <w:lang w:eastAsia="ja-JP"/>
        </w:rPr>
        <w:t>R2-180xxxx, “</w:t>
      </w:r>
      <w:r w:rsidRPr="00A93FF9">
        <w:rPr>
          <w:lang w:eastAsia="ja-JP"/>
        </w:rPr>
        <w:t>Summary of email discussion [101bis#40]</w:t>
      </w:r>
      <w:r w:rsidR="00A94002">
        <w:rPr>
          <w:lang w:eastAsia="ja-JP"/>
        </w:rPr>
        <w:t xml:space="preserve"> </w:t>
      </w:r>
      <w:r w:rsidRPr="00A93FF9">
        <w:rPr>
          <w:lang w:eastAsia="ja-JP"/>
        </w:rPr>
        <w:t>[NR] RRC triggered BWP activation</w:t>
      </w:r>
      <w:r>
        <w:rPr>
          <w:lang w:eastAsia="ja-JP"/>
        </w:rPr>
        <w:t>,”</w:t>
      </w:r>
    </w:p>
    <w:p w14:paraId="2C4E8420" w14:textId="77777777" w:rsidR="00A94002" w:rsidRDefault="00A94002" w:rsidP="006130CB">
      <w:pPr>
        <w:rPr>
          <w:lang w:eastAsia="ja-JP"/>
        </w:rPr>
      </w:pPr>
      <w:r>
        <w:rPr>
          <w:lang w:eastAsia="ja-JP"/>
        </w:rPr>
        <w:t xml:space="preserve">[3] </w:t>
      </w:r>
      <w:r w:rsidRPr="00A94002">
        <w:rPr>
          <w:lang w:eastAsia="ja-JP"/>
        </w:rPr>
        <w:t>R2-1805003</w:t>
      </w:r>
      <w:r>
        <w:rPr>
          <w:lang w:eastAsia="ja-JP"/>
        </w:rPr>
        <w:t>, “</w:t>
      </w:r>
      <w:r w:rsidRPr="00A94002">
        <w:rPr>
          <w:lang w:eastAsia="ja-JP"/>
        </w:rPr>
        <w:t>Clarification on BWP configuration</w:t>
      </w:r>
      <w:r>
        <w:rPr>
          <w:lang w:eastAsia="ja-JP"/>
        </w:rPr>
        <w:t>,” Intel Corporation.</w:t>
      </w:r>
    </w:p>
    <w:p w14:paraId="5B2F986A" w14:textId="77777777" w:rsidR="00585B21" w:rsidRDefault="00585B21" w:rsidP="00585B21">
      <w:pPr>
        <w:rPr>
          <w:lang w:eastAsia="ja-JP"/>
        </w:rPr>
      </w:pPr>
      <w:r>
        <w:rPr>
          <w:lang w:eastAsia="ja-JP"/>
        </w:rPr>
        <w:t>[4] R2-1806618, “</w:t>
      </w:r>
      <w:r w:rsidRPr="00585B21">
        <w:rPr>
          <w:lang w:eastAsia="ja-JP"/>
        </w:rPr>
        <w:t>LS on NR UE feature list</w:t>
      </w:r>
      <w:r>
        <w:rPr>
          <w:lang w:eastAsia="ja-JP"/>
        </w:rPr>
        <w:t>,” RAN1.</w:t>
      </w:r>
    </w:p>
    <w:p w14:paraId="4BF6FDB6" w14:textId="77777777" w:rsidR="00A973AB" w:rsidRPr="00585B21" w:rsidRDefault="00A973AB" w:rsidP="00585B21">
      <w:pPr>
        <w:rPr>
          <w:lang w:eastAsia="ja-JP"/>
        </w:rPr>
      </w:pPr>
      <w:r>
        <w:rPr>
          <w:lang w:eastAsia="ja-JP"/>
        </w:rPr>
        <w:t>[5] R2-1807391, “</w:t>
      </w:r>
      <w:r w:rsidRPr="00A973AB">
        <w:rPr>
          <w:lang w:eastAsia="ja-JP"/>
        </w:rPr>
        <w:t>[DRAFT] LS on Bandwidth configuration for initial BWP</w:t>
      </w:r>
      <w:r>
        <w:rPr>
          <w:lang w:eastAsia="ja-JP"/>
        </w:rPr>
        <w:t>,”</w:t>
      </w:r>
      <w:r w:rsidR="00246B41">
        <w:rPr>
          <w:lang w:eastAsia="ja-JP"/>
        </w:rPr>
        <w:t xml:space="preserve"> </w:t>
      </w:r>
      <w:r>
        <w:rPr>
          <w:lang w:eastAsia="ja-JP"/>
        </w:rPr>
        <w:t>to RAN1, NTT DOCOMO, INC.</w:t>
      </w:r>
    </w:p>
    <w:sectPr w:rsidR="00A973AB" w:rsidRPr="00585B21">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10366" w14:textId="77777777" w:rsidR="00C565AB" w:rsidRDefault="00C565AB">
      <w:r>
        <w:separator/>
      </w:r>
    </w:p>
  </w:endnote>
  <w:endnote w:type="continuationSeparator" w:id="0">
    <w:p w14:paraId="4A0380AC" w14:textId="77777777" w:rsidR="00C565AB" w:rsidRDefault="00C5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E6338"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F311B1B"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40FD4" w14:textId="5C3B4604"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11820">
      <w:rPr>
        <w:rStyle w:val="af7"/>
      </w:rPr>
      <w:t>2</w:t>
    </w:r>
    <w:r>
      <w:rPr>
        <w:rStyle w:val="af7"/>
      </w:rPr>
      <w:fldChar w:fldCharType="end"/>
    </w:r>
  </w:p>
  <w:p w14:paraId="61AFF6F4"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4C652" w14:textId="77777777" w:rsidR="00C565AB" w:rsidRDefault="00C565AB">
      <w:r>
        <w:separator/>
      </w:r>
    </w:p>
  </w:footnote>
  <w:footnote w:type="continuationSeparator" w:id="0">
    <w:p w14:paraId="2D1A18E6" w14:textId="77777777" w:rsidR="00C565AB" w:rsidRDefault="00C56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1C975"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F8C32F1"/>
    <w:multiLevelType w:val="hybridMultilevel"/>
    <w:tmpl w:val="C6B6DA12"/>
    <w:lvl w:ilvl="0" w:tplc="B7C8F5B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5"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7"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0" w15:restartNumberingAfterBreak="0">
    <w:nsid w:val="4FCC15A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1"/>
  </w:num>
  <w:num w:numId="3">
    <w:abstractNumId w:val="8"/>
  </w:num>
  <w:num w:numId="4">
    <w:abstractNumId w:val="4"/>
  </w:num>
  <w:num w:numId="5">
    <w:abstractNumId w:val="1"/>
  </w:num>
  <w:num w:numId="6">
    <w:abstractNumId w:val="6"/>
  </w:num>
  <w:num w:numId="7">
    <w:abstractNumId w:val="13"/>
  </w:num>
  <w:num w:numId="8">
    <w:abstractNumId w:val="9"/>
  </w:num>
  <w:num w:numId="9">
    <w:abstractNumId w:val="5"/>
  </w:num>
  <w:num w:numId="10">
    <w:abstractNumId w:val="14"/>
  </w:num>
  <w:num w:numId="11">
    <w:abstractNumId w:val="0"/>
  </w:num>
  <w:num w:numId="12">
    <w:abstractNumId w:val="3"/>
  </w:num>
  <w:num w:numId="13">
    <w:abstractNumId w:val="7"/>
  </w:num>
  <w:num w:numId="14">
    <w:abstractNumId w:val="2"/>
  </w:num>
  <w:num w:numId="1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003"/>
    <w:rsid w:val="00042389"/>
    <w:rsid w:val="00042571"/>
    <w:rsid w:val="000427D0"/>
    <w:rsid w:val="00043099"/>
    <w:rsid w:val="00043A37"/>
    <w:rsid w:val="00043C51"/>
    <w:rsid w:val="000444FD"/>
    <w:rsid w:val="000453D0"/>
    <w:rsid w:val="0004555C"/>
    <w:rsid w:val="0004633C"/>
    <w:rsid w:val="000502DD"/>
    <w:rsid w:val="00052B2C"/>
    <w:rsid w:val="000555B2"/>
    <w:rsid w:val="00056041"/>
    <w:rsid w:val="00056CBF"/>
    <w:rsid w:val="000612B7"/>
    <w:rsid w:val="00061D2B"/>
    <w:rsid w:val="00063B2C"/>
    <w:rsid w:val="000648E4"/>
    <w:rsid w:val="00065827"/>
    <w:rsid w:val="00065F4C"/>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479E"/>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92B"/>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A54"/>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265"/>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6C8B"/>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4BC1"/>
    <w:rsid w:val="0019507E"/>
    <w:rsid w:val="001958E4"/>
    <w:rsid w:val="00195CF4"/>
    <w:rsid w:val="001971AE"/>
    <w:rsid w:val="001979F6"/>
    <w:rsid w:val="001A01A6"/>
    <w:rsid w:val="001A047A"/>
    <w:rsid w:val="001A198D"/>
    <w:rsid w:val="001A1A59"/>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5B38"/>
    <w:rsid w:val="001F6DD2"/>
    <w:rsid w:val="00202106"/>
    <w:rsid w:val="00202226"/>
    <w:rsid w:val="00203216"/>
    <w:rsid w:val="00205B85"/>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B41"/>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5E27"/>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820"/>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A2B"/>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15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0EF5"/>
    <w:rsid w:val="00392BA1"/>
    <w:rsid w:val="00393320"/>
    <w:rsid w:val="00393840"/>
    <w:rsid w:val="00393BEC"/>
    <w:rsid w:val="003979E7"/>
    <w:rsid w:val="003A0BAD"/>
    <w:rsid w:val="003A0CF1"/>
    <w:rsid w:val="003A32DE"/>
    <w:rsid w:val="003A3607"/>
    <w:rsid w:val="003A3F19"/>
    <w:rsid w:val="003A601E"/>
    <w:rsid w:val="003A6561"/>
    <w:rsid w:val="003A66B5"/>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20A"/>
    <w:rsid w:val="00402908"/>
    <w:rsid w:val="0040304B"/>
    <w:rsid w:val="00403996"/>
    <w:rsid w:val="00403FA5"/>
    <w:rsid w:val="004051BB"/>
    <w:rsid w:val="004072DB"/>
    <w:rsid w:val="004105F8"/>
    <w:rsid w:val="00410B6E"/>
    <w:rsid w:val="00410E5A"/>
    <w:rsid w:val="00413D1F"/>
    <w:rsid w:val="00414EC9"/>
    <w:rsid w:val="00414EDC"/>
    <w:rsid w:val="00416DBF"/>
    <w:rsid w:val="00420C86"/>
    <w:rsid w:val="004224CF"/>
    <w:rsid w:val="0042270A"/>
    <w:rsid w:val="00422CBD"/>
    <w:rsid w:val="00424DB1"/>
    <w:rsid w:val="0042674B"/>
    <w:rsid w:val="00426906"/>
    <w:rsid w:val="004318EB"/>
    <w:rsid w:val="00433093"/>
    <w:rsid w:val="00433259"/>
    <w:rsid w:val="0043487D"/>
    <w:rsid w:val="004349F2"/>
    <w:rsid w:val="00435176"/>
    <w:rsid w:val="004405A8"/>
    <w:rsid w:val="00440AE7"/>
    <w:rsid w:val="004430BF"/>
    <w:rsid w:val="00445145"/>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0F25"/>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6073"/>
    <w:rsid w:val="00497F17"/>
    <w:rsid w:val="004A1E59"/>
    <w:rsid w:val="004A55BC"/>
    <w:rsid w:val="004B0CD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27491"/>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3FFF"/>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5B21"/>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6E7"/>
    <w:rsid w:val="005D0C91"/>
    <w:rsid w:val="005D50B6"/>
    <w:rsid w:val="005D6185"/>
    <w:rsid w:val="005D61C1"/>
    <w:rsid w:val="005D6278"/>
    <w:rsid w:val="005D7BE6"/>
    <w:rsid w:val="005D7D0B"/>
    <w:rsid w:val="005E072E"/>
    <w:rsid w:val="005E0861"/>
    <w:rsid w:val="005E0B28"/>
    <w:rsid w:val="005E6811"/>
    <w:rsid w:val="005E7A57"/>
    <w:rsid w:val="005F2765"/>
    <w:rsid w:val="005F3B9A"/>
    <w:rsid w:val="005F48F8"/>
    <w:rsid w:val="005F5D64"/>
    <w:rsid w:val="005F5DAD"/>
    <w:rsid w:val="005F6853"/>
    <w:rsid w:val="005F76FE"/>
    <w:rsid w:val="00601A6A"/>
    <w:rsid w:val="00601F42"/>
    <w:rsid w:val="00604F13"/>
    <w:rsid w:val="00605E5D"/>
    <w:rsid w:val="006060C6"/>
    <w:rsid w:val="006064E5"/>
    <w:rsid w:val="00606BF8"/>
    <w:rsid w:val="00607656"/>
    <w:rsid w:val="00610E1D"/>
    <w:rsid w:val="00612077"/>
    <w:rsid w:val="006130CB"/>
    <w:rsid w:val="006132F4"/>
    <w:rsid w:val="00615316"/>
    <w:rsid w:val="00615950"/>
    <w:rsid w:val="00617EC8"/>
    <w:rsid w:val="006203F1"/>
    <w:rsid w:val="00620C29"/>
    <w:rsid w:val="00620E21"/>
    <w:rsid w:val="00621BA9"/>
    <w:rsid w:val="00622A39"/>
    <w:rsid w:val="00622D2C"/>
    <w:rsid w:val="006233FA"/>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5A"/>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66BD"/>
    <w:rsid w:val="006C70A4"/>
    <w:rsid w:val="006C777E"/>
    <w:rsid w:val="006D0832"/>
    <w:rsid w:val="006D14BA"/>
    <w:rsid w:val="006D1679"/>
    <w:rsid w:val="006D26D0"/>
    <w:rsid w:val="006D299F"/>
    <w:rsid w:val="006D3A00"/>
    <w:rsid w:val="006D560B"/>
    <w:rsid w:val="006D6EA4"/>
    <w:rsid w:val="006D7C6C"/>
    <w:rsid w:val="006D7EFD"/>
    <w:rsid w:val="006E016F"/>
    <w:rsid w:val="006E0BCE"/>
    <w:rsid w:val="006E2066"/>
    <w:rsid w:val="006E262E"/>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D53"/>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451F"/>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84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67903"/>
    <w:rsid w:val="00872CC7"/>
    <w:rsid w:val="00872D99"/>
    <w:rsid w:val="008745EA"/>
    <w:rsid w:val="00874C84"/>
    <w:rsid w:val="00876601"/>
    <w:rsid w:val="00877C94"/>
    <w:rsid w:val="00880AAD"/>
    <w:rsid w:val="00882EEC"/>
    <w:rsid w:val="00883A6D"/>
    <w:rsid w:val="00883AA5"/>
    <w:rsid w:val="008845EF"/>
    <w:rsid w:val="00885FF2"/>
    <w:rsid w:val="00891094"/>
    <w:rsid w:val="00892803"/>
    <w:rsid w:val="00893601"/>
    <w:rsid w:val="00893A7E"/>
    <w:rsid w:val="008955DA"/>
    <w:rsid w:val="00895BF4"/>
    <w:rsid w:val="0089796D"/>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4B60"/>
    <w:rsid w:val="008E5767"/>
    <w:rsid w:val="008E5E09"/>
    <w:rsid w:val="008E6BFF"/>
    <w:rsid w:val="008E79C8"/>
    <w:rsid w:val="008E7CF3"/>
    <w:rsid w:val="008F1F65"/>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9EF"/>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76FC6"/>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3992"/>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1E9E"/>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262D"/>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3FF9"/>
    <w:rsid w:val="00A94002"/>
    <w:rsid w:val="00A94443"/>
    <w:rsid w:val="00A94E39"/>
    <w:rsid w:val="00A95D20"/>
    <w:rsid w:val="00A973AB"/>
    <w:rsid w:val="00A97FD2"/>
    <w:rsid w:val="00AA1184"/>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4F"/>
    <w:rsid w:val="00AE698A"/>
    <w:rsid w:val="00AE7C99"/>
    <w:rsid w:val="00AF0065"/>
    <w:rsid w:val="00AF0ED9"/>
    <w:rsid w:val="00AF1572"/>
    <w:rsid w:val="00AF2B71"/>
    <w:rsid w:val="00AF3B36"/>
    <w:rsid w:val="00AF424F"/>
    <w:rsid w:val="00AF465D"/>
    <w:rsid w:val="00AF4D1B"/>
    <w:rsid w:val="00AF52B3"/>
    <w:rsid w:val="00AF7022"/>
    <w:rsid w:val="00B003EE"/>
    <w:rsid w:val="00B02A87"/>
    <w:rsid w:val="00B033A1"/>
    <w:rsid w:val="00B076FE"/>
    <w:rsid w:val="00B079B1"/>
    <w:rsid w:val="00B10F80"/>
    <w:rsid w:val="00B1107B"/>
    <w:rsid w:val="00B14552"/>
    <w:rsid w:val="00B14877"/>
    <w:rsid w:val="00B15D8F"/>
    <w:rsid w:val="00B16099"/>
    <w:rsid w:val="00B17DFB"/>
    <w:rsid w:val="00B20FF7"/>
    <w:rsid w:val="00B21B7D"/>
    <w:rsid w:val="00B25A4A"/>
    <w:rsid w:val="00B26888"/>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2CC2"/>
    <w:rsid w:val="00B64687"/>
    <w:rsid w:val="00B64EEE"/>
    <w:rsid w:val="00B65991"/>
    <w:rsid w:val="00B6697E"/>
    <w:rsid w:val="00B67306"/>
    <w:rsid w:val="00B67BC4"/>
    <w:rsid w:val="00B67ED1"/>
    <w:rsid w:val="00B67F09"/>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1A3"/>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4FE2"/>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6963"/>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65AB"/>
    <w:rsid w:val="00C5713E"/>
    <w:rsid w:val="00C5779A"/>
    <w:rsid w:val="00C57DFA"/>
    <w:rsid w:val="00C60852"/>
    <w:rsid w:val="00C612BA"/>
    <w:rsid w:val="00C624C3"/>
    <w:rsid w:val="00C64574"/>
    <w:rsid w:val="00C65571"/>
    <w:rsid w:val="00C66EC0"/>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777"/>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480"/>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2B8A"/>
    <w:rsid w:val="00D05319"/>
    <w:rsid w:val="00D0550E"/>
    <w:rsid w:val="00D0573E"/>
    <w:rsid w:val="00D1038C"/>
    <w:rsid w:val="00D11640"/>
    <w:rsid w:val="00D11AD9"/>
    <w:rsid w:val="00D1278C"/>
    <w:rsid w:val="00D12AFD"/>
    <w:rsid w:val="00D13280"/>
    <w:rsid w:val="00D1426D"/>
    <w:rsid w:val="00D149DB"/>
    <w:rsid w:val="00D1578E"/>
    <w:rsid w:val="00D16E1C"/>
    <w:rsid w:val="00D208F5"/>
    <w:rsid w:val="00D209C0"/>
    <w:rsid w:val="00D22311"/>
    <w:rsid w:val="00D22583"/>
    <w:rsid w:val="00D24737"/>
    <w:rsid w:val="00D253CA"/>
    <w:rsid w:val="00D25FBF"/>
    <w:rsid w:val="00D311B2"/>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D27"/>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4D"/>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382D"/>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7871"/>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5B2F"/>
    <w:rsid w:val="00E27ACE"/>
    <w:rsid w:val="00E3061E"/>
    <w:rsid w:val="00E30A37"/>
    <w:rsid w:val="00E315E8"/>
    <w:rsid w:val="00E31E4A"/>
    <w:rsid w:val="00E33688"/>
    <w:rsid w:val="00E33C03"/>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303"/>
    <w:rsid w:val="00E87AE6"/>
    <w:rsid w:val="00E90785"/>
    <w:rsid w:val="00E908B6"/>
    <w:rsid w:val="00E914E1"/>
    <w:rsid w:val="00E91ACE"/>
    <w:rsid w:val="00E9314D"/>
    <w:rsid w:val="00E93AED"/>
    <w:rsid w:val="00E95AC2"/>
    <w:rsid w:val="00E95B5F"/>
    <w:rsid w:val="00E96B9A"/>
    <w:rsid w:val="00EA02B5"/>
    <w:rsid w:val="00EA1231"/>
    <w:rsid w:val="00EA4C84"/>
    <w:rsid w:val="00EA530C"/>
    <w:rsid w:val="00EA7947"/>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C6F5D"/>
    <w:rsid w:val="00ED0814"/>
    <w:rsid w:val="00ED1548"/>
    <w:rsid w:val="00ED163F"/>
    <w:rsid w:val="00ED2524"/>
    <w:rsid w:val="00ED4D80"/>
    <w:rsid w:val="00ED53E0"/>
    <w:rsid w:val="00ED7090"/>
    <w:rsid w:val="00ED7579"/>
    <w:rsid w:val="00EE00BA"/>
    <w:rsid w:val="00EE0DB8"/>
    <w:rsid w:val="00EE0E1C"/>
    <w:rsid w:val="00EE26DE"/>
    <w:rsid w:val="00EE351D"/>
    <w:rsid w:val="00EE582B"/>
    <w:rsid w:val="00EE5B59"/>
    <w:rsid w:val="00EE6CAC"/>
    <w:rsid w:val="00EE74DF"/>
    <w:rsid w:val="00EF185F"/>
    <w:rsid w:val="00EF678F"/>
    <w:rsid w:val="00EF6A71"/>
    <w:rsid w:val="00EF78FC"/>
    <w:rsid w:val="00F0000C"/>
    <w:rsid w:val="00F010B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7F6"/>
    <w:rsid w:val="00F40838"/>
    <w:rsid w:val="00F40CBC"/>
    <w:rsid w:val="00F44669"/>
    <w:rsid w:val="00F44BDE"/>
    <w:rsid w:val="00F4530E"/>
    <w:rsid w:val="00F45EC7"/>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23B1"/>
    <w:rsid w:val="00F84060"/>
    <w:rsid w:val="00F9095C"/>
    <w:rsid w:val="00F914BE"/>
    <w:rsid w:val="00F93644"/>
    <w:rsid w:val="00F936F7"/>
    <w:rsid w:val="00F93EA3"/>
    <w:rsid w:val="00F94569"/>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3C9A"/>
    <w:rsid w:val="00FB4032"/>
    <w:rsid w:val="00FB4334"/>
    <w:rsid w:val="00FB46CE"/>
    <w:rsid w:val="00FB5066"/>
    <w:rsid w:val="00FB6E5D"/>
    <w:rsid w:val="00FB7570"/>
    <w:rsid w:val="00FB7E2C"/>
    <w:rsid w:val="00FC0646"/>
    <w:rsid w:val="00FC07C4"/>
    <w:rsid w:val="00FC1DC7"/>
    <w:rsid w:val="00FC3630"/>
    <w:rsid w:val="00FC3DCF"/>
    <w:rsid w:val="00FC4213"/>
    <w:rsid w:val="00FC5424"/>
    <w:rsid w:val="00FD3981"/>
    <w:rsid w:val="00FD456C"/>
    <w:rsid w:val="00FD5E7D"/>
    <w:rsid w:val="00FD741B"/>
    <w:rsid w:val="00FE18C0"/>
    <w:rsid w:val="00FE25C5"/>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93FA19"/>
  <w15:docId w15:val="{A25130B6-5E47-41AB-8039-CDAA2AD3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F010B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1388</Words>
  <Characters>7918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3GPP TSG-RAN WG3 #xx</vt:lpstr>
    </vt:vector>
  </TitlesOfParts>
  <Company>NTT DOCOMO, Inc.</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CTPClassification=CTP_NT</cp:keywords>
  <dc:description/>
  <cp:lastModifiedBy>NTT DOCOMO, INC.</cp:lastModifiedBy>
  <cp:revision>7</cp:revision>
  <cp:lastPrinted>2006-02-09T00:55:00Z</cp:lastPrinted>
  <dcterms:created xsi:type="dcterms:W3CDTF">2018-05-11T06:44:00Z</dcterms:created>
  <dcterms:modified xsi:type="dcterms:W3CDTF">2018-05-11T06:45:00Z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67a34d3e-52bc-48dc-bdd5-fd1a7b915582</vt:lpwstr>
  </property>
  <property fmtid="{D5CDD505-2E9C-101B-9397-08002B2CF9AE}" pid="3" name="CTP_TimeStamp">
    <vt:lpwstr>2018-05-11 01:13:47Z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