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9FDD535"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58F7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342EBF">
        <w:rPr>
          <w:color w:val="auto"/>
          <w:sz w:val="24"/>
          <w:lang w:eastAsia="en-GB"/>
        </w:rPr>
        <w:t>2</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123BC3">
        <w:rPr>
          <w:i/>
          <w:color w:val="auto"/>
          <w:sz w:val="24"/>
          <w:lang w:eastAsia="zh-CN"/>
        </w:rPr>
        <w:t>7354</w:t>
      </w:r>
    </w:p>
    <w:p w14:paraId="2AE6D983" w14:textId="118F9311" w:rsidR="007E1DEE" w:rsidRPr="00C036E6" w:rsidRDefault="007A3C8B" w:rsidP="007E1DEE">
      <w:pPr>
        <w:pStyle w:val="Header"/>
        <w:tabs>
          <w:tab w:val="left" w:pos="6521"/>
        </w:tabs>
        <w:jc w:val="both"/>
        <w:rPr>
          <w:color w:val="auto"/>
          <w:sz w:val="24"/>
          <w:lang w:eastAsia="zh-CN"/>
        </w:rPr>
      </w:pPr>
      <w:r>
        <w:rPr>
          <w:color w:val="auto"/>
          <w:sz w:val="24"/>
          <w:lang w:eastAsia="zh-CN"/>
        </w:rPr>
        <w:t>Busan</w:t>
      </w:r>
      <w:r w:rsidRPr="00943E97">
        <w:rPr>
          <w:color w:val="auto"/>
          <w:sz w:val="24"/>
        </w:rPr>
        <w:t xml:space="preserve">, </w:t>
      </w:r>
      <w:r>
        <w:rPr>
          <w:color w:val="auto"/>
          <w:sz w:val="24"/>
        </w:rPr>
        <w:t>Korea</w:t>
      </w:r>
      <w:r w:rsidRPr="00943E97">
        <w:rPr>
          <w:color w:val="auto"/>
          <w:sz w:val="24"/>
        </w:rPr>
        <w:t>,</w:t>
      </w:r>
      <w:r>
        <w:rPr>
          <w:color w:val="auto"/>
          <w:sz w:val="24"/>
        </w:rPr>
        <w:t xml:space="preserve"> 21 – 26 May</w:t>
      </w:r>
      <w:r>
        <w:rPr>
          <w:rFonts w:hint="eastAsia"/>
          <w:color w:val="auto"/>
          <w:sz w:val="24"/>
        </w:rPr>
        <w:t>, 201</w:t>
      </w:r>
      <w:r>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2CCBFDF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7A3C8B">
        <w:rPr>
          <w:rFonts w:ascii="Arial" w:hAnsi="Arial"/>
          <w:b/>
          <w:sz w:val="24"/>
          <w:lang w:val="en-US" w:eastAsia="zh-CN"/>
        </w:rPr>
        <w:t>4</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C6EF08B"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342EBF">
        <w:rPr>
          <w:rFonts w:ascii="Arial" w:hAnsi="Arial"/>
          <w:b/>
          <w:sz w:val="24"/>
          <w:lang w:val="en-US"/>
        </w:rPr>
        <w:t>Remaining open issues on System Information Update</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D831242" w14:textId="37AC63EB" w:rsidR="00342EBF" w:rsidRDefault="00D20E67" w:rsidP="00342EBF">
      <w:r>
        <w:t>In RAN2#101</w:t>
      </w:r>
      <w:r w:rsidR="00342EBF">
        <w:t>bis</w:t>
      </w:r>
      <w:r>
        <w:t xml:space="preserve">, </w:t>
      </w:r>
      <w:r w:rsidR="005F1B8A">
        <w:t>RAN2 agreed</w:t>
      </w:r>
      <w:r>
        <w:t xml:space="preserve"> that</w:t>
      </w:r>
      <w:r w:rsidR="00342EBF">
        <w:t xml:space="preserve"> a single bit </w:t>
      </w:r>
      <w:r w:rsidR="00714E6C">
        <w:t xml:space="preserve">in the paging </w:t>
      </w:r>
      <w:r w:rsidR="00342EBF">
        <w:t>is used to indicate SIB 1 and SI change:</w:t>
      </w:r>
    </w:p>
    <w:p w14:paraId="17BB3410" w14:textId="77777777" w:rsidR="00342EBF" w:rsidRDefault="00342EBF" w:rsidP="00342EBF">
      <w:pPr>
        <w:pStyle w:val="Doc-text2"/>
        <w:pBdr>
          <w:top w:val="single" w:sz="4" w:space="1" w:color="auto"/>
          <w:left w:val="single" w:sz="4" w:space="4" w:color="auto"/>
          <w:bottom w:val="single" w:sz="4" w:space="1" w:color="auto"/>
          <w:right w:val="single" w:sz="4" w:space="4" w:color="auto"/>
        </w:pBdr>
      </w:pPr>
      <w:r>
        <w:t>Agreements</w:t>
      </w:r>
    </w:p>
    <w:p w14:paraId="03C91844" w14:textId="4E4AC70A" w:rsidR="00342EBF" w:rsidRDefault="00342EBF" w:rsidP="00342EBF">
      <w:pPr>
        <w:pStyle w:val="Doc-text2"/>
        <w:pBdr>
          <w:top w:val="single" w:sz="4" w:space="1" w:color="auto"/>
          <w:left w:val="single" w:sz="4" w:space="4" w:color="auto"/>
          <w:bottom w:val="single" w:sz="4" w:space="1" w:color="auto"/>
          <w:right w:val="single" w:sz="4" w:space="4" w:color="auto"/>
        </w:pBdr>
      </w:pPr>
      <w:r>
        <w:t>1:</w:t>
      </w:r>
      <w:r>
        <w:tab/>
        <w:t>Single bit is provided in paging message and in DCI (1 bit of the bit string provided by RAN1) to indicate system information change (i.e. no indication of SIB or SI message) As a consequence the UE reads SIB1 to determine what has changed. For idle mode case the UE also reads MIB.</w:t>
      </w:r>
    </w:p>
    <w:p w14:paraId="54B4A2FF" w14:textId="77777777" w:rsidR="00342EBF" w:rsidRDefault="00342EBF" w:rsidP="00342EBF"/>
    <w:p w14:paraId="04F9EB2E" w14:textId="5618925E" w:rsidR="00F10E98" w:rsidRDefault="00342EBF" w:rsidP="00342EBF">
      <w:r>
        <w:t xml:space="preserve">In order for the UE to </w:t>
      </w:r>
      <w:r w:rsidR="00C11DA2">
        <w:t xml:space="preserve">know </w:t>
      </w:r>
      <w:r>
        <w:t>which SI has changed, it needs to acquire SIB1 to determine which SI has changed</w:t>
      </w:r>
    </w:p>
    <w:p w14:paraId="0F408FF1" w14:textId="76879107" w:rsidR="00D20E67" w:rsidRDefault="00035A0E" w:rsidP="005F1B8A">
      <w:r>
        <w:t>For ETWS and CMAS SIB, RAN2 agreed to use a single indication</w:t>
      </w:r>
      <w:r w:rsidR="00714E6C">
        <w:t xml:space="preserve"> in the paging</w:t>
      </w:r>
      <w:r>
        <w:t xml:space="preserve"> instead of 2 indications as in LTE:</w:t>
      </w:r>
    </w:p>
    <w:p w14:paraId="701CC29C" w14:textId="77777777" w:rsidR="00035A0E" w:rsidRDefault="00035A0E" w:rsidP="00035A0E">
      <w:pPr>
        <w:pStyle w:val="Doc-text2"/>
        <w:pBdr>
          <w:top w:val="single" w:sz="4" w:space="1" w:color="auto"/>
          <w:left w:val="single" w:sz="4" w:space="4" w:color="auto"/>
          <w:bottom w:val="single" w:sz="4" w:space="1" w:color="auto"/>
          <w:right w:val="single" w:sz="4" w:space="4" w:color="auto"/>
        </w:pBdr>
      </w:pPr>
      <w:r>
        <w:t>Agreement</w:t>
      </w:r>
    </w:p>
    <w:p w14:paraId="1A62C107" w14:textId="77777777" w:rsidR="00035A0E" w:rsidRDefault="00035A0E" w:rsidP="00035A0E">
      <w:pPr>
        <w:pStyle w:val="Doc-text2"/>
        <w:pBdr>
          <w:top w:val="single" w:sz="4" w:space="1" w:color="auto"/>
          <w:left w:val="single" w:sz="4" w:space="4" w:color="auto"/>
          <w:bottom w:val="single" w:sz="4" w:space="1" w:color="auto"/>
          <w:right w:val="single" w:sz="4" w:space="4" w:color="auto"/>
        </w:pBdr>
      </w:pPr>
      <w:r>
        <w:t>1</w:t>
      </w:r>
      <w:r>
        <w:tab/>
        <w:t>Single bit is provided in paging message and in DCI for warning messages (not a separate bit for CMAS and ETWS as previously agreed). UE immediately acquires warning messages after this indication.</w:t>
      </w:r>
    </w:p>
    <w:p w14:paraId="5993ED34" w14:textId="77777777" w:rsidR="00035A0E" w:rsidRDefault="00035A0E" w:rsidP="00035A0E">
      <w:pPr>
        <w:pStyle w:val="Doc-text2"/>
        <w:pBdr>
          <w:top w:val="single" w:sz="4" w:space="1" w:color="auto"/>
          <w:left w:val="single" w:sz="4" w:space="4" w:color="auto"/>
          <w:bottom w:val="single" w:sz="4" w:space="1" w:color="auto"/>
          <w:right w:val="single" w:sz="4" w:space="4" w:color="auto"/>
        </w:pBdr>
      </w:pPr>
      <w:r>
        <w:t xml:space="preserve">FFS: Whether to make this a generic bit to indicate immediate acquisition of SI will be considered after AC discussion has progressed. </w:t>
      </w:r>
      <w:r>
        <w:tab/>
      </w:r>
    </w:p>
    <w:p w14:paraId="46339E5D" w14:textId="77777777" w:rsidR="00035A0E" w:rsidRDefault="00035A0E" w:rsidP="005F1B8A"/>
    <w:p w14:paraId="07BF0354" w14:textId="651887B4" w:rsidR="005F1B8A" w:rsidRDefault="00F10E98" w:rsidP="005F1B8A">
      <w:r>
        <w:t xml:space="preserve">In this contribution, we </w:t>
      </w:r>
      <w:r w:rsidR="00035A0E">
        <w:t>discuss whether there is a need of a MIB change indication as well as discuss whether there is a need of a separate indication for the access control</w:t>
      </w:r>
      <w:r>
        <w:t>.</w:t>
      </w:r>
    </w:p>
    <w:p w14:paraId="2AE6D98D" w14:textId="77777777" w:rsidR="003E1A61" w:rsidRDefault="003E1A61" w:rsidP="00F13226">
      <w:pPr>
        <w:pStyle w:val="Heading1"/>
      </w:pPr>
      <w:r>
        <w:t>Discussion</w:t>
      </w:r>
    </w:p>
    <w:p w14:paraId="791B0052" w14:textId="62B4C6CB" w:rsidR="00035A0E" w:rsidRDefault="0067005B" w:rsidP="00035A0E">
      <w:pPr>
        <w:pStyle w:val="Heading2"/>
      </w:pPr>
      <w:r>
        <w:t xml:space="preserve">Need of </w:t>
      </w:r>
      <w:r w:rsidR="00035A0E">
        <w:t>MIB change indication</w:t>
      </w:r>
    </w:p>
    <w:p w14:paraId="7B7A15F2" w14:textId="50998EA5" w:rsidR="00DD0A91" w:rsidRDefault="00035A0E" w:rsidP="005540AC">
      <w:r>
        <w:t xml:space="preserve">In LTE, </w:t>
      </w:r>
      <w:r w:rsidR="00800652">
        <w:t xml:space="preserve">other than the SFN, </w:t>
      </w:r>
      <w:r>
        <w:t xml:space="preserve">the MIB only contains </w:t>
      </w:r>
      <w:r w:rsidR="00800652">
        <w:t xml:space="preserve">static parameters (DL BW, PHICH-config and SIB1 scheduling info for bandwidth reduced case).  Once UE achieved SFN synchronisation, the UE does not need </w:t>
      </w:r>
      <w:r w:rsidR="00450C4E">
        <w:t>to acquire the MIB.  I</w:t>
      </w:r>
      <w:r w:rsidR="00714E6C">
        <w:t>n NR,</w:t>
      </w:r>
      <w:r w:rsidR="00450C4E">
        <w:t xml:space="preserve"> however,</w:t>
      </w:r>
      <w:r w:rsidR="00714E6C">
        <w:t xml:space="preserve"> MIB </w:t>
      </w:r>
      <w:r w:rsidR="00450C4E">
        <w:t>also contains</w:t>
      </w:r>
      <w:r w:rsidR="00714E6C">
        <w:t xml:space="preserve"> the cellbarred IE and intraFreqReselec</w:t>
      </w:r>
      <w:r w:rsidR="00DD0A91">
        <w:t>tion IE.  It</w:t>
      </w:r>
      <w:r w:rsidR="00714E6C">
        <w:t xml:space="preserve"> may</w:t>
      </w:r>
      <w:r w:rsidR="00DD0A91">
        <w:t xml:space="preserve"> be argued that these IE</w:t>
      </w:r>
      <w:r w:rsidR="00450C4E">
        <w:t>s</w:t>
      </w:r>
      <w:r w:rsidR="00714E6C">
        <w:t xml:space="preserve"> </w:t>
      </w:r>
      <w:r w:rsidR="00450C4E">
        <w:t xml:space="preserve">may </w:t>
      </w:r>
      <w:r w:rsidR="00714E6C">
        <w:t>chang</w:t>
      </w:r>
      <w:r w:rsidR="00450C4E">
        <w:t>e more frequently</w:t>
      </w:r>
      <w:r w:rsidR="00714E6C">
        <w:t>.  With a single bit in the paging to indicate MIB, SIB1 and SI change, the UE will have to read MIB and SIB1 even if only MIB has chang</w:t>
      </w:r>
      <w:r w:rsidR="00AD1329">
        <w:t>ed. T</w:t>
      </w:r>
      <w:r w:rsidR="00714E6C">
        <w:t>he reading of SIB1 may consume UE power unnecessarily</w:t>
      </w:r>
      <w:r w:rsidR="00450C4E">
        <w:t xml:space="preserve"> particularly</w:t>
      </w:r>
      <w:r w:rsidR="00714E6C">
        <w:t xml:space="preserve"> in the case </w:t>
      </w:r>
      <w:r w:rsidR="009C72C6">
        <w:t xml:space="preserve">of </w:t>
      </w:r>
      <w:r w:rsidR="00AD1329">
        <w:t>Pattern1</w:t>
      </w:r>
      <w:bookmarkStart w:id="2" w:name="_GoBack"/>
      <w:bookmarkEnd w:id="2"/>
      <w:r w:rsidR="00AD1329">
        <w:t xml:space="preserve"> where the MIB and SIB1 </w:t>
      </w:r>
      <w:r w:rsidR="00C11DA2">
        <w:t xml:space="preserve">are </w:t>
      </w:r>
      <w:r w:rsidR="00AD1329">
        <w:t>in different time instance.</w:t>
      </w:r>
      <w:r w:rsidR="00CD4DF8">
        <w:t xml:space="preserve">  </w:t>
      </w:r>
      <w:r w:rsidR="00DD0A91">
        <w:t xml:space="preserve">However, once the UE received the MIB and </w:t>
      </w:r>
      <w:r w:rsidR="00450C4E">
        <w:t>if the change is due to cellbarred being</w:t>
      </w:r>
      <w:r w:rsidR="00DD0A91">
        <w:t xml:space="preserve"> set, it will not read SIB1 and other SI</w:t>
      </w:r>
      <w:r w:rsidR="00450C4E">
        <w:t xml:space="preserve"> and hence the power saving is not there</w:t>
      </w:r>
      <w:r w:rsidR="00DD0A91">
        <w:t>.</w:t>
      </w:r>
    </w:p>
    <w:p w14:paraId="4C6BB629" w14:textId="6AD3ED74" w:rsidR="00CD4DF8" w:rsidRDefault="00DD0A91" w:rsidP="005540AC">
      <w:r>
        <w:lastRenderedPageBreak/>
        <w:t>The other advantage</w:t>
      </w:r>
      <w:r w:rsidR="00450C4E">
        <w:t xml:space="preserve"> of having MIB change indication </w:t>
      </w:r>
      <w:r>
        <w:t>is that</w:t>
      </w:r>
      <w:r w:rsidR="00CD4DF8">
        <w:t xml:space="preserve"> the UE can also skip acquiring the MIB if it is SFN synchronised and there is no change in the MIB</w:t>
      </w:r>
      <w:r>
        <w:t>, when receiving the SIB and SI change indication</w:t>
      </w:r>
      <w:r w:rsidR="00CD4DF8">
        <w:t xml:space="preserve">. </w:t>
      </w:r>
      <w:r>
        <w:t>However, s</w:t>
      </w:r>
      <w:r w:rsidR="00450C4E">
        <w:t xml:space="preserve">uch </w:t>
      </w:r>
      <w:r>
        <w:t>UE power saving is very limited as the additional power consumed for acquisition of the MIB relative to acquisition of SIB1 and other SI will be very small.</w:t>
      </w:r>
    </w:p>
    <w:p w14:paraId="761C9A1E" w14:textId="6F60D597" w:rsidR="00035A0E" w:rsidRDefault="00CD4DF8" w:rsidP="005540AC">
      <w:r>
        <w:t xml:space="preserve">Hence it is proposed </w:t>
      </w:r>
      <w:r w:rsidR="00DD0A91">
        <w:t xml:space="preserve">not </w:t>
      </w:r>
      <w:r>
        <w:t>to include a MIB change i</w:t>
      </w:r>
      <w:r w:rsidR="00DD0A91">
        <w:t>ndication in the paging message.</w:t>
      </w:r>
    </w:p>
    <w:p w14:paraId="6419B50C" w14:textId="60CF091B" w:rsidR="00CD4DF8" w:rsidRDefault="00CD4DF8" w:rsidP="005540AC">
      <w:r w:rsidRPr="00450C4E">
        <w:rPr>
          <w:b/>
        </w:rPr>
        <w:t>Proposal#1:</w:t>
      </w:r>
      <w:r>
        <w:t xml:space="preserve"> </w:t>
      </w:r>
      <w:r w:rsidR="0067005B">
        <w:t>MIB change indication is not needed.</w:t>
      </w:r>
    </w:p>
    <w:p w14:paraId="6AC88818" w14:textId="44E93DDA" w:rsidR="00035A0E" w:rsidRDefault="0067005B" w:rsidP="0067005B">
      <w:pPr>
        <w:pStyle w:val="Heading2"/>
      </w:pPr>
      <w:r>
        <w:t>Access Control change indication</w:t>
      </w:r>
    </w:p>
    <w:p w14:paraId="3C322056" w14:textId="6A0F4F4B" w:rsidR="005818CE" w:rsidRDefault="0067005B" w:rsidP="002F0CA0">
      <w:r>
        <w:t>In the last meeting, it is left FFS on whether to make the PWS indication generic so that it can also apply to access control change</w:t>
      </w:r>
      <w:r w:rsidR="00450C4E">
        <w:t xml:space="preserve">. In LTE, </w:t>
      </w:r>
      <w:r w:rsidR="00D31274">
        <w:t>access control change will either require the UE to acquire the access control SIB immediately for the case of Extended Access Barring (EAB) or to acquire it at the next BCCH modification boundary for the case of ACB and ACDC.  Even though a Unified Access Control is provided, it can be left to the network to decide whether to signal the UE to acquire the SIB that contains the access control parameters immediately or in the next BCCH modification boundary.  Hence, if the network wants to apply the access control parameters immediately</w:t>
      </w:r>
      <w:r w:rsidR="005818CE">
        <w:t>, it can then use the generic PWS indication. Otherwise (if it wants to apply it in the next BCCH modification boundary), it can use the SI change Indication.</w:t>
      </w:r>
    </w:p>
    <w:p w14:paraId="72444324" w14:textId="0EB5940A" w:rsidR="005818CE" w:rsidRDefault="005818CE" w:rsidP="002F0CA0">
      <w:r>
        <w:rPr>
          <w:b/>
        </w:rPr>
        <w:t>Proposal#2</w:t>
      </w:r>
      <w:r w:rsidR="00B95BE1" w:rsidRPr="008B7C00">
        <w:rPr>
          <w:b/>
        </w:rPr>
        <w:t>:</w:t>
      </w:r>
      <w:r w:rsidR="00B95BE1">
        <w:t xml:space="preserve"> </w:t>
      </w:r>
      <w:r>
        <w:t>Extend the PWS indication to also apply to access control parameters changed.</w:t>
      </w:r>
    </w:p>
    <w:p w14:paraId="63B3995F" w14:textId="3B805601" w:rsidR="00B95BE1" w:rsidRDefault="005818CE" w:rsidP="002F0CA0">
      <w:r w:rsidRPr="005818CE">
        <w:rPr>
          <w:b/>
        </w:rPr>
        <w:t>Proposal#3:</w:t>
      </w:r>
      <w:r>
        <w:t xml:space="preserve"> </w:t>
      </w:r>
      <w:r w:rsidR="00B95BE1">
        <w:t xml:space="preserve">For </w:t>
      </w:r>
      <w:r>
        <w:t xml:space="preserve">the change of the access control parameter, the UE may receive either the SI change indication (if it is to be applied in the next BCCH modification period) or the generic PWS indication (if it is to </w:t>
      </w:r>
      <w:r w:rsidR="00C11DA2">
        <w:t xml:space="preserve">be </w:t>
      </w:r>
      <w:r>
        <w:t>applied immediately)</w:t>
      </w:r>
    </w:p>
    <w:p w14:paraId="5F49635D" w14:textId="29082CCE" w:rsidR="00EE6B6C" w:rsidRDefault="00EE6B6C" w:rsidP="00EE6B6C">
      <w:pPr>
        <w:pStyle w:val="Heading2"/>
      </w:pPr>
      <w:r>
        <w:t>Area scope of the SI Area ID</w:t>
      </w:r>
    </w:p>
    <w:p w14:paraId="6AEC9875" w14:textId="0B9C4DAF" w:rsidR="00A87C1B" w:rsidRDefault="00EE6B6C" w:rsidP="00A87C1B">
      <w:pPr>
        <w:pStyle w:val="ListParagraph"/>
        <w:ind w:left="0"/>
      </w:pPr>
      <w:r>
        <w:t xml:space="preserve">RAN2 agreed </w:t>
      </w:r>
      <w:r w:rsidR="00A87C1B">
        <w:t xml:space="preserve">in the last meeting </w:t>
      </w:r>
      <w:r>
        <w:t>that the SI Area ID is unique with the PLMN</w:t>
      </w:r>
      <w:r w:rsidR="005F5990">
        <w:t xml:space="preserve"> (which is a change</w:t>
      </w:r>
      <w:r w:rsidR="00A87C1B">
        <w:t xml:space="preserve"> from RAN2#101 that is unique to TAC).  To prevent the ambiguity due to the fact there can be RAN sharing within a cell, it is assumed that the SAID is associated with primary PLMN. The agreement is as follow:</w:t>
      </w:r>
    </w:p>
    <w:p w14:paraId="600AB136" w14:textId="77777777" w:rsidR="00A87C1B" w:rsidRDefault="00A87C1B" w:rsidP="00A87C1B">
      <w:pPr>
        <w:pStyle w:val="Doc-text2"/>
        <w:pBdr>
          <w:top w:val="single" w:sz="4" w:space="1" w:color="auto"/>
          <w:left w:val="single" w:sz="4" w:space="4" w:color="auto"/>
          <w:bottom w:val="single" w:sz="4" w:space="1" w:color="auto"/>
          <w:right w:val="single" w:sz="4" w:space="4" w:color="auto"/>
        </w:pBdr>
      </w:pPr>
      <w:r>
        <w:t>Agreements</w:t>
      </w:r>
    </w:p>
    <w:p w14:paraId="153D52EA" w14:textId="77777777" w:rsidR="00A87C1B" w:rsidRDefault="00A87C1B" w:rsidP="00A87C1B">
      <w:pPr>
        <w:pStyle w:val="Doc-text2"/>
        <w:pBdr>
          <w:top w:val="single" w:sz="4" w:space="1" w:color="auto"/>
          <w:left w:val="single" w:sz="4" w:space="4" w:color="auto"/>
          <w:bottom w:val="single" w:sz="4" w:space="1" w:color="auto"/>
          <w:right w:val="single" w:sz="4" w:space="4" w:color="auto"/>
        </w:pBdr>
      </w:pPr>
      <w:r>
        <w:t>1</w:t>
      </w:r>
      <w:r>
        <w:tab/>
        <w:t xml:space="preserve">SIAID is PLMN wide (changed previous decision) </w:t>
      </w:r>
    </w:p>
    <w:p w14:paraId="6CA29CDE" w14:textId="77777777" w:rsidR="00A87C1B" w:rsidRDefault="00A87C1B" w:rsidP="00A87C1B">
      <w:pPr>
        <w:pStyle w:val="Doc-text2"/>
      </w:pPr>
      <w:r>
        <w:t>=&gt;</w:t>
      </w:r>
      <w:r>
        <w:tab/>
        <w:t>Assumption in taking this decision is that the UE uses its Primary PLMN and the SIAID to determine whether SIAID has changed. This may lead to additional acquisition of SI at PLMN boundaries. This may be checked until the next meeting.</w:t>
      </w:r>
    </w:p>
    <w:p w14:paraId="027C7355" w14:textId="77777777" w:rsidR="00A87C1B" w:rsidRDefault="00A87C1B" w:rsidP="00A87C1B">
      <w:pPr>
        <w:pStyle w:val="ListParagraph"/>
        <w:ind w:left="0"/>
      </w:pPr>
    </w:p>
    <w:p w14:paraId="4E88A346" w14:textId="3173B9C6" w:rsidR="00A87C1B" w:rsidRDefault="00A87C1B" w:rsidP="00A87C1B">
      <w:pPr>
        <w:pStyle w:val="ListParagraph"/>
        <w:ind w:left="0"/>
      </w:pPr>
      <w:r>
        <w:t>However there is a concern that there may be more SI acquisition at the PLMN boundary. Deployment scenarios that may have more impact is: Primary PLMN changes from cell to cell.  This is quite an unlikely scenario.  Most likely is that primary PLMN covers a large area where the RAN sharing PLMNs with the primary PLMN does not become primary PLMN themselves for the large area.</w:t>
      </w:r>
    </w:p>
    <w:p w14:paraId="39ABB460" w14:textId="5D7C3982" w:rsidR="00EE6B6C" w:rsidRPr="00EE6B6C" w:rsidRDefault="00A87C1B" w:rsidP="00EE6B6C">
      <w:r w:rsidRPr="00A87C1B">
        <w:rPr>
          <w:b/>
        </w:rPr>
        <w:t>Proposal#4:</w:t>
      </w:r>
      <w:r>
        <w:t xml:space="preserve"> SIAID is unique to the primary PLMN of a cell.</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4F37C97D" w14:textId="77777777" w:rsidR="005818CE" w:rsidRDefault="005818CE" w:rsidP="005818CE">
      <w:r w:rsidRPr="00450C4E">
        <w:rPr>
          <w:b/>
        </w:rPr>
        <w:t>Proposal#1:</w:t>
      </w:r>
      <w:r>
        <w:t xml:space="preserve"> MIB change indication is not needed.</w:t>
      </w:r>
    </w:p>
    <w:p w14:paraId="675D7CE4" w14:textId="77777777" w:rsidR="005818CE" w:rsidRDefault="005818CE" w:rsidP="005818CE">
      <w:r>
        <w:rPr>
          <w:b/>
        </w:rPr>
        <w:lastRenderedPageBreak/>
        <w:t>Proposal#2</w:t>
      </w:r>
      <w:r w:rsidRPr="008B7C00">
        <w:rPr>
          <w:b/>
        </w:rPr>
        <w:t>:</w:t>
      </w:r>
      <w:r>
        <w:t xml:space="preserve"> Extend the PWS indication to also apply to access control parameters changed.</w:t>
      </w:r>
    </w:p>
    <w:p w14:paraId="088D1A90" w14:textId="77777777" w:rsidR="005818CE" w:rsidRDefault="005818CE" w:rsidP="005818CE">
      <w:r w:rsidRPr="005818CE">
        <w:rPr>
          <w:b/>
        </w:rPr>
        <w:t>Proposal#3:</w:t>
      </w:r>
      <w:r>
        <w:t xml:space="preserve"> For the change of the access control parameter, the UE may receive either the SI change indication (if it is to be applied in the next BCCH modification period) or the generic PWS indication (if it is to applied immediately)</w:t>
      </w:r>
    </w:p>
    <w:p w14:paraId="6831E704" w14:textId="77777777" w:rsidR="00A87C1B" w:rsidRPr="00EE6B6C" w:rsidRDefault="00A87C1B" w:rsidP="00A87C1B">
      <w:r w:rsidRPr="00A87C1B">
        <w:rPr>
          <w:b/>
        </w:rPr>
        <w:t>Proposal#4:</w:t>
      </w:r>
      <w:r>
        <w:t xml:space="preserve"> SIAID is unique to the primary PLMN of a cell.</w:t>
      </w:r>
    </w:p>
    <w:p w14:paraId="4D6CD6C4" w14:textId="754156E9" w:rsidR="002F737D" w:rsidRDefault="002F737D" w:rsidP="005818CE"/>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B0961" w14:textId="77777777" w:rsidR="00381EC8" w:rsidRDefault="00381EC8" w:rsidP="00DF7110">
      <w:pPr>
        <w:spacing w:after="0" w:line="240" w:lineRule="auto"/>
      </w:pPr>
      <w:r>
        <w:separator/>
      </w:r>
    </w:p>
  </w:endnote>
  <w:endnote w:type="continuationSeparator" w:id="0">
    <w:p w14:paraId="63888937" w14:textId="77777777" w:rsidR="00381EC8" w:rsidRDefault="00381EC8"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D6028" w14:textId="77777777" w:rsidR="00381EC8" w:rsidRDefault="00381EC8" w:rsidP="00DF7110">
      <w:pPr>
        <w:spacing w:after="0" w:line="240" w:lineRule="auto"/>
      </w:pPr>
      <w:r>
        <w:separator/>
      </w:r>
    </w:p>
  </w:footnote>
  <w:footnote w:type="continuationSeparator" w:id="0">
    <w:p w14:paraId="5DC752FC" w14:textId="77777777" w:rsidR="00381EC8" w:rsidRDefault="00381EC8"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0"/>
  </w:num>
  <w:num w:numId="3">
    <w:abstractNumId w:val="27"/>
  </w:num>
  <w:num w:numId="4">
    <w:abstractNumId w:val="39"/>
  </w:num>
  <w:num w:numId="5">
    <w:abstractNumId w:val="21"/>
  </w:num>
  <w:num w:numId="6">
    <w:abstractNumId w:val="39"/>
  </w:num>
  <w:num w:numId="7">
    <w:abstractNumId w:val="40"/>
  </w:num>
  <w:num w:numId="8">
    <w:abstractNumId w:val="24"/>
  </w:num>
  <w:num w:numId="9">
    <w:abstractNumId w:val="19"/>
  </w:num>
  <w:num w:numId="10">
    <w:abstractNumId w:val="10"/>
  </w:num>
  <w:num w:numId="11">
    <w:abstractNumId w:val="29"/>
  </w:num>
  <w:num w:numId="12">
    <w:abstractNumId w:val="3"/>
  </w:num>
  <w:num w:numId="13">
    <w:abstractNumId w:val="20"/>
  </w:num>
  <w:num w:numId="14">
    <w:abstractNumId w:val="12"/>
  </w:num>
  <w:num w:numId="15">
    <w:abstractNumId w:val="14"/>
  </w:num>
  <w:num w:numId="16">
    <w:abstractNumId w:val="34"/>
  </w:num>
  <w:num w:numId="17">
    <w:abstractNumId w:val="25"/>
  </w:num>
  <w:num w:numId="18">
    <w:abstractNumId w:val="16"/>
  </w:num>
  <w:num w:numId="19">
    <w:abstractNumId w:val="38"/>
  </w:num>
  <w:num w:numId="20">
    <w:abstractNumId w:val="31"/>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8"/>
  </w:num>
  <w:num w:numId="26">
    <w:abstractNumId w:val="15"/>
  </w:num>
  <w:num w:numId="27">
    <w:abstractNumId w:val="23"/>
  </w:num>
  <w:num w:numId="28">
    <w:abstractNumId w:val="32"/>
  </w:num>
  <w:num w:numId="29">
    <w:abstractNumId w:val="36"/>
  </w:num>
  <w:num w:numId="30">
    <w:abstractNumId w:val="22"/>
  </w:num>
  <w:num w:numId="31">
    <w:abstractNumId w:val="33"/>
  </w:num>
  <w:num w:numId="32">
    <w:abstractNumId w:val="2"/>
  </w:num>
  <w:num w:numId="33">
    <w:abstractNumId w:val="0"/>
  </w:num>
  <w:num w:numId="34">
    <w:abstractNumId w:val="11"/>
  </w:num>
  <w:num w:numId="35">
    <w:abstractNumId w:val="26"/>
  </w:num>
  <w:num w:numId="36">
    <w:abstractNumId w:val="4"/>
  </w:num>
  <w:num w:numId="37">
    <w:abstractNumId w:val="35"/>
  </w:num>
  <w:num w:numId="38">
    <w:abstractNumId w:val="18"/>
  </w:num>
  <w:num w:numId="39">
    <w:abstractNumId w:val="7"/>
  </w:num>
  <w:num w:numId="40">
    <w:abstractNumId w:val="5"/>
  </w:num>
  <w:num w:numId="41">
    <w:abstractNumId w:val="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4665</Characters>
  <Application>Microsoft Office Word</Application>
  <DocSecurity>0</DocSecurity>
  <Lines>79</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2018-05-10T22:46:00Z</dcterms:created>
  <dcterms:modified xsi:type="dcterms:W3CDTF">2018-05-10T22:46:00Z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9229e6fa-975e-432e-a423-0b09c404ab2f</vt:lpwstr>
  </property>
  <property fmtid="{D5CDD505-2E9C-101B-9397-08002B2CF9AE}" pid="3" name="CTP_BU">
    <vt:lpwstr>NEXT GEN AND STANDARDS GROUP</vt:lpwstr>
  </property>
  <property fmtid="{D5CDD505-2E9C-101B-9397-08002B2CF9AE}" pid="4" name="CTP_TimeStamp">
    <vt:lpwstr>2018-05-10 14:51:45Z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