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AA9D4" w14:textId="3A481483" w:rsidR="003848A3" w:rsidRPr="00EE6198" w:rsidRDefault="003848A3" w:rsidP="003848A3">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101</w:t>
      </w:r>
      <w:r w:rsidR="00282D3F">
        <w:rPr>
          <w:sz w:val="24"/>
          <w:lang w:val="en-GB" w:eastAsia="zh-CN"/>
        </w:rPr>
        <w:t>bis</w:t>
      </w:r>
      <w:r w:rsidRPr="00EE6198">
        <w:rPr>
          <w:sz w:val="24"/>
          <w:lang w:val="en-GB" w:eastAsia="zh-CN"/>
        </w:rPr>
        <w:tab/>
      </w:r>
      <w:r w:rsidR="00F0671D">
        <w:rPr>
          <w:sz w:val="24"/>
          <w:lang w:val="en-GB" w:eastAsia="zh-CN"/>
        </w:rPr>
        <w:t>R2-1805545</w:t>
      </w:r>
      <w:bookmarkStart w:id="0" w:name="_GoBack"/>
      <w:bookmarkEnd w:id="0"/>
    </w:p>
    <w:p w14:paraId="16D5C317" w14:textId="57EAAE3C" w:rsidR="009D5BAB" w:rsidRPr="009D56B1" w:rsidRDefault="00282D3F" w:rsidP="003848A3">
      <w:pPr>
        <w:pStyle w:val="Header"/>
        <w:tabs>
          <w:tab w:val="right" w:pos="9639"/>
        </w:tabs>
        <w:rPr>
          <w:bCs/>
          <w:i/>
          <w:noProof w:val="0"/>
          <w:sz w:val="24"/>
        </w:rPr>
      </w:pPr>
      <w:r w:rsidRPr="00282D3F">
        <w:rPr>
          <w:sz w:val="24"/>
          <w:lang w:eastAsia="zh-CN"/>
        </w:rPr>
        <w:t>Sanya, China, 16th April – 20th April 2018</w:t>
      </w:r>
      <w:r w:rsidR="009D5BAB"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0FDBB717"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4A5FC6">
        <w:rPr>
          <w:rFonts w:eastAsia="SimSun" w:cs="Arial"/>
          <w:b/>
          <w:bCs/>
          <w:sz w:val="24"/>
          <w:lang w:val="en-US"/>
        </w:rPr>
        <w:t>9.10.2.3</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5B3EE8B6"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A5FC6" w:rsidRPr="004A5FC6">
        <w:rPr>
          <w:rFonts w:ascii="Arial" w:hAnsi="Arial" w:cs="Arial"/>
          <w:b/>
          <w:bCs/>
          <w:sz w:val="24"/>
        </w:rPr>
        <w:t>On additional parameter for carrier selection over PC5</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0F30050A" w14:textId="3CC7DD2F" w:rsidR="000F54CA" w:rsidRDefault="004A5FC6" w:rsidP="007356BA">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While some procedural details of carrier selection mechanism for Rel-15 V2X in the presence of carrier aggregation have been captured, one outstanding issue is the need for an additional parameter specific for Rel-15 UEs. The following agreements were made in RAN2#10</w:t>
      </w:r>
      <w:r w:rsidR="008514B4">
        <w:rPr>
          <w:rFonts w:ascii="Times New Roman" w:hAnsi="Times New Roman"/>
          <w:sz w:val="20"/>
          <w:szCs w:val="20"/>
          <w:lang w:eastAsia="zh-CN"/>
        </w:rPr>
        <w:t xml:space="preserve">1 in this regard </w:t>
      </w:r>
      <w:sdt>
        <w:sdtPr>
          <w:rPr>
            <w:rFonts w:ascii="Times New Roman" w:hAnsi="Times New Roman"/>
            <w:sz w:val="20"/>
            <w:szCs w:val="20"/>
            <w:lang w:eastAsia="zh-CN"/>
          </w:rPr>
          <w:id w:val="-125856349"/>
          <w:citation/>
        </w:sdtPr>
        <w:sdtEndPr/>
        <w:sdtContent>
          <w:r w:rsidR="008514B4">
            <w:rPr>
              <w:rFonts w:ascii="Times New Roman" w:hAnsi="Times New Roman"/>
              <w:sz w:val="20"/>
              <w:szCs w:val="20"/>
              <w:lang w:eastAsia="zh-CN"/>
            </w:rPr>
            <w:fldChar w:fldCharType="begin"/>
          </w:r>
          <w:r w:rsidR="008514B4">
            <w:rPr>
              <w:rFonts w:ascii="Times New Roman" w:hAnsi="Times New Roman"/>
              <w:sz w:val="20"/>
              <w:szCs w:val="20"/>
              <w:lang w:eastAsia="zh-CN"/>
            </w:rPr>
            <w:instrText xml:space="preserve"> CITATION RAN2101CN \l 1033 </w:instrText>
          </w:r>
          <w:r w:rsidR="008514B4">
            <w:rPr>
              <w:rFonts w:ascii="Times New Roman" w:hAnsi="Times New Roman"/>
              <w:sz w:val="20"/>
              <w:szCs w:val="20"/>
              <w:lang w:eastAsia="zh-CN"/>
            </w:rPr>
            <w:fldChar w:fldCharType="separate"/>
          </w:r>
          <w:r w:rsidR="00FF7401" w:rsidRPr="00FF7401">
            <w:rPr>
              <w:rFonts w:ascii="Times New Roman" w:hAnsi="Times New Roman"/>
              <w:noProof/>
              <w:sz w:val="20"/>
              <w:szCs w:val="20"/>
              <w:lang w:eastAsia="zh-CN"/>
            </w:rPr>
            <w:t>[1]</w:t>
          </w:r>
          <w:r w:rsidR="008514B4">
            <w:rPr>
              <w:rFonts w:ascii="Times New Roman" w:hAnsi="Times New Roman"/>
              <w:sz w:val="20"/>
              <w:szCs w:val="20"/>
              <w:lang w:eastAsia="zh-CN"/>
            </w:rPr>
            <w:fldChar w:fldCharType="end"/>
          </w:r>
        </w:sdtContent>
      </w:sdt>
      <w:r>
        <w:rPr>
          <w:rFonts w:ascii="Times New Roman" w:hAnsi="Times New Roman"/>
          <w:sz w:val="20"/>
          <w:szCs w:val="20"/>
          <w:lang w:eastAsia="zh-CN"/>
        </w:rPr>
        <w:t>:</w:t>
      </w:r>
    </w:p>
    <w:p w14:paraId="78E641C9" w14:textId="77777777" w:rsidR="004A5FC6" w:rsidRDefault="004A5FC6" w:rsidP="004A5FC6">
      <w:pPr>
        <w:pStyle w:val="Doc-text2"/>
        <w:pBdr>
          <w:top w:val="single" w:sz="4" w:space="1" w:color="auto"/>
          <w:left w:val="single" w:sz="4" w:space="4" w:color="auto"/>
          <w:bottom w:val="single" w:sz="4" w:space="1" w:color="auto"/>
          <w:right w:val="single" w:sz="4" w:space="4" w:color="auto"/>
        </w:pBdr>
        <w:ind w:left="1083"/>
      </w:pPr>
      <w:r>
        <w:t>Agreements</w:t>
      </w:r>
    </w:p>
    <w:p w14:paraId="3476A4C5" w14:textId="77777777" w:rsidR="004A5FC6" w:rsidRDefault="004A5FC6" w:rsidP="004A5FC6">
      <w:pPr>
        <w:pStyle w:val="Doc-text2"/>
        <w:pBdr>
          <w:top w:val="single" w:sz="4" w:space="1" w:color="auto"/>
          <w:left w:val="single" w:sz="4" w:space="4" w:color="auto"/>
          <w:bottom w:val="single" w:sz="4" w:space="1" w:color="auto"/>
          <w:right w:val="single" w:sz="4" w:space="4" w:color="auto"/>
        </w:pBdr>
        <w:ind w:left="1083"/>
      </w:pPr>
      <w:r>
        <w:t>1: When UE performs Tx carrier selection using CBR and PPPP, Tx carrier selection based on a configuration of Rel-14 CBR-PPPP-TxConfigList is used as a baseline.</w:t>
      </w:r>
    </w:p>
    <w:p w14:paraId="469BF102" w14:textId="77777777" w:rsidR="004A5FC6" w:rsidRDefault="004A5FC6" w:rsidP="004A5FC6">
      <w:pPr>
        <w:pStyle w:val="Doc-text2"/>
        <w:pBdr>
          <w:top w:val="single" w:sz="4" w:space="1" w:color="auto"/>
          <w:left w:val="single" w:sz="4" w:space="4" w:color="auto"/>
          <w:bottom w:val="single" w:sz="4" w:space="1" w:color="auto"/>
          <w:right w:val="single" w:sz="4" w:space="4" w:color="auto"/>
        </w:pBdr>
        <w:ind w:left="1083"/>
      </w:pPr>
      <w:r>
        <w:t>2: Tx carrier selection based on (pre)configuration is performed in MAC layer. FFS on the need of LCP change.</w:t>
      </w:r>
    </w:p>
    <w:p w14:paraId="6779B297" w14:textId="77777777" w:rsidR="004A5FC6" w:rsidRDefault="004A5FC6" w:rsidP="004A5FC6">
      <w:pPr>
        <w:pStyle w:val="Doc-text2"/>
        <w:pBdr>
          <w:top w:val="single" w:sz="4" w:space="1" w:color="auto"/>
          <w:left w:val="single" w:sz="4" w:space="4" w:color="auto"/>
          <w:bottom w:val="single" w:sz="4" w:space="1" w:color="auto"/>
          <w:right w:val="single" w:sz="4" w:space="4" w:color="auto"/>
        </w:pBdr>
        <w:ind w:left="1083"/>
      </w:pPr>
      <w:r>
        <w:t xml:space="preserve">3: </w:t>
      </w:r>
      <w:r w:rsidRPr="008514B4">
        <w:rPr>
          <w:highlight w:val="yellow"/>
        </w:rPr>
        <w:t>For Tx carrier selection, introduce new Rel-15 parameters on top of the Rel-14 CBR-PPPP-TxConfigList.</w:t>
      </w:r>
    </w:p>
    <w:p w14:paraId="42C53507" w14:textId="77777777" w:rsidR="004A5FC6" w:rsidRDefault="004A5FC6" w:rsidP="004A5FC6">
      <w:pPr>
        <w:pStyle w:val="Doc-text2"/>
        <w:pBdr>
          <w:top w:val="single" w:sz="4" w:space="1" w:color="auto"/>
          <w:left w:val="single" w:sz="4" w:space="4" w:color="auto"/>
          <w:bottom w:val="single" w:sz="4" w:space="1" w:color="auto"/>
          <w:right w:val="single" w:sz="4" w:space="4" w:color="auto"/>
        </w:pBdr>
        <w:ind w:left="1083"/>
      </w:pPr>
      <w:r>
        <w:t xml:space="preserve">4: </w:t>
      </w:r>
      <w:r>
        <w:rPr>
          <w:lang w:val="en-US" w:eastAsia="ko-KR"/>
        </w:rPr>
        <w:t>FFS on how to select the final carrier(s) among the multiple candidate carriers in which the UE is capable to transmit. We will decide option out of two (i.e. based on CBR or leaving it to UE implementation) next meeting.</w:t>
      </w:r>
    </w:p>
    <w:p w14:paraId="22903625" w14:textId="77777777" w:rsidR="004A5FC6" w:rsidRDefault="004A5FC6" w:rsidP="007356BA">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63915519" w14:textId="274163F6" w:rsidR="007356BA" w:rsidRPr="00C11F0A" w:rsidRDefault="004A5FC6" w:rsidP="007356BA">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contribution, we discuss the various options discussed and presented in RAN2 so far and present our view</w:t>
      </w:r>
      <w:r w:rsidR="007356BA">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7EE4504" w14:textId="6C3665A0" w:rsidR="00B36E9E" w:rsidRPr="00B36E9E" w:rsidRDefault="00B36E9E" w:rsidP="00B36E9E">
      <w:pPr>
        <w:pStyle w:val="Heading2"/>
        <w:spacing w:after="180"/>
        <w:rPr>
          <w:lang w:eastAsia="zh-CN"/>
        </w:rPr>
      </w:pPr>
      <w:r>
        <w:rPr>
          <w:lang w:eastAsia="zh-CN"/>
        </w:rPr>
        <w:t>2.1</w:t>
      </w:r>
      <w:r>
        <w:rPr>
          <w:lang w:eastAsia="zh-CN"/>
        </w:rPr>
        <w:tab/>
        <w:t>New Rel-15 parameter(s)</w:t>
      </w:r>
    </w:p>
    <w:p w14:paraId="12A489DE" w14:textId="6EE06505" w:rsidR="004A5FC6" w:rsidRDefault="00A21ECC" w:rsidP="00AE0A3D">
      <w:pPr>
        <w:rPr>
          <w:rFonts w:ascii="Times New Roman" w:hAnsi="Times New Roman"/>
          <w:sz w:val="20"/>
        </w:rPr>
      </w:pPr>
      <w:r>
        <w:rPr>
          <w:rFonts w:ascii="Times New Roman" w:hAnsi="Times New Roman"/>
          <w:sz w:val="20"/>
        </w:rPr>
        <w:t xml:space="preserve">In the last few meetings, there was an extended discussion on whether we will define a new set of parameters for carrier selection for CA over PC5 in Rel-14 or reuse the Rel-14 mechanism/table based on CBR-PPPP table. The main motivation for such a parameter was that even though the Rel-14 mapping table can indicate a set of potential carrier that fit the CBR-PPPP criteria and are fit for selection, some extra information </w:t>
      </w:r>
      <w:r w:rsidR="008878EB">
        <w:rPr>
          <w:rFonts w:ascii="Times New Roman" w:hAnsi="Times New Roman"/>
          <w:sz w:val="20"/>
        </w:rPr>
        <w:t xml:space="preserve">is still </w:t>
      </w:r>
      <w:r>
        <w:rPr>
          <w:rFonts w:ascii="Times New Roman" w:hAnsi="Times New Roman"/>
          <w:sz w:val="20"/>
        </w:rPr>
        <w:t>needed to assist the UE in selecting one of those carrie</w:t>
      </w:r>
      <w:r w:rsidR="008878EB">
        <w:rPr>
          <w:rFonts w:ascii="Times New Roman" w:hAnsi="Times New Roman"/>
          <w:sz w:val="20"/>
        </w:rPr>
        <w:t xml:space="preserve">rs. </w:t>
      </w:r>
      <w:r w:rsidR="002403B8">
        <w:rPr>
          <w:rFonts w:ascii="Times New Roman" w:hAnsi="Times New Roman"/>
          <w:sz w:val="20"/>
        </w:rPr>
        <w:t xml:space="preserve">This also ties into the discussion of load balancing from a system point of view. </w:t>
      </w:r>
      <w:r>
        <w:rPr>
          <w:rFonts w:ascii="Times New Roman" w:hAnsi="Times New Roman"/>
          <w:sz w:val="20"/>
        </w:rPr>
        <w:t>As a consequence of the online discussion in the last meeting, it was agreed that the need for a new Rel-15 parameter is justified and so we will indeed define something beyond the Rel-14 CBR-PPPP-TxConfi</w:t>
      </w:r>
      <w:r w:rsidR="008514B4">
        <w:rPr>
          <w:rFonts w:ascii="Times New Roman" w:hAnsi="Times New Roman"/>
          <w:sz w:val="20"/>
        </w:rPr>
        <w:t xml:space="preserve">gList (which would be used as </w:t>
      </w:r>
      <w:r>
        <w:rPr>
          <w:rFonts w:ascii="Times New Roman" w:hAnsi="Times New Roman"/>
          <w:sz w:val="20"/>
        </w:rPr>
        <w:t>baseline).</w:t>
      </w:r>
    </w:p>
    <w:p w14:paraId="443F1434" w14:textId="3BF38216" w:rsidR="00A21ECC" w:rsidRDefault="00A21ECC" w:rsidP="00AE0A3D">
      <w:pPr>
        <w:rPr>
          <w:rFonts w:ascii="Times New Roman" w:hAnsi="Times New Roman"/>
          <w:sz w:val="20"/>
        </w:rPr>
      </w:pPr>
      <w:r>
        <w:rPr>
          <w:rFonts w:ascii="Times New Roman" w:hAnsi="Times New Roman"/>
          <w:sz w:val="20"/>
        </w:rPr>
        <w:t xml:space="preserve">The next question then becomes what that parameter should be. Clearly, since CBR and PPPP are the factors being considered for this purpose, those should still be considered when defining it. </w:t>
      </w:r>
      <w:r w:rsidR="008878EB">
        <w:rPr>
          <w:rFonts w:ascii="Times New Roman" w:hAnsi="Times New Roman"/>
          <w:sz w:val="20"/>
        </w:rPr>
        <w:t>Views from companies were divided in support of two options:</w:t>
      </w:r>
    </w:p>
    <w:p w14:paraId="372FB304" w14:textId="7C9FE82E" w:rsidR="008878EB" w:rsidRDefault="008878EB" w:rsidP="008878EB">
      <w:pPr>
        <w:pStyle w:val="ListParagraph"/>
        <w:numPr>
          <w:ilvl w:val="0"/>
          <w:numId w:val="22"/>
        </w:numPr>
        <w:rPr>
          <w:rFonts w:ascii="Times New Roman" w:hAnsi="Times New Roman"/>
          <w:sz w:val="20"/>
        </w:rPr>
      </w:pPr>
      <w:r>
        <w:rPr>
          <w:rFonts w:ascii="Times New Roman" w:hAnsi="Times New Roman"/>
          <w:sz w:val="20"/>
        </w:rPr>
        <w:t>Define a CBR threshold for each carrier such that the UE is only allowed to select a carrier if the measured CBR on this carrier is below the configured threshold.</w:t>
      </w:r>
      <w:r w:rsidR="008514B4">
        <w:rPr>
          <w:rFonts w:ascii="Times New Roman" w:hAnsi="Times New Roman"/>
          <w:sz w:val="20"/>
        </w:rPr>
        <w:t xml:space="preserve"> (Both a single CBR threshold per carrier or multiple thresholds mapped to different PPPP values are possible).</w:t>
      </w:r>
    </w:p>
    <w:p w14:paraId="5DD69203" w14:textId="65489727" w:rsidR="008878EB" w:rsidRPr="008878EB" w:rsidRDefault="008878EB" w:rsidP="008878EB">
      <w:pPr>
        <w:pStyle w:val="ListParagraph"/>
        <w:numPr>
          <w:ilvl w:val="0"/>
          <w:numId w:val="22"/>
        </w:numPr>
        <w:rPr>
          <w:rFonts w:ascii="Times New Roman" w:hAnsi="Times New Roman"/>
          <w:sz w:val="20"/>
        </w:rPr>
      </w:pPr>
      <w:r>
        <w:rPr>
          <w:rFonts w:ascii="Times New Roman" w:hAnsi="Times New Roman"/>
          <w:sz w:val="20"/>
        </w:rPr>
        <w:t xml:space="preserve">Define a new field which explicitly indicates that a particular carrier is allowed or </w:t>
      </w:r>
      <w:r w:rsidR="002403B8">
        <w:rPr>
          <w:rFonts w:ascii="Times New Roman" w:hAnsi="Times New Roman"/>
          <w:sz w:val="20"/>
        </w:rPr>
        <w:t>prohibited</w:t>
      </w:r>
      <w:r>
        <w:rPr>
          <w:rFonts w:ascii="Times New Roman" w:hAnsi="Times New Roman"/>
          <w:sz w:val="20"/>
        </w:rPr>
        <w:t xml:space="preserve"> from transmission.</w:t>
      </w:r>
    </w:p>
    <w:p w14:paraId="0315A926" w14:textId="3DAE6D00" w:rsidR="002403B8" w:rsidRDefault="00A36CCD" w:rsidP="002403B8">
      <w:pPr>
        <w:rPr>
          <w:rFonts w:ascii="Times New Roman" w:hAnsi="Times New Roman"/>
          <w:sz w:val="20"/>
        </w:rPr>
      </w:pPr>
      <w:r>
        <w:rPr>
          <w:rFonts w:ascii="Times New Roman" w:hAnsi="Times New Roman"/>
          <w:sz w:val="20"/>
        </w:rPr>
        <w:t xml:space="preserve">Considering at least the two options above, there </w:t>
      </w:r>
      <w:r w:rsidR="002403B8">
        <w:rPr>
          <w:rFonts w:ascii="Times New Roman" w:hAnsi="Times New Roman"/>
          <w:sz w:val="20"/>
        </w:rPr>
        <w:t xml:space="preserve">are certainly </w:t>
      </w:r>
      <w:r>
        <w:rPr>
          <w:rFonts w:ascii="Times New Roman" w:hAnsi="Times New Roman"/>
          <w:sz w:val="20"/>
        </w:rPr>
        <w:t xml:space="preserve">variations of the two possible. </w:t>
      </w:r>
      <w:r w:rsidR="002403B8">
        <w:rPr>
          <w:rFonts w:ascii="Times New Roman" w:hAnsi="Times New Roman"/>
          <w:sz w:val="20"/>
        </w:rPr>
        <w:t>One possibility is to simply define such CBR threshold for each carrier which is applicable for all V2X packets of any priority. Alternatively</w:t>
      </w:r>
      <w:r>
        <w:rPr>
          <w:rFonts w:ascii="Times New Roman" w:hAnsi="Times New Roman"/>
          <w:sz w:val="20"/>
        </w:rPr>
        <w:t xml:space="preserve">, it is proposed in </w:t>
      </w:r>
      <w:sdt>
        <w:sdtPr>
          <w:rPr>
            <w:rFonts w:ascii="Times New Roman" w:hAnsi="Times New Roman"/>
            <w:sz w:val="20"/>
          </w:rPr>
          <w:id w:val="-1782871807"/>
          <w:citation/>
        </w:sdtPr>
        <w:sdtEndPr/>
        <w:sdtContent>
          <w:r w:rsidR="008514B4">
            <w:rPr>
              <w:rFonts w:ascii="Times New Roman" w:hAnsi="Times New Roman"/>
              <w:sz w:val="20"/>
            </w:rPr>
            <w:fldChar w:fldCharType="begin"/>
          </w:r>
          <w:r w:rsidR="008514B4">
            <w:rPr>
              <w:rFonts w:ascii="Times New Roman" w:hAnsi="Times New Roman"/>
              <w:sz w:val="20"/>
            </w:rPr>
            <w:instrText xml:space="preserve"> CITATION HWCBRthreshold \l 1033 </w:instrText>
          </w:r>
          <w:r w:rsidR="008514B4">
            <w:rPr>
              <w:rFonts w:ascii="Times New Roman" w:hAnsi="Times New Roman"/>
              <w:sz w:val="20"/>
            </w:rPr>
            <w:fldChar w:fldCharType="separate"/>
          </w:r>
          <w:r w:rsidR="00FF7401" w:rsidRPr="00FF7401">
            <w:rPr>
              <w:rFonts w:ascii="Times New Roman" w:hAnsi="Times New Roman"/>
              <w:noProof/>
              <w:sz w:val="20"/>
            </w:rPr>
            <w:t>[2]</w:t>
          </w:r>
          <w:r w:rsidR="008514B4">
            <w:rPr>
              <w:rFonts w:ascii="Times New Roman" w:hAnsi="Times New Roman"/>
              <w:sz w:val="20"/>
            </w:rPr>
            <w:fldChar w:fldCharType="end"/>
          </w:r>
        </w:sdtContent>
      </w:sdt>
      <w:r w:rsidR="008514B4">
        <w:rPr>
          <w:rFonts w:ascii="Times New Roman" w:hAnsi="Times New Roman"/>
          <w:sz w:val="20"/>
        </w:rPr>
        <w:t xml:space="preserve"> </w:t>
      </w:r>
      <w:r w:rsidR="002403B8">
        <w:rPr>
          <w:rFonts w:ascii="Times New Roman" w:hAnsi="Times New Roman"/>
          <w:sz w:val="20"/>
        </w:rPr>
        <w:t xml:space="preserve">that the CBR threshold thus defined for each carrier should be per PPPP value, i.e. each carrier can potentially have a different set of thresholds associated to the different PPPP values. While this is attractive in principle to allow the greatest deal of flexibility and differentiate various carrier in terms of the priority of V2X traffic that they handle, it seems to introduce further complexity and signaling overhead in an already complex procedure. By contrast, simply defining a single threshold per carrier </w:t>
      </w:r>
      <w:r w:rsidR="008514B4">
        <w:rPr>
          <w:rFonts w:ascii="Times New Roman" w:hAnsi="Times New Roman"/>
          <w:sz w:val="20"/>
        </w:rPr>
        <w:t xml:space="preserve">(agnostic to PPPP) </w:t>
      </w:r>
      <w:r w:rsidR="002403B8">
        <w:rPr>
          <w:rFonts w:ascii="Times New Roman" w:hAnsi="Times New Roman"/>
          <w:sz w:val="20"/>
        </w:rPr>
        <w:t>can allow for a fair degree of load balancing from a system standpoint and allow the UE to either include or exclude carriers from selection based on the current channel conditions.</w:t>
      </w:r>
      <w:r w:rsidR="00DE45F9">
        <w:rPr>
          <w:rFonts w:ascii="Times New Roman" w:hAnsi="Times New Roman"/>
          <w:sz w:val="20"/>
        </w:rPr>
        <w:t xml:space="preserve"> </w:t>
      </w:r>
      <w:r w:rsidR="002403B8">
        <w:rPr>
          <w:rFonts w:ascii="Times New Roman" w:hAnsi="Times New Roman"/>
          <w:sz w:val="20"/>
        </w:rPr>
        <w:t>Option</w:t>
      </w:r>
      <w:r w:rsidR="00DE45F9">
        <w:rPr>
          <w:rFonts w:ascii="Times New Roman" w:hAnsi="Times New Roman"/>
          <w:sz w:val="20"/>
        </w:rPr>
        <w:t xml:space="preserve"> 2, on the other hand,</w:t>
      </w:r>
      <w:r w:rsidR="002403B8">
        <w:rPr>
          <w:rFonts w:ascii="Times New Roman" w:hAnsi="Times New Roman"/>
          <w:sz w:val="20"/>
        </w:rPr>
        <w:t xml:space="preserve"> seems to further simplify the situation by only including an explicit indication </w:t>
      </w:r>
      <w:r w:rsidR="00DE45F9">
        <w:rPr>
          <w:rFonts w:ascii="Times New Roman" w:hAnsi="Times New Roman"/>
          <w:sz w:val="20"/>
        </w:rPr>
        <w:t xml:space="preserve">alongside the CBR-PPPP mapping table to allow or disallow a certain carrier from being chosen. </w:t>
      </w:r>
    </w:p>
    <w:p w14:paraId="664BCAA6" w14:textId="00EE0995" w:rsidR="00DE45F9" w:rsidRDefault="00DE45F9" w:rsidP="002403B8">
      <w:pPr>
        <w:rPr>
          <w:rFonts w:ascii="Times New Roman" w:hAnsi="Times New Roman"/>
          <w:sz w:val="20"/>
        </w:rPr>
      </w:pPr>
      <w:r>
        <w:rPr>
          <w:rFonts w:ascii="Times New Roman" w:hAnsi="Times New Roman"/>
          <w:sz w:val="20"/>
        </w:rPr>
        <w:t xml:space="preserve">In our view, while </w:t>
      </w:r>
      <w:r w:rsidRPr="00DE45F9">
        <w:rPr>
          <w:rFonts w:ascii="Times New Roman" w:hAnsi="Times New Roman"/>
          <w:sz w:val="20"/>
        </w:rPr>
        <w:t xml:space="preserve">both options should be able to solve the </w:t>
      </w:r>
      <w:r>
        <w:rPr>
          <w:rFonts w:ascii="Times New Roman" w:hAnsi="Times New Roman"/>
          <w:sz w:val="20"/>
        </w:rPr>
        <w:t>issue at hand</w:t>
      </w:r>
      <w:r w:rsidR="008514B4">
        <w:rPr>
          <w:rFonts w:ascii="Times New Roman" w:hAnsi="Times New Roman"/>
          <w:sz w:val="20"/>
        </w:rPr>
        <w:t>,</w:t>
      </w:r>
      <w:r w:rsidRPr="00DE45F9">
        <w:rPr>
          <w:rFonts w:ascii="Times New Roman" w:hAnsi="Times New Roman"/>
          <w:sz w:val="20"/>
        </w:rPr>
        <w:t xml:space="preserve"> </w:t>
      </w:r>
      <w:r>
        <w:rPr>
          <w:rFonts w:ascii="Times New Roman" w:hAnsi="Times New Roman"/>
          <w:sz w:val="20"/>
        </w:rPr>
        <w:t>we</w:t>
      </w:r>
      <w:r w:rsidRPr="00DE45F9">
        <w:rPr>
          <w:rFonts w:ascii="Times New Roman" w:hAnsi="Times New Roman"/>
          <w:sz w:val="20"/>
        </w:rPr>
        <w:t xml:space="preserve"> slightly prefer the </w:t>
      </w:r>
      <w:r>
        <w:rPr>
          <w:rFonts w:ascii="Times New Roman" w:hAnsi="Times New Roman"/>
          <w:sz w:val="20"/>
        </w:rPr>
        <w:t>Option 1</w:t>
      </w:r>
      <w:r w:rsidRPr="00DE45F9">
        <w:rPr>
          <w:rFonts w:ascii="Times New Roman" w:hAnsi="Times New Roman"/>
          <w:sz w:val="20"/>
        </w:rPr>
        <w:t xml:space="preserve"> i.e. introducing </w:t>
      </w:r>
      <w:r w:rsidR="008514B4">
        <w:rPr>
          <w:rFonts w:ascii="Times New Roman" w:hAnsi="Times New Roman"/>
          <w:sz w:val="20"/>
        </w:rPr>
        <w:t xml:space="preserve">a single </w:t>
      </w:r>
      <w:r w:rsidRPr="00DE45F9">
        <w:rPr>
          <w:rFonts w:ascii="Times New Roman" w:hAnsi="Times New Roman"/>
          <w:sz w:val="20"/>
        </w:rPr>
        <w:t>CBR threshold</w:t>
      </w:r>
      <w:r>
        <w:rPr>
          <w:rFonts w:ascii="Times New Roman" w:hAnsi="Times New Roman"/>
          <w:sz w:val="20"/>
        </w:rPr>
        <w:t xml:space="preserve"> </w:t>
      </w:r>
      <w:r w:rsidR="00065F97">
        <w:rPr>
          <w:rFonts w:ascii="Times New Roman" w:hAnsi="Times New Roman"/>
          <w:sz w:val="20"/>
        </w:rPr>
        <w:t xml:space="preserve">per carrier </w:t>
      </w:r>
      <w:r>
        <w:rPr>
          <w:rFonts w:ascii="Times New Roman" w:hAnsi="Times New Roman"/>
          <w:sz w:val="20"/>
        </w:rPr>
        <w:t>as the Rel-15 parameter</w:t>
      </w:r>
      <w:r w:rsidRPr="00DE45F9">
        <w:rPr>
          <w:rFonts w:ascii="Times New Roman" w:hAnsi="Times New Roman"/>
          <w:sz w:val="20"/>
        </w:rPr>
        <w:t xml:space="preserve">. The main reason is to have a cleaner mechanism on place for Rel-15 V2X without impacting or modifying the procedures in place for Rel-14 UEs. Additionally, </w:t>
      </w:r>
      <w:r>
        <w:rPr>
          <w:rFonts w:ascii="Times New Roman" w:hAnsi="Times New Roman"/>
          <w:sz w:val="20"/>
        </w:rPr>
        <w:t>depending on how packet duplication enters the equation, this</w:t>
      </w:r>
      <w:r w:rsidRPr="00DE45F9">
        <w:rPr>
          <w:rFonts w:ascii="Times New Roman" w:hAnsi="Times New Roman"/>
          <w:sz w:val="20"/>
        </w:rPr>
        <w:t xml:space="preserve"> would also </w:t>
      </w:r>
      <w:r w:rsidR="00065F97">
        <w:rPr>
          <w:rFonts w:ascii="Times New Roman" w:hAnsi="Times New Roman"/>
          <w:sz w:val="20"/>
        </w:rPr>
        <w:t xml:space="preserve">be aligned </w:t>
      </w:r>
      <w:r w:rsidRPr="00DE45F9">
        <w:rPr>
          <w:rFonts w:ascii="Times New Roman" w:hAnsi="Times New Roman"/>
          <w:sz w:val="20"/>
        </w:rPr>
        <w:t>with any future designs we may need, e.g. introducing PPPR thresholds for the purpose of duplication in a similar way.</w:t>
      </w:r>
      <w:r>
        <w:rPr>
          <w:rFonts w:ascii="Times New Roman" w:hAnsi="Times New Roman"/>
          <w:sz w:val="20"/>
        </w:rPr>
        <w:t xml:space="preserve"> Regarding whether the CBR threshold should be defined per PPPP value for each carrier separately, we think that simply defining a single CBR threshold per carrier is sufficient. The main motivation for this is to solve the load-balancing and overloading issue and PPPP based considerations should anyway be handled by the CBR-PPPP mapping table from Rel-14.</w:t>
      </w:r>
    </w:p>
    <w:p w14:paraId="5D683948" w14:textId="0D109AD7" w:rsidR="00DE45F9" w:rsidRPr="004D7A2E" w:rsidRDefault="00DE45F9" w:rsidP="00DE45F9">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F7401">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A CBR threshold </w:t>
      </w:r>
      <w:r w:rsidR="00B36E9E">
        <w:rPr>
          <w:rFonts w:ascii="Times New Roman" w:eastAsia="Times New Roman" w:hAnsi="Times New Roman"/>
          <w:bCs/>
          <w:i/>
          <w:sz w:val="20"/>
          <w:szCs w:val="20"/>
          <w:lang w:val="en-GB" w:eastAsia="zh-CN"/>
        </w:rPr>
        <w:t>(</w:t>
      </w:r>
      <w:r>
        <w:rPr>
          <w:rFonts w:ascii="Times New Roman" w:eastAsia="Times New Roman" w:hAnsi="Times New Roman"/>
          <w:bCs/>
          <w:i/>
          <w:sz w:val="20"/>
          <w:szCs w:val="20"/>
          <w:lang w:val="en-GB" w:eastAsia="zh-CN"/>
        </w:rPr>
        <w:t>per carrier</w:t>
      </w:r>
      <w:r w:rsidR="00B36E9E">
        <w:rPr>
          <w:rFonts w:ascii="Times New Roman" w:eastAsia="Times New Roman" w:hAnsi="Times New Roman"/>
          <w:bCs/>
          <w:i/>
          <w:sz w:val="20"/>
          <w:szCs w:val="20"/>
          <w:lang w:val="en-GB" w:eastAsia="zh-CN"/>
        </w:rPr>
        <w:t>)</w:t>
      </w:r>
      <w:r>
        <w:rPr>
          <w:rFonts w:ascii="Times New Roman" w:eastAsia="Times New Roman" w:hAnsi="Times New Roman"/>
          <w:bCs/>
          <w:i/>
          <w:sz w:val="20"/>
          <w:szCs w:val="20"/>
          <w:lang w:val="en-GB" w:eastAsia="zh-CN"/>
        </w:rPr>
        <w:t xml:space="preserve"> should be defined as the Rel-15 paramet</w:t>
      </w:r>
      <w:r w:rsidR="00B36E9E">
        <w:rPr>
          <w:rFonts w:ascii="Times New Roman" w:eastAsia="Times New Roman" w:hAnsi="Times New Roman"/>
          <w:bCs/>
          <w:i/>
          <w:sz w:val="20"/>
          <w:szCs w:val="20"/>
          <w:lang w:val="en-GB" w:eastAsia="zh-CN"/>
        </w:rPr>
        <w:t>er</w:t>
      </w:r>
      <w:r>
        <w:rPr>
          <w:rFonts w:ascii="Times New Roman" w:eastAsia="Times New Roman" w:hAnsi="Times New Roman"/>
          <w:bCs/>
          <w:i/>
          <w:sz w:val="20"/>
          <w:szCs w:val="20"/>
          <w:lang w:val="en-GB" w:eastAsia="zh-CN"/>
        </w:rPr>
        <w:t xml:space="preserve"> to </w:t>
      </w:r>
      <w:r w:rsidR="00B36E9E">
        <w:rPr>
          <w:rFonts w:ascii="Times New Roman" w:eastAsia="Times New Roman" w:hAnsi="Times New Roman"/>
          <w:bCs/>
          <w:i/>
          <w:sz w:val="20"/>
          <w:szCs w:val="20"/>
          <w:lang w:val="en-GB" w:eastAsia="zh-CN"/>
        </w:rPr>
        <w:t>allow or prohibit selection of any given carrier during carrier selection</w:t>
      </w:r>
      <w:r>
        <w:rPr>
          <w:rFonts w:ascii="Times New Roman" w:eastAsia="Times New Roman" w:hAnsi="Times New Roman"/>
          <w:bCs/>
          <w:i/>
          <w:sz w:val="20"/>
          <w:szCs w:val="20"/>
          <w:lang w:val="en-GB" w:eastAsia="zh-CN"/>
        </w:rPr>
        <w:t>.</w:t>
      </w:r>
    </w:p>
    <w:p w14:paraId="72B7E419" w14:textId="6DC7611F" w:rsidR="00B36E9E" w:rsidRPr="001846F4" w:rsidRDefault="00B36E9E" w:rsidP="00B36E9E">
      <w:pPr>
        <w:pStyle w:val="Heading2"/>
        <w:spacing w:after="180"/>
        <w:rPr>
          <w:lang w:eastAsia="zh-CN"/>
        </w:rPr>
      </w:pPr>
      <w:r>
        <w:rPr>
          <w:lang w:eastAsia="zh-CN"/>
        </w:rPr>
        <w:t>2.2</w:t>
      </w:r>
      <w:r>
        <w:rPr>
          <w:lang w:eastAsia="zh-CN"/>
        </w:rPr>
        <w:tab/>
        <w:t>Resolving frequent reselection between carriers</w:t>
      </w:r>
    </w:p>
    <w:p w14:paraId="523BC60B" w14:textId="5193B662" w:rsidR="004A38AD" w:rsidRDefault="00B36E9E" w:rsidP="002403B8">
      <w:pPr>
        <w:rPr>
          <w:rFonts w:ascii="Times New Roman" w:hAnsi="Times New Roman"/>
          <w:sz w:val="20"/>
        </w:rPr>
      </w:pPr>
      <w:r>
        <w:rPr>
          <w:rFonts w:ascii="Times New Roman" w:hAnsi="Times New Roman"/>
          <w:sz w:val="20"/>
        </w:rPr>
        <w:t>An associated issue raised in the email discussion on carrier reselection triggers was on how to avoid the UE frequently switching between different carriers</w:t>
      </w:r>
      <w:r w:rsidR="00065F97">
        <w:rPr>
          <w:rFonts w:ascii="Times New Roman" w:hAnsi="Times New Roman"/>
          <w:sz w:val="20"/>
        </w:rPr>
        <w:t xml:space="preserve"> </w:t>
      </w:r>
      <w:sdt>
        <w:sdtPr>
          <w:rPr>
            <w:rFonts w:ascii="Times New Roman" w:hAnsi="Times New Roman"/>
            <w:sz w:val="20"/>
          </w:rPr>
          <w:id w:val="1400715582"/>
          <w:citation/>
        </w:sdtPr>
        <w:sdtEndPr/>
        <w:sdtContent>
          <w:r w:rsidR="00065F97">
            <w:rPr>
              <w:rFonts w:ascii="Times New Roman" w:hAnsi="Times New Roman"/>
              <w:sz w:val="20"/>
            </w:rPr>
            <w:fldChar w:fldCharType="begin"/>
          </w:r>
          <w:r w:rsidR="00065F97">
            <w:rPr>
              <w:rFonts w:ascii="Times New Roman" w:hAnsi="Times New Roman"/>
              <w:sz w:val="20"/>
            </w:rPr>
            <w:instrText xml:space="preserve"> CITATION carrierReselectionQC \l 1033 </w:instrText>
          </w:r>
          <w:r w:rsidR="00065F97">
            <w:rPr>
              <w:rFonts w:ascii="Times New Roman" w:hAnsi="Times New Roman"/>
              <w:sz w:val="20"/>
            </w:rPr>
            <w:fldChar w:fldCharType="separate"/>
          </w:r>
          <w:r w:rsidR="00FF7401" w:rsidRPr="00FF7401">
            <w:rPr>
              <w:rFonts w:ascii="Times New Roman" w:hAnsi="Times New Roman"/>
              <w:noProof/>
              <w:sz w:val="20"/>
            </w:rPr>
            <w:t>[3]</w:t>
          </w:r>
          <w:r w:rsidR="00065F97">
            <w:rPr>
              <w:rFonts w:ascii="Times New Roman" w:hAnsi="Times New Roman"/>
              <w:sz w:val="20"/>
            </w:rPr>
            <w:fldChar w:fldCharType="end"/>
          </w:r>
        </w:sdtContent>
      </w:sdt>
      <w:r>
        <w:rPr>
          <w:rFonts w:ascii="Times New Roman" w:hAnsi="Times New Roman"/>
          <w:sz w:val="20"/>
        </w:rPr>
        <w:t xml:space="preserve">. This is somewhat related to how the Rel-15 parameter as </w:t>
      </w:r>
      <w:r w:rsidR="00AC64FC">
        <w:rPr>
          <w:rFonts w:ascii="Times New Roman" w:hAnsi="Times New Roman"/>
          <w:sz w:val="20"/>
        </w:rPr>
        <w:t>discussed</w:t>
      </w:r>
      <w:r>
        <w:rPr>
          <w:rFonts w:ascii="Times New Roman" w:hAnsi="Times New Roman"/>
          <w:sz w:val="20"/>
        </w:rPr>
        <w:t xml:space="preserve"> above is defined. Specifically, if we consider a CBR threshold as that parameter and further assume that the UE always switches th</w:t>
      </w:r>
      <w:r w:rsidR="00065F97">
        <w:rPr>
          <w:rFonts w:ascii="Times New Roman" w:hAnsi="Times New Roman"/>
          <w:sz w:val="20"/>
        </w:rPr>
        <w:t>e carrier with the lowest CBR</w:t>
      </w:r>
      <w:r>
        <w:rPr>
          <w:rFonts w:ascii="Times New Roman" w:hAnsi="Times New Roman"/>
          <w:sz w:val="20"/>
        </w:rPr>
        <w:t xml:space="preserve">, the question arises whether this would lead to frequent scenario where a different carrier has a lower measured CBR value than the UE’s current carrier and thus the UE would have to switch to that carrier. Clearly, such behavior is unwanted and requires some effort to avoid. </w:t>
      </w:r>
      <w:r w:rsidR="004A38AD">
        <w:rPr>
          <w:rFonts w:ascii="Times New Roman" w:hAnsi="Times New Roman"/>
          <w:sz w:val="20"/>
        </w:rPr>
        <w:t>We think there can be a few different options to avoid this:</w:t>
      </w:r>
    </w:p>
    <w:p w14:paraId="24153A3F" w14:textId="50F2F284" w:rsidR="00DE45F9" w:rsidRDefault="004A38AD" w:rsidP="004A38AD">
      <w:pPr>
        <w:pStyle w:val="ListParagraph"/>
        <w:numPr>
          <w:ilvl w:val="0"/>
          <w:numId w:val="23"/>
        </w:numPr>
        <w:rPr>
          <w:rFonts w:ascii="Times New Roman" w:hAnsi="Times New Roman"/>
          <w:sz w:val="20"/>
        </w:rPr>
      </w:pPr>
      <w:r>
        <w:rPr>
          <w:rFonts w:ascii="Times New Roman" w:hAnsi="Times New Roman"/>
          <w:sz w:val="20"/>
        </w:rPr>
        <w:t>The use of a hysteresis value in the CBR thresholds to dissuade the UE from selecting to a new carrier. In this case, even if a different carrier (say A) has a low measured CBR than the current carrier (say B), the UE would only reselect to A</w:t>
      </w:r>
      <w:r w:rsidR="00B36E9E" w:rsidRPr="004A38AD">
        <w:rPr>
          <w:rFonts w:ascii="Times New Roman" w:hAnsi="Times New Roman"/>
          <w:sz w:val="20"/>
        </w:rPr>
        <w:t xml:space="preserve"> </w:t>
      </w:r>
      <w:r>
        <w:rPr>
          <w:rFonts w:ascii="Times New Roman" w:hAnsi="Times New Roman"/>
          <w:sz w:val="20"/>
        </w:rPr>
        <w:t>if (CBR of B - specific offset) exceeds CBR of A.</w:t>
      </w:r>
    </w:p>
    <w:p w14:paraId="26B38B47" w14:textId="34FAC7B3" w:rsidR="004A38AD" w:rsidRDefault="004A38AD" w:rsidP="004A38AD">
      <w:pPr>
        <w:pStyle w:val="ListParagraph"/>
        <w:numPr>
          <w:ilvl w:val="0"/>
          <w:numId w:val="23"/>
        </w:numPr>
        <w:rPr>
          <w:rFonts w:ascii="Times New Roman" w:hAnsi="Times New Roman"/>
          <w:sz w:val="20"/>
        </w:rPr>
      </w:pPr>
      <w:r>
        <w:rPr>
          <w:rFonts w:ascii="Times New Roman" w:hAnsi="Times New Roman"/>
          <w:sz w:val="20"/>
        </w:rPr>
        <w:t>The UE can simply not switch to a different carrier unless the CBR of the current carrier exceeds the configured threshold. While this does not follow the case of UE always using the carrier with the lowest CBR, it solves the ping-pong issue as the UE would only switch carriers when the current carriers is deemed unfit for transmission.</w:t>
      </w:r>
    </w:p>
    <w:p w14:paraId="2A666343" w14:textId="09A744D1" w:rsidR="004A38AD" w:rsidRDefault="004A38AD" w:rsidP="004A38AD">
      <w:pPr>
        <w:pStyle w:val="ListParagraph"/>
        <w:numPr>
          <w:ilvl w:val="0"/>
          <w:numId w:val="23"/>
        </w:numPr>
        <w:rPr>
          <w:rFonts w:ascii="Times New Roman" w:hAnsi="Times New Roman"/>
          <w:sz w:val="20"/>
        </w:rPr>
      </w:pPr>
      <w:r>
        <w:rPr>
          <w:rFonts w:ascii="Times New Roman" w:hAnsi="Times New Roman"/>
          <w:sz w:val="20"/>
        </w:rPr>
        <w:t xml:space="preserve">Using a timer based approach, where after switching to a new carrier, the UE cannot switch to a new carrier unless a certain time has elapsed. This can be combined with the option 2 to only allow the UE to switch to a lower CBR carrier if the current carrier CBR exceeds the threshold </w:t>
      </w:r>
      <w:r w:rsidR="000D0A95">
        <w:rPr>
          <w:rFonts w:ascii="Times New Roman" w:hAnsi="Times New Roman"/>
          <w:sz w:val="20"/>
        </w:rPr>
        <w:t xml:space="preserve">or if the timer has expired. </w:t>
      </w:r>
    </w:p>
    <w:p w14:paraId="7107B19B" w14:textId="16F5109B" w:rsidR="000D0A95" w:rsidRDefault="000D0A95" w:rsidP="004A38AD">
      <w:pPr>
        <w:pStyle w:val="ListParagraph"/>
        <w:numPr>
          <w:ilvl w:val="0"/>
          <w:numId w:val="23"/>
        </w:numPr>
        <w:rPr>
          <w:rFonts w:ascii="Times New Roman" w:hAnsi="Times New Roman"/>
          <w:sz w:val="20"/>
        </w:rPr>
      </w:pPr>
      <w:r>
        <w:rPr>
          <w:rFonts w:ascii="Times New Roman" w:hAnsi="Times New Roman"/>
          <w:sz w:val="20"/>
        </w:rPr>
        <w:t>With the CBR thresholds defined, the choice of when to switch to a different carrier is simply left to UE implementation. Since the CBR threshold already implicitly place restrictions on carrier loading in a system wide manner, the UE can simply choose if/when to switch carriers as long as it meets the threshold criteria.</w:t>
      </w:r>
    </w:p>
    <w:p w14:paraId="6829642D" w14:textId="0448038A" w:rsidR="000D0A95" w:rsidRPr="000D0A95" w:rsidRDefault="000D0A95" w:rsidP="000D0A95">
      <w:pPr>
        <w:rPr>
          <w:rFonts w:ascii="Times New Roman" w:hAnsi="Times New Roman"/>
          <w:sz w:val="20"/>
        </w:rPr>
      </w:pPr>
      <w:r>
        <w:rPr>
          <w:rFonts w:ascii="Times New Roman" w:hAnsi="Times New Roman"/>
          <w:sz w:val="20"/>
        </w:rPr>
        <w:t>Considering the options above, we prefer option 3, i.e</w:t>
      </w:r>
      <w:r w:rsidR="00AC64FC">
        <w:rPr>
          <w:rFonts w:ascii="Times New Roman" w:hAnsi="Times New Roman"/>
          <w:sz w:val="20"/>
        </w:rPr>
        <w:t>.</w:t>
      </w:r>
      <w:r>
        <w:rPr>
          <w:rFonts w:ascii="Times New Roman" w:hAnsi="Times New Roman"/>
          <w:sz w:val="20"/>
        </w:rPr>
        <w:t xml:space="preserve"> configuring an explicit timer to control the rate at which the UE switches between different carriers. This, combined with the </w:t>
      </w:r>
      <w:r w:rsidR="00065F97">
        <w:rPr>
          <w:rFonts w:ascii="Times New Roman" w:hAnsi="Times New Roman"/>
          <w:sz w:val="20"/>
        </w:rPr>
        <w:t xml:space="preserve">trigger conditions defined in </w:t>
      </w:r>
      <w:sdt>
        <w:sdtPr>
          <w:rPr>
            <w:rFonts w:ascii="Times New Roman" w:hAnsi="Times New Roman"/>
            <w:sz w:val="20"/>
          </w:rPr>
          <w:id w:val="390014808"/>
          <w:citation/>
        </w:sdtPr>
        <w:sdtEndPr/>
        <w:sdtContent>
          <w:r w:rsidR="00065F97">
            <w:rPr>
              <w:rFonts w:ascii="Times New Roman" w:hAnsi="Times New Roman"/>
              <w:sz w:val="20"/>
            </w:rPr>
            <w:fldChar w:fldCharType="begin"/>
          </w:r>
          <w:r w:rsidR="00065F97">
            <w:rPr>
              <w:rFonts w:ascii="Times New Roman" w:hAnsi="Times New Roman"/>
              <w:sz w:val="20"/>
            </w:rPr>
            <w:instrText xml:space="preserve"> CITATION carrierReselectionQC \l 1033 </w:instrText>
          </w:r>
          <w:r w:rsidR="00065F97">
            <w:rPr>
              <w:rFonts w:ascii="Times New Roman" w:hAnsi="Times New Roman"/>
              <w:sz w:val="20"/>
            </w:rPr>
            <w:fldChar w:fldCharType="separate"/>
          </w:r>
          <w:r w:rsidR="00FF7401" w:rsidRPr="00FF7401">
            <w:rPr>
              <w:rFonts w:ascii="Times New Roman" w:hAnsi="Times New Roman"/>
              <w:noProof/>
              <w:sz w:val="20"/>
            </w:rPr>
            <w:t>[3]</w:t>
          </w:r>
          <w:r w:rsidR="00065F97">
            <w:rPr>
              <w:rFonts w:ascii="Times New Roman" w:hAnsi="Times New Roman"/>
              <w:sz w:val="20"/>
            </w:rPr>
            <w:fldChar w:fldCharType="end"/>
          </w:r>
        </w:sdtContent>
      </w:sdt>
      <w:r>
        <w:rPr>
          <w:rFonts w:ascii="Times New Roman" w:hAnsi="Times New Roman"/>
          <w:sz w:val="20"/>
        </w:rPr>
        <w:t xml:space="preserve"> can help to avoid frequent carrier switching. </w:t>
      </w:r>
    </w:p>
    <w:p w14:paraId="3AD911CB" w14:textId="28C30CFA" w:rsidR="00B737FF" w:rsidRPr="004D7A2E" w:rsidRDefault="00DA2C5B" w:rsidP="004D7A2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B737FF" w:rsidRPr="001C137C">
        <w:rPr>
          <w:rFonts w:ascii="Times New Roman" w:eastAsia="Times New Roman" w:hAnsi="Times New Roman"/>
          <w:b/>
          <w:bCs/>
          <w:sz w:val="20"/>
          <w:szCs w:val="20"/>
          <w:u w:val="single"/>
          <w:lang w:val="en-GB" w:eastAsia="zh-CN"/>
        </w:rPr>
        <w:t>:</w:t>
      </w:r>
      <w:r w:rsidR="00B737FF" w:rsidRPr="001C137C">
        <w:rPr>
          <w:rFonts w:ascii="Times New Roman" w:eastAsia="Times New Roman" w:hAnsi="Times New Roman"/>
          <w:b/>
          <w:bCs/>
          <w:sz w:val="20"/>
          <w:szCs w:val="20"/>
          <w:lang w:val="en-GB" w:eastAsia="zh-CN"/>
        </w:rPr>
        <w:tab/>
      </w:r>
      <w:r w:rsidR="000D0A95">
        <w:rPr>
          <w:rFonts w:ascii="Times New Roman" w:eastAsia="Times New Roman" w:hAnsi="Times New Roman"/>
          <w:bCs/>
          <w:i/>
          <w:sz w:val="20"/>
          <w:szCs w:val="20"/>
          <w:lang w:val="en-GB" w:eastAsia="zh-CN"/>
        </w:rPr>
        <w:t xml:space="preserve">A timer shall be configured to prevent the UE from frequently switching between different carriers based on </w:t>
      </w:r>
      <w:r w:rsidR="00065F97">
        <w:rPr>
          <w:rFonts w:ascii="Times New Roman" w:eastAsia="Times New Roman" w:hAnsi="Times New Roman"/>
          <w:bCs/>
          <w:i/>
          <w:sz w:val="20"/>
          <w:szCs w:val="20"/>
          <w:lang w:val="en-GB" w:eastAsia="zh-CN"/>
        </w:rPr>
        <w:t xml:space="preserve">configured </w:t>
      </w:r>
      <w:r w:rsidR="000D0A95">
        <w:rPr>
          <w:rFonts w:ascii="Times New Roman" w:eastAsia="Times New Roman" w:hAnsi="Times New Roman"/>
          <w:bCs/>
          <w:i/>
          <w:sz w:val="20"/>
          <w:szCs w:val="20"/>
          <w:lang w:val="en-GB" w:eastAsia="zh-CN"/>
        </w:rPr>
        <w:t xml:space="preserve">CBR </w:t>
      </w:r>
      <w:r w:rsidR="00065F97">
        <w:rPr>
          <w:rFonts w:ascii="Times New Roman" w:eastAsia="Times New Roman" w:hAnsi="Times New Roman"/>
          <w:bCs/>
          <w:i/>
          <w:sz w:val="20"/>
          <w:szCs w:val="20"/>
          <w:lang w:val="en-GB" w:eastAsia="zh-CN"/>
        </w:rPr>
        <w:t>thresholds</w:t>
      </w:r>
      <w:r w:rsidR="004D7A2E">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646EE33E"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BD4C5D">
        <w:rPr>
          <w:rFonts w:ascii="Times New Roman" w:eastAsia="Times New Roman" w:hAnsi="Times New Roman"/>
          <w:bCs/>
          <w:sz w:val="20"/>
          <w:szCs w:val="20"/>
          <w:lang w:val="en-GB" w:eastAsia="zh-CN"/>
        </w:rPr>
        <w:t xml:space="preserve">aspects related to </w:t>
      </w:r>
      <w:r w:rsidR="00FF7401">
        <w:rPr>
          <w:rFonts w:ascii="Times New Roman" w:eastAsia="Times New Roman" w:hAnsi="Times New Roman"/>
          <w:bCs/>
          <w:sz w:val="20"/>
          <w:szCs w:val="20"/>
          <w:lang w:val="en-GB" w:eastAsia="zh-CN"/>
        </w:rPr>
        <w:t>carrier (re)selection</w:t>
      </w:r>
      <w:r w:rsidR="00BD4C5D">
        <w:rPr>
          <w:rFonts w:ascii="Times New Roman" w:eastAsia="Times New Roman" w:hAnsi="Times New Roman"/>
          <w:bCs/>
          <w:sz w:val="20"/>
          <w:szCs w:val="20"/>
          <w:lang w:val="en-GB" w:eastAsia="zh-CN"/>
        </w:rPr>
        <w:t xml:space="preserve"> over sidelink and makes the following proposals</w:t>
      </w:r>
      <w:r w:rsidR="00777344">
        <w:rPr>
          <w:rFonts w:ascii="Times New Roman" w:eastAsia="Times New Roman" w:hAnsi="Times New Roman"/>
          <w:bCs/>
          <w:sz w:val="20"/>
          <w:szCs w:val="20"/>
          <w:lang w:val="en-GB" w:eastAsia="zh-CN"/>
        </w:rPr>
        <w:t>:</w:t>
      </w:r>
    </w:p>
    <w:p w14:paraId="1EC021FB" w14:textId="77777777" w:rsidR="00FF7401" w:rsidRPr="004D7A2E" w:rsidRDefault="00FF7401" w:rsidP="00FF740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 CBR threshold (per carrier) should be defined as the Rel-15 parameter to allow or prohibit selection of any given carrier during carrier selection.</w:t>
      </w:r>
    </w:p>
    <w:p w14:paraId="4BE454A1" w14:textId="77777777" w:rsidR="00FF7401" w:rsidRPr="004D7A2E" w:rsidRDefault="00FF7401" w:rsidP="00FF740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 timer shall be configured to prevent the UE from frequently switching between different carriers based on configured CBR thresholds.</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46D1EC56" w14:textId="77777777" w:rsidR="00FF7401"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FF7401" w14:paraId="1AA6AEE9" w14:textId="77777777">
                <w:trPr>
                  <w:divId w:val="990136260"/>
                  <w:tblCellSpacing w:w="15" w:type="dxa"/>
                </w:trPr>
                <w:tc>
                  <w:tcPr>
                    <w:tcW w:w="50" w:type="pct"/>
                    <w:hideMark/>
                  </w:tcPr>
                  <w:p w14:paraId="4F8EBC1D" w14:textId="77777777" w:rsidR="00FF7401" w:rsidRDefault="00FF7401">
                    <w:pPr>
                      <w:pStyle w:val="Bibliography"/>
                      <w:rPr>
                        <w:noProof/>
                        <w:sz w:val="24"/>
                        <w:szCs w:val="24"/>
                      </w:rPr>
                    </w:pPr>
                    <w:r>
                      <w:rPr>
                        <w:noProof/>
                      </w:rPr>
                      <w:t xml:space="preserve">[1] </w:t>
                    </w:r>
                  </w:p>
                </w:tc>
                <w:tc>
                  <w:tcPr>
                    <w:tcW w:w="0" w:type="auto"/>
                    <w:hideMark/>
                  </w:tcPr>
                  <w:p w14:paraId="31D3851E" w14:textId="77777777" w:rsidR="00FF7401" w:rsidRDefault="00FF7401">
                    <w:pPr>
                      <w:pStyle w:val="Bibliography"/>
                      <w:rPr>
                        <w:noProof/>
                      </w:rPr>
                    </w:pPr>
                    <w:r>
                      <w:rPr>
                        <w:noProof/>
                      </w:rPr>
                      <w:t xml:space="preserve">"RAN2#101, Chairman Notes". </w:t>
                    </w:r>
                  </w:p>
                </w:tc>
              </w:tr>
              <w:tr w:rsidR="00FF7401" w14:paraId="3662D249" w14:textId="77777777">
                <w:trPr>
                  <w:divId w:val="990136260"/>
                  <w:tblCellSpacing w:w="15" w:type="dxa"/>
                </w:trPr>
                <w:tc>
                  <w:tcPr>
                    <w:tcW w:w="50" w:type="pct"/>
                    <w:hideMark/>
                  </w:tcPr>
                  <w:p w14:paraId="0790E06A" w14:textId="77777777" w:rsidR="00FF7401" w:rsidRDefault="00FF7401">
                    <w:pPr>
                      <w:pStyle w:val="Bibliography"/>
                      <w:rPr>
                        <w:noProof/>
                      </w:rPr>
                    </w:pPr>
                    <w:r>
                      <w:rPr>
                        <w:noProof/>
                      </w:rPr>
                      <w:t xml:space="preserve">[2] </w:t>
                    </w:r>
                  </w:p>
                </w:tc>
                <w:tc>
                  <w:tcPr>
                    <w:tcW w:w="0" w:type="auto"/>
                    <w:hideMark/>
                  </w:tcPr>
                  <w:p w14:paraId="5BFDE5B9" w14:textId="77777777" w:rsidR="00FF7401" w:rsidRDefault="00FF7401">
                    <w:pPr>
                      <w:pStyle w:val="Bibliography"/>
                      <w:rPr>
                        <w:noProof/>
                      </w:rPr>
                    </w:pPr>
                    <w:r>
                      <w:rPr>
                        <w:noProof/>
                      </w:rPr>
                      <w:t xml:space="preserve">"R2-1801901, Discussion on the Tx carrier selection, Huawei, HiSilicon". </w:t>
                    </w:r>
                  </w:p>
                </w:tc>
              </w:tr>
              <w:tr w:rsidR="00FF7401" w14:paraId="27CBF65D" w14:textId="77777777">
                <w:trPr>
                  <w:divId w:val="990136260"/>
                  <w:tblCellSpacing w:w="15" w:type="dxa"/>
                </w:trPr>
                <w:tc>
                  <w:tcPr>
                    <w:tcW w:w="50" w:type="pct"/>
                    <w:hideMark/>
                  </w:tcPr>
                  <w:p w14:paraId="0829F977" w14:textId="77777777" w:rsidR="00FF7401" w:rsidRDefault="00FF7401">
                    <w:pPr>
                      <w:pStyle w:val="Bibliography"/>
                      <w:rPr>
                        <w:noProof/>
                      </w:rPr>
                    </w:pPr>
                    <w:r>
                      <w:rPr>
                        <w:noProof/>
                      </w:rPr>
                      <w:t xml:space="preserve">[3] </w:t>
                    </w:r>
                  </w:p>
                </w:tc>
                <w:tc>
                  <w:tcPr>
                    <w:tcW w:w="0" w:type="auto"/>
                    <w:hideMark/>
                  </w:tcPr>
                  <w:p w14:paraId="4D53ED85" w14:textId="77777777" w:rsidR="00FF7401" w:rsidRDefault="00FF7401">
                    <w:pPr>
                      <w:pStyle w:val="Bibliography"/>
                      <w:rPr>
                        <w:noProof/>
                      </w:rPr>
                    </w:pPr>
                    <w:r>
                      <w:rPr>
                        <w:noProof/>
                      </w:rPr>
                      <w:t xml:space="preserve">"R2-180xxx, Summary of [101#75][eV2x] Additional carrier reselection triggering, Qualcomm". </w:t>
                    </w:r>
                  </w:p>
                </w:tc>
              </w:tr>
            </w:tbl>
            <w:p w14:paraId="56B7089A" w14:textId="77777777" w:rsidR="00FF7401" w:rsidRDefault="00FF7401">
              <w:pPr>
                <w:divId w:val="990136260"/>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B36E9E" w:rsidRDefault="00B36E9E">
      <w:pPr>
        <w:spacing w:after="0" w:line="240" w:lineRule="auto"/>
      </w:pPr>
      <w:r>
        <w:separator/>
      </w:r>
    </w:p>
  </w:endnote>
  <w:endnote w:type="continuationSeparator" w:id="0">
    <w:p w14:paraId="50A28EF3" w14:textId="77777777" w:rsidR="00B36E9E" w:rsidRDefault="00B36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B36E9E" w:rsidRDefault="00B36E9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42CC">
      <w:rPr>
        <w:rFonts w:ascii="Arial" w:hAnsi="Arial" w:cs="Arial"/>
        <w:b/>
        <w:noProof/>
        <w:sz w:val="18"/>
        <w:szCs w:val="18"/>
      </w:rPr>
      <w:t>1</w:t>
    </w:r>
    <w:r>
      <w:rPr>
        <w:rFonts w:ascii="Arial" w:hAnsi="Arial" w:cs="Arial"/>
        <w:b/>
        <w:sz w:val="18"/>
        <w:szCs w:val="18"/>
      </w:rPr>
      <w:fldChar w:fldCharType="end"/>
    </w:r>
  </w:p>
  <w:p w14:paraId="50A28EF5" w14:textId="77777777" w:rsidR="00B36E9E" w:rsidRDefault="00B36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B36E9E" w:rsidRDefault="00B36E9E">
      <w:pPr>
        <w:spacing w:after="0" w:line="240" w:lineRule="auto"/>
      </w:pPr>
      <w:r>
        <w:separator/>
      </w:r>
    </w:p>
  </w:footnote>
  <w:footnote w:type="continuationSeparator" w:id="0">
    <w:p w14:paraId="50A28EF1" w14:textId="77777777" w:rsidR="00B36E9E" w:rsidRDefault="00B36E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63F17"/>
    <w:multiLevelType w:val="hybridMultilevel"/>
    <w:tmpl w:val="20548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F6A7D9C"/>
    <w:multiLevelType w:val="hybridMultilevel"/>
    <w:tmpl w:val="8E3C37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5"/>
  </w:num>
  <w:num w:numId="3">
    <w:abstractNumId w:val="13"/>
  </w:num>
  <w:num w:numId="4">
    <w:abstractNumId w:val="12"/>
  </w:num>
  <w:num w:numId="5">
    <w:abstractNumId w:val="3"/>
    <w:lvlOverride w:ilvl="0">
      <w:startOverride w:val="1"/>
    </w:lvlOverride>
  </w:num>
  <w:num w:numId="6">
    <w:abstractNumId w:val="5"/>
    <w:lvlOverride w:ilvl="0">
      <w:startOverride w:val="2"/>
    </w:lvlOverride>
  </w:num>
  <w:num w:numId="7">
    <w:abstractNumId w:val="20"/>
  </w:num>
  <w:num w:numId="8">
    <w:abstractNumId w:val="8"/>
  </w:num>
  <w:num w:numId="9">
    <w:abstractNumId w:val="6"/>
  </w:num>
  <w:num w:numId="10">
    <w:abstractNumId w:val="16"/>
  </w:num>
  <w:num w:numId="11">
    <w:abstractNumId w:val="22"/>
  </w:num>
  <w:num w:numId="12">
    <w:abstractNumId w:val="4"/>
  </w:num>
  <w:num w:numId="13">
    <w:abstractNumId w:val="7"/>
  </w:num>
  <w:num w:numId="14">
    <w:abstractNumId w:val="1"/>
  </w:num>
  <w:num w:numId="15">
    <w:abstractNumId w:val="2"/>
  </w:num>
  <w:num w:numId="16">
    <w:abstractNumId w:val="11"/>
  </w:num>
  <w:num w:numId="17">
    <w:abstractNumId w:val="19"/>
  </w:num>
  <w:num w:numId="18">
    <w:abstractNumId w:val="9"/>
  </w:num>
  <w:num w:numId="19">
    <w:abstractNumId w:val="17"/>
  </w:num>
  <w:num w:numId="20">
    <w:abstractNumId w:val="0"/>
  </w:num>
  <w:num w:numId="21">
    <w:abstractNumId w:val="21"/>
  </w:num>
  <w:num w:numId="22">
    <w:abstractNumId w:val="1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53B8A"/>
    <w:rsid w:val="000632AE"/>
    <w:rsid w:val="00065F97"/>
    <w:rsid w:val="00066057"/>
    <w:rsid w:val="00071BD0"/>
    <w:rsid w:val="000760CC"/>
    <w:rsid w:val="0007638E"/>
    <w:rsid w:val="00077473"/>
    <w:rsid w:val="00081766"/>
    <w:rsid w:val="0008197A"/>
    <w:rsid w:val="00096596"/>
    <w:rsid w:val="000A09E6"/>
    <w:rsid w:val="000A7E1C"/>
    <w:rsid w:val="000D0A95"/>
    <w:rsid w:val="000E4761"/>
    <w:rsid w:val="000E493C"/>
    <w:rsid w:val="000F1C37"/>
    <w:rsid w:val="000F54CA"/>
    <w:rsid w:val="00100001"/>
    <w:rsid w:val="00111236"/>
    <w:rsid w:val="0011610B"/>
    <w:rsid w:val="00120B9E"/>
    <w:rsid w:val="00143F5D"/>
    <w:rsid w:val="00144CD4"/>
    <w:rsid w:val="00147C5C"/>
    <w:rsid w:val="00151E30"/>
    <w:rsid w:val="00154CC9"/>
    <w:rsid w:val="00160710"/>
    <w:rsid w:val="0016207C"/>
    <w:rsid w:val="0016488C"/>
    <w:rsid w:val="00171180"/>
    <w:rsid w:val="00175B7F"/>
    <w:rsid w:val="00175DCB"/>
    <w:rsid w:val="00195430"/>
    <w:rsid w:val="00197B45"/>
    <w:rsid w:val="001A793C"/>
    <w:rsid w:val="001B7098"/>
    <w:rsid w:val="001C137C"/>
    <w:rsid w:val="001C6E8B"/>
    <w:rsid w:val="001D28A0"/>
    <w:rsid w:val="001E221E"/>
    <w:rsid w:val="001E54F9"/>
    <w:rsid w:val="0020567B"/>
    <w:rsid w:val="0020671E"/>
    <w:rsid w:val="00225341"/>
    <w:rsid w:val="002403B8"/>
    <w:rsid w:val="0024165F"/>
    <w:rsid w:val="00253F58"/>
    <w:rsid w:val="00255F2A"/>
    <w:rsid w:val="00260222"/>
    <w:rsid w:val="00263354"/>
    <w:rsid w:val="00265EF0"/>
    <w:rsid w:val="00274F99"/>
    <w:rsid w:val="00276574"/>
    <w:rsid w:val="002769B9"/>
    <w:rsid w:val="00281DB7"/>
    <w:rsid w:val="00282D3F"/>
    <w:rsid w:val="00283FDE"/>
    <w:rsid w:val="00286053"/>
    <w:rsid w:val="00291433"/>
    <w:rsid w:val="00291DB2"/>
    <w:rsid w:val="00293F66"/>
    <w:rsid w:val="0029495D"/>
    <w:rsid w:val="002A5F0F"/>
    <w:rsid w:val="002A78E6"/>
    <w:rsid w:val="002B17B0"/>
    <w:rsid w:val="002B2F0A"/>
    <w:rsid w:val="002F04F8"/>
    <w:rsid w:val="002F153B"/>
    <w:rsid w:val="002F432E"/>
    <w:rsid w:val="00330823"/>
    <w:rsid w:val="00332463"/>
    <w:rsid w:val="00332851"/>
    <w:rsid w:val="00336D1D"/>
    <w:rsid w:val="003379D6"/>
    <w:rsid w:val="00337A0E"/>
    <w:rsid w:val="00345654"/>
    <w:rsid w:val="0035278E"/>
    <w:rsid w:val="00361EF9"/>
    <w:rsid w:val="003848A3"/>
    <w:rsid w:val="00384CB8"/>
    <w:rsid w:val="00385E3E"/>
    <w:rsid w:val="00396B24"/>
    <w:rsid w:val="003A766F"/>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38AD"/>
    <w:rsid w:val="004A45E2"/>
    <w:rsid w:val="004A5FC6"/>
    <w:rsid w:val="004B2F1A"/>
    <w:rsid w:val="004C546C"/>
    <w:rsid w:val="004D44CA"/>
    <w:rsid w:val="004D6C2B"/>
    <w:rsid w:val="004D7A2E"/>
    <w:rsid w:val="004E2339"/>
    <w:rsid w:val="004E3975"/>
    <w:rsid w:val="004E3ED3"/>
    <w:rsid w:val="005067A7"/>
    <w:rsid w:val="00511AF4"/>
    <w:rsid w:val="0051392C"/>
    <w:rsid w:val="005214C0"/>
    <w:rsid w:val="005231DC"/>
    <w:rsid w:val="00523734"/>
    <w:rsid w:val="005279F9"/>
    <w:rsid w:val="0055379C"/>
    <w:rsid w:val="00555440"/>
    <w:rsid w:val="0055706A"/>
    <w:rsid w:val="00557402"/>
    <w:rsid w:val="00593190"/>
    <w:rsid w:val="005942BF"/>
    <w:rsid w:val="00597FD5"/>
    <w:rsid w:val="005A4656"/>
    <w:rsid w:val="005A7CEA"/>
    <w:rsid w:val="005C158A"/>
    <w:rsid w:val="005C3DFF"/>
    <w:rsid w:val="005E3E1B"/>
    <w:rsid w:val="005E4E14"/>
    <w:rsid w:val="005F30EF"/>
    <w:rsid w:val="00625D8E"/>
    <w:rsid w:val="00627647"/>
    <w:rsid w:val="00633024"/>
    <w:rsid w:val="00661C20"/>
    <w:rsid w:val="00667231"/>
    <w:rsid w:val="006720DF"/>
    <w:rsid w:val="00673EBD"/>
    <w:rsid w:val="00696FDC"/>
    <w:rsid w:val="006A27E5"/>
    <w:rsid w:val="006A65D5"/>
    <w:rsid w:val="006C65A8"/>
    <w:rsid w:val="006D0058"/>
    <w:rsid w:val="006D512C"/>
    <w:rsid w:val="006D7CC2"/>
    <w:rsid w:val="006E0F37"/>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9CD"/>
    <w:rsid w:val="007B7DD5"/>
    <w:rsid w:val="007C3A70"/>
    <w:rsid w:val="007D042C"/>
    <w:rsid w:val="007D05E3"/>
    <w:rsid w:val="007D32DD"/>
    <w:rsid w:val="00813FBF"/>
    <w:rsid w:val="00827742"/>
    <w:rsid w:val="00833E79"/>
    <w:rsid w:val="00835599"/>
    <w:rsid w:val="008418C6"/>
    <w:rsid w:val="008514B4"/>
    <w:rsid w:val="00861C7A"/>
    <w:rsid w:val="008669B1"/>
    <w:rsid w:val="00875F14"/>
    <w:rsid w:val="008775ED"/>
    <w:rsid w:val="00883EF2"/>
    <w:rsid w:val="008848AB"/>
    <w:rsid w:val="00886353"/>
    <w:rsid w:val="008878EB"/>
    <w:rsid w:val="00897CC2"/>
    <w:rsid w:val="008A1604"/>
    <w:rsid w:val="008A3B9F"/>
    <w:rsid w:val="008A3EC6"/>
    <w:rsid w:val="008B0017"/>
    <w:rsid w:val="008B7DB0"/>
    <w:rsid w:val="008C0567"/>
    <w:rsid w:val="008C6004"/>
    <w:rsid w:val="008D2846"/>
    <w:rsid w:val="008E03BE"/>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5BAB"/>
    <w:rsid w:val="009E6ED4"/>
    <w:rsid w:val="009E7171"/>
    <w:rsid w:val="009F06CB"/>
    <w:rsid w:val="009F731B"/>
    <w:rsid w:val="009F758B"/>
    <w:rsid w:val="00A21ECC"/>
    <w:rsid w:val="00A3157F"/>
    <w:rsid w:val="00A35BD3"/>
    <w:rsid w:val="00A36CCD"/>
    <w:rsid w:val="00A44954"/>
    <w:rsid w:val="00A45F0D"/>
    <w:rsid w:val="00A5035B"/>
    <w:rsid w:val="00A53711"/>
    <w:rsid w:val="00A601C3"/>
    <w:rsid w:val="00A63B12"/>
    <w:rsid w:val="00A824AF"/>
    <w:rsid w:val="00A83DE0"/>
    <w:rsid w:val="00A86A88"/>
    <w:rsid w:val="00A92667"/>
    <w:rsid w:val="00AB388C"/>
    <w:rsid w:val="00AC4F72"/>
    <w:rsid w:val="00AC64FC"/>
    <w:rsid w:val="00AD20FE"/>
    <w:rsid w:val="00AE0A3D"/>
    <w:rsid w:val="00AE13FE"/>
    <w:rsid w:val="00AE5BAD"/>
    <w:rsid w:val="00AF256D"/>
    <w:rsid w:val="00B019D2"/>
    <w:rsid w:val="00B14023"/>
    <w:rsid w:val="00B20B32"/>
    <w:rsid w:val="00B329F9"/>
    <w:rsid w:val="00B36E9E"/>
    <w:rsid w:val="00B438F2"/>
    <w:rsid w:val="00B45EDF"/>
    <w:rsid w:val="00B70F01"/>
    <w:rsid w:val="00B737FF"/>
    <w:rsid w:val="00B74D9C"/>
    <w:rsid w:val="00B76EA2"/>
    <w:rsid w:val="00B810AC"/>
    <w:rsid w:val="00B9000F"/>
    <w:rsid w:val="00B91D6D"/>
    <w:rsid w:val="00B92FEE"/>
    <w:rsid w:val="00B9460B"/>
    <w:rsid w:val="00BA2CEB"/>
    <w:rsid w:val="00BB7B6E"/>
    <w:rsid w:val="00BD4C5D"/>
    <w:rsid w:val="00BD4D14"/>
    <w:rsid w:val="00BE0DBD"/>
    <w:rsid w:val="00BE6D20"/>
    <w:rsid w:val="00BF78E3"/>
    <w:rsid w:val="00C10CE1"/>
    <w:rsid w:val="00C27475"/>
    <w:rsid w:val="00C348A8"/>
    <w:rsid w:val="00C47BFB"/>
    <w:rsid w:val="00C641CB"/>
    <w:rsid w:val="00C65B7C"/>
    <w:rsid w:val="00C667DF"/>
    <w:rsid w:val="00C67B49"/>
    <w:rsid w:val="00C73BA9"/>
    <w:rsid w:val="00C8595C"/>
    <w:rsid w:val="00C90D45"/>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42CC"/>
    <w:rsid w:val="00D4639F"/>
    <w:rsid w:val="00D65AAE"/>
    <w:rsid w:val="00D70FEC"/>
    <w:rsid w:val="00D74365"/>
    <w:rsid w:val="00D75EC2"/>
    <w:rsid w:val="00D75FE1"/>
    <w:rsid w:val="00D80BD1"/>
    <w:rsid w:val="00D94525"/>
    <w:rsid w:val="00DA2C5B"/>
    <w:rsid w:val="00DC00B2"/>
    <w:rsid w:val="00DC299B"/>
    <w:rsid w:val="00DD532A"/>
    <w:rsid w:val="00DE207A"/>
    <w:rsid w:val="00DE45F9"/>
    <w:rsid w:val="00DF07FB"/>
    <w:rsid w:val="00DF106B"/>
    <w:rsid w:val="00DF2222"/>
    <w:rsid w:val="00DF25A3"/>
    <w:rsid w:val="00E0063E"/>
    <w:rsid w:val="00E01E30"/>
    <w:rsid w:val="00E10C75"/>
    <w:rsid w:val="00E13016"/>
    <w:rsid w:val="00E14C3C"/>
    <w:rsid w:val="00E267E6"/>
    <w:rsid w:val="00E31E41"/>
    <w:rsid w:val="00E32368"/>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B0968"/>
    <w:rsid w:val="00EC1C57"/>
    <w:rsid w:val="00EC7E0A"/>
    <w:rsid w:val="00ED00AF"/>
    <w:rsid w:val="00ED7949"/>
    <w:rsid w:val="00EE3B7D"/>
    <w:rsid w:val="00EF7293"/>
    <w:rsid w:val="00F0671D"/>
    <w:rsid w:val="00F14233"/>
    <w:rsid w:val="00F16547"/>
    <w:rsid w:val="00F16840"/>
    <w:rsid w:val="00F20B33"/>
    <w:rsid w:val="00F2103E"/>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DC9"/>
    <w:rsid w:val="00FB08ED"/>
    <w:rsid w:val="00FC16BC"/>
    <w:rsid w:val="00FC2DCE"/>
    <w:rsid w:val="00FC2EDB"/>
    <w:rsid w:val="00FD039C"/>
    <w:rsid w:val="00FF04BC"/>
    <w:rsid w:val="00FF13DA"/>
    <w:rsid w:val="00FF23F1"/>
    <w:rsid w:val="00FF4BF7"/>
    <w:rsid w:val="00FF60E1"/>
    <w:rsid w:val="00FF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46232374">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600676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2631019">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09011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0136260">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99896645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6823304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5439722">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18080010">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4708000">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4468137">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1</b:RefOrder>
  </b:Source>
  <b:Source>
    <b:Tag>HWCBRthreshold</b:Tag>
    <b:SourceType>ConferenceProceedings</b:SourceType>
    <b:Guid>{9A4F770D-A3E9-42FD-9DFB-98CB2FBC296A}</b:Guid>
    <b:Title>R2-1801901, Discussion on the Tx carrier selection, Huawei, HiSilicon</b:Title>
    <b:RefOrder>2</b:RefOrder>
  </b:Source>
  <b:Source>
    <b:Tag>carrierReselectionQC</b:Tag>
    <b:SourceType>ConferenceProceedings</b:SourceType>
    <b:Guid>{F6FCB3E2-60DA-4DF8-96BB-E65E1EBDF066}</b:Guid>
    <b:Title>R2-180xxx, Summary of [101#75][eV2x] Additional carrier reselection triggering, Qualcomm</b:Title>
    <b:RefOrder>3</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1525E6A0-9A32-4CF3-960C-4294C953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2151</TotalTime>
  <Pages>1</Pages>
  <Words>1371</Words>
  <Characters>6965</Characters>
  <Application>Microsoft Office Word</Application>
  <DocSecurity>0</DocSecurity>
  <Lines>108</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240</cp:revision>
  <dcterms:created xsi:type="dcterms:W3CDTF">2017-08-12T02:26:00Z</dcterms:created>
  <dcterms:modified xsi:type="dcterms:W3CDTF">2018-04-06T02:18:00Z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2018-04-06 02:18:51Z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