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714D55">
        <w:rPr>
          <w:rFonts w:cs="Arial" w:hint="eastAsia"/>
          <w:lang w:eastAsia="ja-JP"/>
        </w:rPr>
        <w:t>101bis</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392BA1">
        <w:rPr>
          <w:rFonts w:cs="Arial"/>
          <w:lang w:eastAsia="ja-JP"/>
        </w:rPr>
        <w:t>8</w:t>
      </w:r>
      <w:r w:rsidR="00E02C97">
        <w:rPr>
          <w:rFonts w:cs="Arial"/>
          <w:lang w:eastAsia="ja-JP"/>
        </w:rPr>
        <w:t>0</w:t>
      </w:r>
      <w:r w:rsidR="002703F9">
        <w:rPr>
          <w:rFonts w:cs="Arial"/>
          <w:lang w:eastAsia="ja-JP"/>
        </w:rPr>
        <w:t>5000</w:t>
      </w:r>
    </w:p>
    <w:p w:rsidR="00DB7D65" w:rsidRPr="00863065" w:rsidRDefault="00714D55" w:rsidP="00156F86">
      <w:pPr>
        <w:pStyle w:val="af6"/>
        <w:tabs>
          <w:tab w:val="left" w:pos="709"/>
          <w:tab w:val="right" w:pos="9639"/>
        </w:tabs>
        <w:spacing w:after="0"/>
        <w:jc w:val="left"/>
        <w:rPr>
          <w:rFonts w:cs="Arial"/>
          <w:lang w:val="en-US" w:eastAsia="ja-JP"/>
        </w:rPr>
      </w:pPr>
      <w:r>
        <w:rPr>
          <w:rFonts w:cs="Arial"/>
          <w:lang w:val="en-US" w:eastAsia="ja-JP"/>
        </w:rPr>
        <w:t>16</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20</w:t>
      </w:r>
      <w:r w:rsidR="006C777E">
        <w:rPr>
          <w:rFonts w:cs="Arial" w:hint="eastAsia"/>
          <w:vertAlign w:val="superscript"/>
          <w:lang w:val="en-US" w:eastAsia="ja-JP"/>
        </w:rPr>
        <w:t>th</w:t>
      </w:r>
      <w:r w:rsidR="006C777E" w:rsidRPr="00802E96">
        <w:rPr>
          <w:rFonts w:cs="Arial"/>
          <w:lang w:val="en-US" w:eastAsia="ja-JP"/>
        </w:rPr>
        <w:t xml:space="preserve"> </w:t>
      </w:r>
      <w:r>
        <w:rPr>
          <w:rFonts w:cs="Arial" w:hint="eastAsia"/>
          <w:lang w:val="en-US" w:eastAsia="ja-JP"/>
        </w:rPr>
        <w:t>April</w:t>
      </w:r>
      <w:r w:rsidR="006C777E" w:rsidRPr="00802E96">
        <w:rPr>
          <w:rFonts w:cs="Arial"/>
          <w:lang w:val="en-US" w:eastAsia="ja-JP"/>
        </w:rPr>
        <w:t xml:space="preserve"> 20</w:t>
      </w:r>
      <w:r w:rsidR="007623DC">
        <w:rPr>
          <w:rFonts w:cs="Arial" w:hint="eastAsia"/>
          <w:lang w:val="en-US" w:eastAsia="ja-JP"/>
        </w:rPr>
        <w:t>1</w:t>
      </w:r>
      <w:r w:rsidR="00392BA1">
        <w:rPr>
          <w:rFonts w:cs="Arial"/>
          <w:lang w:val="en-US" w:eastAsia="ja-JP"/>
        </w:rPr>
        <w:t>8</w:t>
      </w:r>
    </w:p>
    <w:p w:rsidR="00DB7D65" w:rsidRPr="00863065" w:rsidRDefault="00714D55"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Sanya</w:t>
      </w:r>
      <w:r w:rsidR="00947941" w:rsidRPr="00863065">
        <w:rPr>
          <w:rFonts w:cs="Arial"/>
          <w:lang w:val="en-US" w:eastAsia="ja-JP"/>
        </w:rPr>
        <w:t xml:space="preserve">, </w:t>
      </w:r>
      <w:r>
        <w:rPr>
          <w:rFonts w:cs="Arial" w:hint="eastAsia"/>
          <w:lang w:val="en-US" w:eastAsia="ja-JP"/>
        </w:rPr>
        <w:t>China</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8C59A1">
        <w:rPr>
          <w:rFonts w:ascii="Arial" w:hAnsi="Arial" w:cs="Arial"/>
          <w:b/>
          <w:sz w:val="24"/>
        </w:rPr>
        <w:t>Analysis of UE capability signalling size</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C546BD">
        <w:rPr>
          <w:rFonts w:ascii="Arial" w:hAnsi="Arial" w:cs="Arial"/>
          <w:b/>
          <w:sz w:val="24"/>
          <w:lang w:eastAsia="ja-JP"/>
        </w:rPr>
        <w:t>10.4.4.2</w:t>
      </w:r>
      <w:r w:rsidR="00C546BD">
        <w:rPr>
          <w:rFonts w:ascii="Arial" w:hAnsi="Arial" w:cs="Arial"/>
          <w:b/>
          <w:sz w:val="24"/>
          <w:lang w:eastAsia="ja-JP"/>
        </w:rPr>
        <w:tab/>
      </w:r>
      <w:r w:rsidR="00C546BD" w:rsidRPr="00C546BD">
        <w:rPr>
          <w:rFonts w:ascii="Arial" w:hAnsi="Arial" w:cs="Arial"/>
          <w:b/>
          <w:sz w:val="24"/>
          <w:lang w:eastAsia="ja-JP"/>
        </w:rPr>
        <w:t>Corrections to UE capabilities for EN DC</w:t>
      </w:r>
    </w:p>
    <w:p w:rsidR="009F1C34" w:rsidRDefault="009479FA" w:rsidP="00BD7EED">
      <w:pPr>
        <w:pStyle w:val="2"/>
        <w:numPr>
          <w:ilvl w:val="0"/>
          <w:numId w:val="1"/>
        </w:numPr>
        <w:rPr>
          <w:rFonts w:cs="Arial"/>
          <w:lang w:eastAsia="ja-JP"/>
        </w:rPr>
      </w:pPr>
      <w:r w:rsidRPr="00863065">
        <w:rPr>
          <w:rFonts w:cs="Arial"/>
          <w:lang w:eastAsia="ja-JP"/>
        </w:rPr>
        <w:t>Introduction</w:t>
      </w:r>
    </w:p>
    <w:p w:rsidR="004371C9" w:rsidRDefault="00194347" w:rsidP="004371C9">
      <w:pPr>
        <w:rPr>
          <w:lang w:eastAsia="ja-JP"/>
        </w:rPr>
      </w:pPr>
      <w:r>
        <w:rPr>
          <w:rFonts w:hint="eastAsia"/>
          <w:lang w:eastAsia="ja-JP"/>
        </w:rPr>
        <w:t xml:space="preserve">At RAN2 #101, some potential pitfalls of BPC were raised in [1, 2]. </w:t>
      </w:r>
      <w:r>
        <w:rPr>
          <w:lang w:eastAsia="ja-JP"/>
        </w:rPr>
        <w:t>To iron out the issues to some extent, RAN2 mead the following agreements.</w:t>
      </w:r>
    </w:p>
    <w:p w:rsidR="00194347" w:rsidRPr="006A6DCB" w:rsidRDefault="00946602" w:rsidP="00946602">
      <w:pPr>
        <w:pStyle w:val="B1"/>
        <w:rPr>
          <w:i/>
        </w:rPr>
      </w:pPr>
      <w:r w:rsidRPr="006A6DCB">
        <w:rPr>
          <w:rFonts w:hint="eastAsia"/>
          <w:i/>
        </w:rPr>
        <w:t>1.</w:t>
      </w:r>
      <w:r w:rsidRPr="006A6DCB">
        <w:rPr>
          <w:rFonts w:hint="eastAsia"/>
          <w:i/>
        </w:rPr>
        <w:tab/>
      </w:r>
      <w:r w:rsidRPr="006A6DCB">
        <w:rPr>
          <w:i/>
        </w:rPr>
        <w:t>Implement RAN1/RAN4 type 3 parameters into the “BPC” structure (the exact name can be changed in the next meeting).</w:t>
      </w:r>
    </w:p>
    <w:p w:rsidR="00946602" w:rsidRPr="006A6DCB" w:rsidRDefault="00946602" w:rsidP="00946602">
      <w:pPr>
        <w:pStyle w:val="B1"/>
        <w:rPr>
          <w:i/>
        </w:rPr>
      </w:pPr>
      <w:r w:rsidRPr="006A6DCB">
        <w:rPr>
          <w:i/>
        </w:rPr>
        <w:t>2.</w:t>
      </w:r>
      <w:r w:rsidRPr="006A6DCB">
        <w:rPr>
          <w:i/>
        </w:rPr>
        <w:tab/>
        <w:t>There shall be explicit linking from the RF band combinations to this structure. The relationship is many to many.  In ASN.1, include a set of BPC indices, in each RF band combination.</w:t>
      </w:r>
    </w:p>
    <w:p w:rsidR="007816A4" w:rsidRPr="004371C9" w:rsidRDefault="00FC3ED0" w:rsidP="004371C9">
      <w:pPr>
        <w:rPr>
          <w:lang w:eastAsia="ja-JP"/>
        </w:rPr>
      </w:pPr>
      <w:r>
        <w:rPr>
          <w:rFonts w:hint="eastAsia"/>
          <w:lang w:eastAsia="ja-JP"/>
        </w:rPr>
        <w:t xml:space="preserve">Capability signalling was implemented according to these agreements as in v15.1.0 of TS 38.331. </w:t>
      </w:r>
      <w:r>
        <w:rPr>
          <w:lang w:eastAsia="ja-JP"/>
        </w:rPr>
        <w:t xml:space="preserve">An email discussion took place after the #101 meeting to progress the capability structure for further [101#41]. </w:t>
      </w:r>
      <w:r w:rsidR="007816A4">
        <w:rPr>
          <w:lang w:eastAsia="ja-JP"/>
        </w:rPr>
        <w:t>During the email discussion, an alternative approach to BPC, so called “feature set” was discussed together with its ASN.1 example. This paper analyses the UE capability signalling size for the feature set approach and BPC based on v15.1.0 of TS 38.331, which was circulated to the reflector as well.</w:t>
      </w:r>
    </w:p>
    <w:p w:rsidR="005852CD" w:rsidRDefault="00C30470" w:rsidP="00C30470">
      <w:pPr>
        <w:pStyle w:val="2"/>
        <w:numPr>
          <w:ilvl w:val="0"/>
          <w:numId w:val="2"/>
        </w:numPr>
        <w:rPr>
          <w:lang w:eastAsia="ja-JP"/>
        </w:rPr>
      </w:pPr>
      <w:r>
        <w:rPr>
          <w:rFonts w:hint="eastAsia"/>
          <w:lang w:eastAsia="ja-JP"/>
        </w:rPr>
        <w:t>Discussion</w:t>
      </w:r>
    </w:p>
    <w:p w:rsidR="004371C9" w:rsidRDefault="008D17CC" w:rsidP="004371C9">
      <w:pPr>
        <w:rPr>
          <w:lang w:eastAsia="ja-JP"/>
        </w:rPr>
      </w:pPr>
      <w:r>
        <w:rPr>
          <w:rFonts w:hint="eastAsia"/>
          <w:lang w:eastAsia="ja-JP"/>
        </w:rPr>
        <w:t xml:space="preserve">The </w:t>
      </w:r>
      <w:r>
        <w:rPr>
          <w:lang w:eastAsia="ja-JP"/>
        </w:rPr>
        <w:t>following options are analysed in this paper.</w:t>
      </w:r>
    </w:p>
    <w:p w:rsidR="008D17CC" w:rsidRDefault="008D17CC" w:rsidP="008D17CC">
      <w:pPr>
        <w:pStyle w:val="B1"/>
      </w:pPr>
      <w:r>
        <w:rPr>
          <w:rFonts w:hint="eastAsia"/>
        </w:rPr>
        <w:t>1.</w:t>
      </w:r>
      <w:r>
        <w:rPr>
          <w:rFonts w:hint="eastAsia"/>
        </w:rPr>
        <w:tab/>
        <w:t>Feature set approach</w:t>
      </w:r>
      <w:r w:rsidR="004B265B">
        <w:t xml:space="preserve"> (based on the ASN.1 example provided during email discussion [101#41])</w:t>
      </w:r>
      <w:r>
        <w:rPr>
          <w:rFonts w:hint="eastAsia"/>
        </w:rPr>
        <w:t>;</w:t>
      </w:r>
    </w:p>
    <w:p w:rsidR="008D17CC" w:rsidRDefault="008D17CC" w:rsidP="008D17CC">
      <w:pPr>
        <w:pStyle w:val="B1"/>
      </w:pPr>
      <w:r>
        <w:t>2.</w:t>
      </w:r>
      <w:r>
        <w:tab/>
        <w:t>BPC</w:t>
      </w:r>
      <w:r w:rsidR="004B265B">
        <w:t xml:space="preserve"> (as specified in v15.1.0 of TS 38.300)</w:t>
      </w:r>
      <w:r>
        <w:t>;</w:t>
      </w:r>
    </w:p>
    <w:p w:rsidR="008D17CC" w:rsidRDefault="008D17CC" w:rsidP="008D17CC">
      <w:pPr>
        <w:pStyle w:val="B1"/>
      </w:pPr>
      <w:r>
        <w:t>3.</w:t>
      </w:r>
      <w:r>
        <w:tab/>
        <w:t>Legacy BC approach (i.e. all type 3 capabilities are included into the band combination signalling with per-CC or per BC granularity).</w:t>
      </w:r>
    </w:p>
    <w:p w:rsidR="008D17CC" w:rsidRDefault="00400101" w:rsidP="004371C9">
      <w:pPr>
        <w:rPr>
          <w:lang w:eastAsia="ja-JP"/>
        </w:rPr>
      </w:pPr>
      <w:r>
        <w:rPr>
          <w:rFonts w:hint="eastAsia"/>
          <w:lang w:eastAsia="ja-JP"/>
        </w:rPr>
        <w:t xml:space="preserve">The legacy BC approach is emulated in v15.1.0 of ASN.1 by inserting </w:t>
      </w:r>
      <w:r>
        <w:rPr>
          <w:lang w:eastAsia="ja-JP"/>
        </w:rPr>
        <w:t>“</w:t>
      </w:r>
      <w:r w:rsidR="00C10B10">
        <w:rPr>
          <w:i/>
          <w:lang w:eastAsia="ja-JP"/>
        </w:rPr>
        <w:t>B</w:t>
      </w:r>
      <w:r w:rsidRPr="00400101">
        <w:rPr>
          <w:i/>
          <w:lang w:eastAsia="ja-JP"/>
        </w:rPr>
        <w:t>asebandParametersPerCC-DL/UL</w:t>
      </w:r>
      <w:r>
        <w:rPr>
          <w:lang w:eastAsia="ja-JP"/>
        </w:rPr>
        <w:t xml:space="preserve">” into </w:t>
      </w:r>
      <w:r w:rsidRPr="00400101">
        <w:rPr>
          <w:i/>
          <w:lang w:eastAsia="ja-JP"/>
        </w:rPr>
        <w:t>IntraBandContiguousCC-InfoDL/UL</w:t>
      </w:r>
      <w:r>
        <w:rPr>
          <w:lang w:eastAsia="ja-JP"/>
        </w:rPr>
        <w:t xml:space="preserve"> in the </w:t>
      </w:r>
      <w:r w:rsidRPr="00400101">
        <w:rPr>
          <w:i/>
          <w:lang w:eastAsia="ja-JP"/>
        </w:rPr>
        <w:t>BandCombination</w:t>
      </w:r>
      <w:r>
        <w:rPr>
          <w:lang w:eastAsia="ja-JP"/>
        </w:rPr>
        <w:t xml:space="preserve"> signalling. </w:t>
      </w:r>
      <w:r w:rsidR="00BA276D">
        <w:rPr>
          <w:lang w:eastAsia="ja-JP"/>
        </w:rPr>
        <w:t>The feature set approach is emulated by integrating the ASN.1 example into v15.1.0 of ASN.1.</w:t>
      </w:r>
    </w:p>
    <w:p w:rsidR="00BA276D" w:rsidRDefault="00BA276D" w:rsidP="004371C9">
      <w:pPr>
        <w:rPr>
          <w:lang w:eastAsia="ja-JP"/>
        </w:rPr>
      </w:pPr>
      <w:r>
        <w:rPr>
          <w:lang w:eastAsia="ja-JP"/>
        </w:rPr>
        <w:t xml:space="preserve">For ease of analysis, the signalling size is evaluated by calculating the entire </w:t>
      </w:r>
      <w:r w:rsidRPr="00BA276D">
        <w:rPr>
          <w:i/>
          <w:lang w:eastAsia="ja-JP"/>
        </w:rPr>
        <w:t>UE-NR-Capability</w:t>
      </w:r>
      <w:r>
        <w:rPr>
          <w:lang w:eastAsia="ja-JP"/>
        </w:rPr>
        <w:t xml:space="preserve"> which includes NR CA band combinations and their BPCs/feature sets.</w:t>
      </w:r>
      <w:r w:rsidR="00F05FC9">
        <w:rPr>
          <w:lang w:eastAsia="ja-JP"/>
        </w:rPr>
        <w:t xml:space="preserve"> </w:t>
      </w:r>
      <w:r w:rsidR="00C10B10">
        <w:rPr>
          <w:lang w:eastAsia="ja-JP"/>
        </w:rPr>
        <w:t xml:space="preserve">All type 3 capabilities, i.e. capabilities defined in </w:t>
      </w:r>
      <w:r w:rsidR="00C10B10" w:rsidRPr="00C10B10">
        <w:rPr>
          <w:i/>
          <w:lang w:eastAsia="ja-JP"/>
        </w:rPr>
        <w:t>BasebandParametersPerCC-DL/UL</w:t>
      </w:r>
      <w:r w:rsidR="00C10B10">
        <w:rPr>
          <w:lang w:eastAsia="ja-JP"/>
        </w:rPr>
        <w:t xml:space="preserve"> and </w:t>
      </w:r>
      <w:r w:rsidR="00C10B10" w:rsidRPr="00C10B10">
        <w:rPr>
          <w:i/>
          <w:lang w:eastAsia="ja-JP"/>
        </w:rPr>
        <w:t>BandCombinationParameters</w:t>
      </w:r>
      <w:r w:rsidR="00C10B10">
        <w:rPr>
          <w:lang w:eastAsia="ja-JP"/>
        </w:rPr>
        <w:t>, are set to “supported”.</w:t>
      </w:r>
    </w:p>
    <w:p w:rsidR="00F6441D" w:rsidRDefault="00F6441D" w:rsidP="004371C9">
      <w:pPr>
        <w:rPr>
          <w:lang w:eastAsia="ja-JP"/>
        </w:rPr>
      </w:pPr>
      <w:r>
        <w:rPr>
          <w:lang w:eastAsia="ja-JP"/>
        </w:rPr>
        <w:t xml:space="preserve">For all three cases, the number of NR CA band combinations included in the </w:t>
      </w:r>
      <w:r w:rsidRPr="00F6441D">
        <w:rPr>
          <w:i/>
          <w:lang w:eastAsia="ja-JP"/>
        </w:rPr>
        <w:t>BandCombination</w:t>
      </w:r>
      <w:r>
        <w:rPr>
          <w:lang w:eastAsia="ja-JP"/>
        </w:rPr>
        <w:t xml:space="preserve"> signalling is set to 10. For each band combination, the number of bands is 5 in a band combination with 2 intra-band carriers. Namely, this results in 10 CC CA both in DL and UL. </w:t>
      </w:r>
    </w:p>
    <w:p w:rsidR="008D17CC" w:rsidRDefault="00802C3E" w:rsidP="004371C9">
      <w:pPr>
        <w:rPr>
          <w:lang w:eastAsia="ja-JP"/>
        </w:rPr>
      </w:pPr>
      <w:r>
        <w:rPr>
          <w:lang w:eastAsia="ja-JP"/>
        </w:rPr>
        <w:t>For BPC, the capability signalling size is evaluated in terms of the number of BPCs from 1 to 10. Likewise for the feature set approach, the capability signalling size is evaluated in terms of the number of feature sets/per-CC feature sets from 1 to 10. The number of feature sets per band combination is set up to 2.</w:t>
      </w:r>
    </w:p>
    <w:p w:rsidR="00BE1A2A" w:rsidRDefault="00331A31" w:rsidP="004371C9">
      <w:pPr>
        <w:rPr>
          <w:lang w:eastAsia="ja-JP"/>
        </w:rPr>
      </w:pPr>
      <w:r>
        <w:rPr>
          <w:rFonts w:hint="eastAsia"/>
          <w:lang w:eastAsia="ja-JP"/>
        </w:rPr>
        <w:t xml:space="preserve">With these assumptions, </w:t>
      </w:r>
      <w:r>
        <w:rPr>
          <w:lang w:eastAsia="ja-JP"/>
        </w:rPr>
        <w:t xml:space="preserve">Figure 2-1 shows the results of the capability signalling size. For the feature set approach and BPC, two cases are evaluated. One case is that none of the band combinations include the number of MIMO layers, which is denoted as the best case. The other case is that in contrast, all of the band combinations include the number of MIMO layers in addition to the one in BPC/feature set, which is denoted as the worst case. This is related to the RAN4 feedback that the number of MIMO layers needs to be included in the band combination signalling for some cases [3]. </w:t>
      </w:r>
    </w:p>
    <w:p w:rsidR="006B7835" w:rsidRDefault="006B7835" w:rsidP="004371C9">
      <w:pPr>
        <w:rPr>
          <w:lang w:eastAsia="ja-JP"/>
        </w:rPr>
      </w:pPr>
      <w:r>
        <w:rPr>
          <w:lang w:eastAsia="ja-JP"/>
        </w:rPr>
        <w:lastRenderedPageBreak/>
        <w:t>The result in Figure 2-1 shows the fact that if different band combination requires different BPC, there are cases that the capability signalling size becomes larger than the legacy BC approach. On the other hand, the feature set approach outperforms BPC as well as the legacy BC approach regardless of the number of (per-CC) feature sets.</w:t>
      </w:r>
    </w:p>
    <w:p w:rsidR="00A82B61" w:rsidRDefault="00A82B61" w:rsidP="00A82B61">
      <w:pPr>
        <w:pStyle w:val="TH"/>
        <w:rPr>
          <w:lang w:eastAsia="ja-JP"/>
        </w:rPr>
      </w:pPr>
      <w:r>
        <w:rPr>
          <w:noProof/>
          <w:lang w:val="en-US" w:eastAsia="ja-JP"/>
        </w:rPr>
        <w:drawing>
          <wp:inline distT="0" distB="0" distL="0" distR="0" wp14:anchorId="2FF88FCF" wp14:editId="55D44958">
            <wp:extent cx="4572000" cy="2743200"/>
            <wp:effectExtent l="0" t="0" r="0" b="0"/>
            <wp:docPr id="1"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82B61" w:rsidRDefault="00A82B61" w:rsidP="00A82B61">
      <w:pPr>
        <w:pStyle w:val="TF"/>
        <w:rPr>
          <w:lang w:eastAsia="ja-JP"/>
        </w:rPr>
      </w:pPr>
      <w:r>
        <w:rPr>
          <w:rFonts w:hint="eastAsia"/>
          <w:lang w:eastAsia="ja-JP"/>
        </w:rPr>
        <w:t>Figure 2-1:</w:t>
      </w:r>
      <w:r>
        <w:rPr>
          <w:rFonts w:hint="eastAsia"/>
          <w:lang w:eastAsia="ja-JP"/>
        </w:rPr>
        <w:tab/>
      </w:r>
      <w:r>
        <w:rPr>
          <w:lang w:eastAsia="ja-JP"/>
        </w:rPr>
        <w:t>Comparison results of capability signalling size</w:t>
      </w:r>
    </w:p>
    <w:p w:rsidR="00E57063" w:rsidRDefault="00863065" w:rsidP="00C30470">
      <w:pPr>
        <w:pStyle w:val="2"/>
        <w:numPr>
          <w:ilvl w:val="0"/>
          <w:numId w:val="2"/>
        </w:numPr>
        <w:rPr>
          <w:lang w:eastAsia="ja-JP"/>
        </w:rPr>
      </w:pPr>
      <w:r>
        <w:rPr>
          <w:rFonts w:hint="eastAsia"/>
          <w:lang w:eastAsia="ja-JP"/>
        </w:rPr>
        <w:t>Summary and proposal</w:t>
      </w:r>
    </w:p>
    <w:p w:rsidR="004371C9" w:rsidRDefault="004E70B4" w:rsidP="004371C9">
      <w:pPr>
        <w:rPr>
          <w:lang w:eastAsia="ja-JP"/>
        </w:rPr>
      </w:pPr>
      <w:r>
        <w:rPr>
          <w:rFonts w:hint="eastAsia"/>
          <w:lang w:eastAsia="ja-JP"/>
        </w:rPr>
        <w:t xml:space="preserve">This paper analysed the capability </w:t>
      </w:r>
      <w:r>
        <w:rPr>
          <w:lang w:eastAsia="ja-JP"/>
        </w:rPr>
        <w:t>signalling</w:t>
      </w:r>
      <w:r>
        <w:rPr>
          <w:rFonts w:hint="eastAsia"/>
          <w:lang w:eastAsia="ja-JP"/>
        </w:rPr>
        <w:t xml:space="preserve"> </w:t>
      </w:r>
      <w:r>
        <w:rPr>
          <w:lang w:eastAsia="ja-JP"/>
        </w:rPr>
        <w:t>size for the existing BPC and the feature set approach proposed during the email discussion. The analysis concluded that the feature set approach outperforms BPC as well as the legacy BC approach. Therefore, the following is proposed:</w:t>
      </w:r>
    </w:p>
    <w:p w:rsidR="004E70B4" w:rsidRPr="008E515A" w:rsidRDefault="008E515A" w:rsidP="008E515A">
      <w:pPr>
        <w:pStyle w:val="B1"/>
        <w:ind w:left="1420" w:hanging="1136"/>
        <w:rPr>
          <w:b/>
        </w:rPr>
      </w:pPr>
      <w:r w:rsidRPr="008E515A">
        <w:rPr>
          <w:rFonts w:hint="eastAsia"/>
          <w:b/>
        </w:rPr>
        <w:t>Proposal:</w:t>
      </w:r>
      <w:r w:rsidRPr="008E515A">
        <w:rPr>
          <w:rFonts w:hint="eastAsia"/>
          <w:b/>
        </w:rPr>
        <w:tab/>
      </w:r>
      <w:r w:rsidRPr="008E515A">
        <w:rPr>
          <w:b/>
        </w:rPr>
        <w:t>The feature set approach is adopted for UE-NR-Capability and UE-MRDC-Capability. Details are to be discussed and progressed for further until RAN2 #102.</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4371C9" w:rsidRDefault="004371C9" w:rsidP="004371C9">
      <w:pPr>
        <w:rPr>
          <w:lang w:eastAsia="ja-JP"/>
        </w:rPr>
      </w:pPr>
      <w:r>
        <w:rPr>
          <w:lang w:eastAsia="ja-JP"/>
        </w:rPr>
        <w:t>[1] R2-1803749, “</w:t>
      </w:r>
      <w:r w:rsidRPr="004371C9">
        <w:rPr>
          <w:lang w:eastAsia="ja-JP"/>
        </w:rPr>
        <w:t>Avoiding bridges to nowhere</w:t>
      </w:r>
      <w:r>
        <w:rPr>
          <w:lang w:eastAsia="ja-JP"/>
        </w:rPr>
        <w:t xml:space="preserve">,” </w:t>
      </w:r>
      <w:r w:rsidRPr="004371C9">
        <w:rPr>
          <w:lang w:eastAsia="ja-JP"/>
        </w:rPr>
        <w:t>Qualcomm Incorporated</w:t>
      </w:r>
      <w:r>
        <w:rPr>
          <w:lang w:eastAsia="ja-JP"/>
        </w:rPr>
        <w:t>.</w:t>
      </w:r>
    </w:p>
    <w:p w:rsidR="004371C9" w:rsidRDefault="004371C9" w:rsidP="004371C9">
      <w:pPr>
        <w:rPr>
          <w:lang w:eastAsia="ja-JP"/>
        </w:rPr>
      </w:pPr>
      <w:r>
        <w:rPr>
          <w:lang w:eastAsia="ja-JP"/>
        </w:rPr>
        <w:t>[2] R2-1804083, “</w:t>
      </w:r>
      <w:r w:rsidRPr="004371C9">
        <w:rPr>
          <w:lang w:eastAsia="ja-JP"/>
        </w:rPr>
        <w:t>Signalling details of a solution based on P3, P4 and P5 option 1</w:t>
      </w:r>
      <w:r>
        <w:rPr>
          <w:lang w:eastAsia="ja-JP"/>
        </w:rPr>
        <w:t xml:space="preserve">,” </w:t>
      </w:r>
      <w:r w:rsidRPr="004371C9">
        <w:rPr>
          <w:lang w:eastAsia="ja-JP"/>
        </w:rPr>
        <w:t>Qualcomm Incorporated</w:t>
      </w:r>
      <w:r>
        <w:rPr>
          <w:lang w:eastAsia="ja-JP"/>
        </w:rPr>
        <w:t>.</w:t>
      </w:r>
    </w:p>
    <w:p w:rsidR="00331A31" w:rsidRPr="004371C9" w:rsidRDefault="00331A31" w:rsidP="004371C9">
      <w:pPr>
        <w:rPr>
          <w:lang w:eastAsia="ja-JP"/>
        </w:rPr>
      </w:pPr>
      <w:r>
        <w:rPr>
          <w:lang w:eastAsia="ja-JP"/>
        </w:rPr>
        <w:t>[3] R2-1804233, “</w:t>
      </w:r>
      <w:r w:rsidRPr="00331A31">
        <w:rPr>
          <w:lang w:eastAsia="ja-JP"/>
        </w:rPr>
        <w:t>LS reply on UE baseband processing capability</w:t>
      </w:r>
      <w:r>
        <w:rPr>
          <w:lang w:eastAsia="ja-JP"/>
        </w:rPr>
        <w:t>,” RAN4.</w:t>
      </w:r>
    </w:p>
    <w:sectPr w:rsidR="00331A31" w:rsidRPr="004371C9">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440" w:rsidRDefault="00A07440">
      <w:r>
        <w:separator/>
      </w:r>
    </w:p>
  </w:endnote>
  <w:endnote w:type="continuationSeparator" w:id="0">
    <w:p w:rsidR="00A07440" w:rsidRDefault="00A0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3C7C8F">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440" w:rsidRDefault="00A07440">
      <w:r>
        <w:separator/>
      </w:r>
    </w:p>
  </w:footnote>
  <w:footnote w:type="continuationSeparator" w:id="0">
    <w:p w:rsidR="00A07440" w:rsidRDefault="00A07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4347"/>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3F9"/>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98D"/>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A31"/>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C7C8F"/>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0101"/>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371C9"/>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265B"/>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5AFC"/>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0B4"/>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CA3"/>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05C9"/>
    <w:rsid w:val="006A26F8"/>
    <w:rsid w:val="006A4D02"/>
    <w:rsid w:val="006A6DCB"/>
    <w:rsid w:val="006B0717"/>
    <w:rsid w:val="006B0737"/>
    <w:rsid w:val="006B0B2B"/>
    <w:rsid w:val="006B2DBE"/>
    <w:rsid w:val="006B4C70"/>
    <w:rsid w:val="006B55AD"/>
    <w:rsid w:val="006B6528"/>
    <w:rsid w:val="006B6763"/>
    <w:rsid w:val="006B7835"/>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4D55"/>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6A4"/>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2C3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30C"/>
    <w:rsid w:val="008B5579"/>
    <w:rsid w:val="008B6355"/>
    <w:rsid w:val="008C0FB0"/>
    <w:rsid w:val="008C126C"/>
    <w:rsid w:val="008C18E9"/>
    <w:rsid w:val="008C2A6A"/>
    <w:rsid w:val="008C3A95"/>
    <w:rsid w:val="008C4A4D"/>
    <w:rsid w:val="008C4DC4"/>
    <w:rsid w:val="008C59A1"/>
    <w:rsid w:val="008C6467"/>
    <w:rsid w:val="008C7E71"/>
    <w:rsid w:val="008C7E85"/>
    <w:rsid w:val="008D12CE"/>
    <w:rsid w:val="008D17CC"/>
    <w:rsid w:val="008D407B"/>
    <w:rsid w:val="008D50F9"/>
    <w:rsid w:val="008D5B46"/>
    <w:rsid w:val="008D5C62"/>
    <w:rsid w:val="008D647C"/>
    <w:rsid w:val="008E104C"/>
    <w:rsid w:val="008E20DF"/>
    <w:rsid w:val="008E2389"/>
    <w:rsid w:val="008E3F01"/>
    <w:rsid w:val="008E4816"/>
    <w:rsid w:val="008E515A"/>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6602"/>
    <w:rsid w:val="0094702D"/>
    <w:rsid w:val="00947941"/>
    <w:rsid w:val="009479FA"/>
    <w:rsid w:val="0095249B"/>
    <w:rsid w:val="009544A7"/>
    <w:rsid w:val="00954EC1"/>
    <w:rsid w:val="009560A0"/>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43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07440"/>
    <w:rsid w:val="00A1002D"/>
    <w:rsid w:val="00A11621"/>
    <w:rsid w:val="00A11922"/>
    <w:rsid w:val="00A136A1"/>
    <w:rsid w:val="00A16017"/>
    <w:rsid w:val="00A16575"/>
    <w:rsid w:val="00A16746"/>
    <w:rsid w:val="00A16BB2"/>
    <w:rsid w:val="00A20508"/>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37C"/>
    <w:rsid w:val="00A766FF"/>
    <w:rsid w:val="00A77F20"/>
    <w:rsid w:val="00A81866"/>
    <w:rsid w:val="00A81B2B"/>
    <w:rsid w:val="00A81C90"/>
    <w:rsid w:val="00A82B61"/>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17B7"/>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276D"/>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1A2A"/>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0B10"/>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46BD"/>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CDE"/>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2C97"/>
    <w:rsid w:val="00E03168"/>
    <w:rsid w:val="00E031D0"/>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05FC9"/>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41D"/>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BE6"/>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3ED0"/>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83D573"/>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___.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5081714785651792"/>
          <c:y val="5.0925925925925923E-2"/>
          <c:w val="0.80886242344706916"/>
          <c:h val="0.74350320793234181"/>
        </c:manualLayout>
      </c:layout>
      <c:scatterChart>
        <c:scatterStyle val="smoothMarker"/>
        <c:varyColors val="0"/>
        <c:ser>
          <c:idx val="0"/>
          <c:order val="0"/>
          <c:tx>
            <c:strRef>
              <c:f>Sheet1!$A$3</c:f>
              <c:strCache>
                <c:ptCount val="1"/>
                <c:pt idx="0">
                  <c:v>Legacy BC approach</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Sheet2!$A$1:$A$6</c:f>
              <c:numCache>
                <c:formatCode>General</c:formatCode>
                <c:ptCount val="6"/>
                <c:pt idx="0">
                  <c:v>1</c:v>
                </c:pt>
                <c:pt idx="1">
                  <c:v>2</c:v>
                </c:pt>
                <c:pt idx="2">
                  <c:v>4</c:v>
                </c:pt>
                <c:pt idx="3">
                  <c:v>6</c:v>
                </c:pt>
                <c:pt idx="4">
                  <c:v>8</c:v>
                </c:pt>
                <c:pt idx="5">
                  <c:v>10</c:v>
                </c:pt>
              </c:numCache>
            </c:numRef>
          </c:xVal>
          <c:yVal>
            <c:numRef>
              <c:f>Sheet2!$B$1:$B$6</c:f>
              <c:numCache>
                <c:formatCode>General</c:formatCode>
                <c:ptCount val="6"/>
                <c:pt idx="0">
                  <c:v>1098</c:v>
                </c:pt>
                <c:pt idx="1">
                  <c:v>1098</c:v>
                </c:pt>
                <c:pt idx="2">
                  <c:v>1098</c:v>
                </c:pt>
                <c:pt idx="3">
                  <c:v>1098</c:v>
                </c:pt>
                <c:pt idx="4">
                  <c:v>1098</c:v>
                </c:pt>
                <c:pt idx="5">
                  <c:v>1098</c:v>
                </c:pt>
              </c:numCache>
            </c:numRef>
          </c:yVal>
          <c:smooth val="1"/>
          <c:extLst>
            <c:ext xmlns:c16="http://schemas.microsoft.com/office/drawing/2014/chart" uri="{C3380CC4-5D6E-409C-BE32-E72D297353CC}">
              <c16:uniqueId val="{00000000-83D2-4AD4-8A64-FC16ECF0E7D9}"/>
            </c:ext>
          </c:extLst>
        </c:ser>
        <c:ser>
          <c:idx val="1"/>
          <c:order val="1"/>
          <c:tx>
            <c:strRef>
              <c:f>Sheet2!$D$1</c:f>
              <c:strCache>
                <c:ptCount val="1"/>
                <c:pt idx="0">
                  <c:v>BPC (best)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Sheet1!$C$4:$C$9</c:f>
              <c:numCache>
                <c:formatCode>General</c:formatCode>
                <c:ptCount val="6"/>
                <c:pt idx="0">
                  <c:v>1</c:v>
                </c:pt>
                <c:pt idx="1">
                  <c:v>2</c:v>
                </c:pt>
                <c:pt idx="2">
                  <c:v>4</c:v>
                </c:pt>
                <c:pt idx="3">
                  <c:v>6</c:v>
                </c:pt>
                <c:pt idx="4">
                  <c:v>8</c:v>
                </c:pt>
                <c:pt idx="5">
                  <c:v>10</c:v>
                </c:pt>
              </c:numCache>
            </c:numRef>
          </c:xVal>
          <c:yVal>
            <c:numRef>
              <c:f>Sheet1!$D$4:$D$9</c:f>
              <c:numCache>
                <c:formatCode>General</c:formatCode>
                <c:ptCount val="6"/>
                <c:pt idx="0">
                  <c:v>399</c:v>
                </c:pt>
                <c:pt idx="1">
                  <c:v>563</c:v>
                </c:pt>
                <c:pt idx="2">
                  <c:v>967</c:v>
                </c:pt>
                <c:pt idx="3">
                  <c:v>1522</c:v>
                </c:pt>
                <c:pt idx="4">
                  <c:v>1928</c:v>
                </c:pt>
                <c:pt idx="5">
                  <c:v>2710</c:v>
                </c:pt>
              </c:numCache>
            </c:numRef>
          </c:yVal>
          <c:smooth val="1"/>
          <c:extLst>
            <c:ext xmlns:c16="http://schemas.microsoft.com/office/drawing/2014/chart" uri="{C3380CC4-5D6E-409C-BE32-E72D297353CC}">
              <c16:uniqueId val="{00000001-83D2-4AD4-8A64-FC16ECF0E7D9}"/>
            </c:ext>
          </c:extLst>
        </c:ser>
        <c:ser>
          <c:idx val="2"/>
          <c:order val="2"/>
          <c:tx>
            <c:strRef>
              <c:f>Sheet2!$D$2</c:f>
              <c:strCache>
                <c:ptCount val="1"/>
                <c:pt idx="0">
                  <c:v>BPC (worst)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Sheet1!$C$4:$C$9</c:f>
              <c:numCache>
                <c:formatCode>General</c:formatCode>
                <c:ptCount val="6"/>
                <c:pt idx="0">
                  <c:v>1</c:v>
                </c:pt>
                <c:pt idx="1">
                  <c:v>2</c:v>
                </c:pt>
                <c:pt idx="2">
                  <c:v>4</c:v>
                </c:pt>
                <c:pt idx="3">
                  <c:v>6</c:v>
                </c:pt>
                <c:pt idx="4">
                  <c:v>8</c:v>
                </c:pt>
                <c:pt idx="5">
                  <c:v>10</c:v>
                </c:pt>
              </c:numCache>
            </c:numRef>
          </c:xVal>
          <c:yVal>
            <c:numRef>
              <c:f>Sheet1!$E$4:$E$9</c:f>
              <c:numCache>
                <c:formatCode>General</c:formatCode>
                <c:ptCount val="6"/>
                <c:pt idx="0">
                  <c:v>462</c:v>
                </c:pt>
                <c:pt idx="1">
                  <c:v>626</c:v>
                </c:pt>
                <c:pt idx="2">
                  <c:v>1030</c:v>
                </c:pt>
                <c:pt idx="3">
                  <c:v>1585</c:v>
                </c:pt>
                <c:pt idx="4">
                  <c:v>1991</c:v>
                </c:pt>
                <c:pt idx="5">
                  <c:v>2773</c:v>
                </c:pt>
              </c:numCache>
            </c:numRef>
          </c:yVal>
          <c:smooth val="1"/>
          <c:extLst>
            <c:ext xmlns:c16="http://schemas.microsoft.com/office/drawing/2014/chart" uri="{C3380CC4-5D6E-409C-BE32-E72D297353CC}">
              <c16:uniqueId val="{00000002-83D2-4AD4-8A64-FC16ECF0E7D9}"/>
            </c:ext>
          </c:extLst>
        </c:ser>
        <c:ser>
          <c:idx val="3"/>
          <c:order val="3"/>
          <c:tx>
            <c:strRef>
              <c:f>Sheet2!$D$3</c:f>
              <c:strCache>
                <c:ptCount val="1"/>
                <c:pt idx="0">
                  <c:v>Feature set (best)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Sheet1!$C$10:$C$15</c:f>
              <c:numCache>
                <c:formatCode>General</c:formatCode>
                <c:ptCount val="6"/>
                <c:pt idx="0">
                  <c:v>1</c:v>
                </c:pt>
                <c:pt idx="1">
                  <c:v>2</c:v>
                </c:pt>
                <c:pt idx="2">
                  <c:v>4</c:v>
                </c:pt>
                <c:pt idx="3">
                  <c:v>6</c:v>
                </c:pt>
                <c:pt idx="4">
                  <c:v>8</c:v>
                </c:pt>
                <c:pt idx="5">
                  <c:v>10</c:v>
                </c:pt>
              </c:numCache>
            </c:numRef>
          </c:xVal>
          <c:yVal>
            <c:numRef>
              <c:f>Sheet1!$D$10:$D$15</c:f>
              <c:numCache>
                <c:formatCode>General</c:formatCode>
                <c:ptCount val="6"/>
                <c:pt idx="0">
                  <c:v>136</c:v>
                </c:pt>
                <c:pt idx="1">
                  <c:v>173</c:v>
                </c:pt>
                <c:pt idx="2">
                  <c:v>226</c:v>
                </c:pt>
                <c:pt idx="3">
                  <c:v>255</c:v>
                </c:pt>
                <c:pt idx="4">
                  <c:v>309</c:v>
                </c:pt>
                <c:pt idx="5">
                  <c:v>344</c:v>
                </c:pt>
              </c:numCache>
            </c:numRef>
          </c:yVal>
          <c:smooth val="1"/>
          <c:extLst>
            <c:ext xmlns:c16="http://schemas.microsoft.com/office/drawing/2014/chart" uri="{C3380CC4-5D6E-409C-BE32-E72D297353CC}">
              <c16:uniqueId val="{00000003-83D2-4AD4-8A64-FC16ECF0E7D9}"/>
            </c:ext>
          </c:extLst>
        </c:ser>
        <c:ser>
          <c:idx val="4"/>
          <c:order val="4"/>
          <c:tx>
            <c:strRef>
              <c:f>Sheet2!$D$4</c:f>
              <c:strCache>
                <c:ptCount val="1"/>
                <c:pt idx="0">
                  <c:v>Feature set (worst)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Sheet1!$C$10:$C$15</c:f>
              <c:numCache>
                <c:formatCode>General</c:formatCode>
                <c:ptCount val="6"/>
                <c:pt idx="0">
                  <c:v>1</c:v>
                </c:pt>
                <c:pt idx="1">
                  <c:v>2</c:v>
                </c:pt>
                <c:pt idx="2">
                  <c:v>4</c:v>
                </c:pt>
                <c:pt idx="3">
                  <c:v>6</c:v>
                </c:pt>
                <c:pt idx="4">
                  <c:v>8</c:v>
                </c:pt>
                <c:pt idx="5">
                  <c:v>10</c:v>
                </c:pt>
              </c:numCache>
            </c:numRef>
          </c:xVal>
          <c:yVal>
            <c:numRef>
              <c:f>Sheet1!$E$10:$E$15</c:f>
              <c:numCache>
                <c:formatCode>General</c:formatCode>
                <c:ptCount val="6"/>
                <c:pt idx="0">
                  <c:v>186</c:v>
                </c:pt>
                <c:pt idx="1">
                  <c:v>236</c:v>
                </c:pt>
                <c:pt idx="2">
                  <c:v>288</c:v>
                </c:pt>
                <c:pt idx="3">
                  <c:v>318</c:v>
                </c:pt>
                <c:pt idx="4">
                  <c:v>372</c:v>
                </c:pt>
                <c:pt idx="5">
                  <c:v>406</c:v>
                </c:pt>
              </c:numCache>
            </c:numRef>
          </c:yVal>
          <c:smooth val="1"/>
          <c:extLst>
            <c:ext xmlns:c16="http://schemas.microsoft.com/office/drawing/2014/chart" uri="{C3380CC4-5D6E-409C-BE32-E72D297353CC}">
              <c16:uniqueId val="{00000004-83D2-4AD4-8A64-FC16ECF0E7D9}"/>
            </c:ext>
          </c:extLst>
        </c:ser>
        <c:dLbls>
          <c:showLegendKey val="0"/>
          <c:showVal val="0"/>
          <c:showCatName val="0"/>
          <c:showSerName val="0"/>
          <c:showPercent val="0"/>
          <c:showBubbleSize val="0"/>
        </c:dLbls>
        <c:axId val="500745728"/>
        <c:axId val="500744744"/>
      </c:scatterChart>
      <c:valAx>
        <c:axId val="5007457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Num</a:t>
                </a:r>
                <a:r>
                  <a:rPr lang="en-US" altLang="ja-JP" baseline="0"/>
                  <a:t> of BPC/FeatSet(perCC)</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500744744"/>
        <c:crosses val="autoZero"/>
        <c:crossBetween val="midCat"/>
      </c:valAx>
      <c:valAx>
        <c:axId val="500744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UE-NR-Capability</a:t>
                </a:r>
                <a:r>
                  <a:rPr lang="en-US" altLang="ja-JP" baseline="0"/>
                  <a:t> [octets]</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500745728"/>
        <c:crosses val="autoZero"/>
        <c:crossBetween val="midCat"/>
      </c:valAx>
      <c:spPr>
        <a:noFill/>
        <a:ln>
          <a:noFill/>
        </a:ln>
        <a:effectLst/>
      </c:spPr>
    </c:plotArea>
    <c:legend>
      <c:legendPos val="r"/>
      <c:layout>
        <c:manualLayout>
          <c:xMode val="edge"/>
          <c:yMode val="edge"/>
          <c:x val="0.17234623797025372"/>
          <c:y val="8.7093540390784485E-2"/>
          <c:w val="0.28598709536307959"/>
          <c:h val="0.3906277340332458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0</TotalTime>
  <Pages>2</Pages>
  <Words>668</Words>
  <Characters>3811</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2018-04-06T10:00:00Z</dcterms:created>
  <dcterms:modified xsi:type="dcterms:W3CDTF">2018-04-06T10:00:00Z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