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000" w:rsidRPr="00863065" w:rsidRDefault="00C20000" w:rsidP="00C20000">
      <w:pPr>
        <w:pStyle w:val="af1"/>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sidR="00653BD0">
        <w:rPr>
          <w:rFonts w:cs="Arial" w:hint="eastAsia"/>
          <w:lang w:eastAsia="ja-JP"/>
        </w:rPr>
        <w:t>101</w:t>
      </w:r>
      <w:r w:rsidRPr="00863065">
        <w:rPr>
          <w:rFonts w:cs="Arial"/>
        </w:rPr>
        <w:tab/>
      </w:r>
      <w:bookmarkStart w:id="0" w:name="_GoBack"/>
      <w:bookmarkEnd w:id="0"/>
      <w:r w:rsidRPr="00863065">
        <w:rPr>
          <w:rFonts w:cs="Arial"/>
        </w:rPr>
        <w:t>R</w:t>
      </w:r>
      <w:r>
        <w:rPr>
          <w:rFonts w:cs="Arial" w:hint="eastAsia"/>
          <w:lang w:eastAsia="ja-JP"/>
        </w:rPr>
        <w:t>2</w:t>
      </w:r>
      <w:r w:rsidRPr="00863065">
        <w:rPr>
          <w:rFonts w:cs="Arial"/>
          <w:lang w:eastAsia="ja-JP"/>
        </w:rPr>
        <w:t>-</w:t>
      </w:r>
      <w:r>
        <w:rPr>
          <w:rFonts w:cs="Arial" w:hint="eastAsia"/>
          <w:lang w:eastAsia="ja-JP"/>
        </w:rPr>
        <w:t>1</w:t>
      </w:r>
      <w:r>
        <w:rPr>
          <w:rFonts w:cs="Arial"/>
          <w:lang w:eastAsia="ja-JP"/>
        </w:rPr>
        <w:t>8</w:t>
      </w:r>
      <w:r w:rsidR="00E64207">
        <w:rPr>
          <w:rFonts w:cs="Arial"/>
          <w:lang w:eastAsia="ja-JP"/>
        </w:rPr>
        <w:t>0</w:t>
      </w:r>
      <w:r w:rsidR="000B25EB">
        <w:rPr>
          <w:rFonts w:cs="Arial"/>
          <w:lang w:eastAsia="ja-JP"/>
        </w:rPr>
        <w:t>3745</w:t>
      </w:r>
    </w:p>
    <w:p w:rsidR="00C20000" w:rsidRPr="00863065" w:rsidRDefault="00653BD0" w:rsidP="00C20000">
      <w:pPr>
        <w:pStyle w:val="af1"/>
        <w:tabs>
          <w:tab w:val="left" w:pos="709"/>
          <w:tab w:val="right" w:pos="9639"/>
        </w:tabs>
        <w:spacing w:after="0"/>
        <w:jc w:val="left"/>
        <w:rPr>
          <w:rFonts w:cs="Arial"/>
          <w:lang w:val="en-US" w:eastAsia="ja-JP"/>
        </w:rPr>
      </w:pPr>
      <w:r>
        <w:rPr>
          <w:rFonts w:cs="Arial"/>
          <w:lang w:val="en-US" w:eastAsia="ja-JP"/>
        </w:rPr>
        <w:t>26</w:t>
      </w:r>
      <w:r w:rsidR="00C20000">
        <w:rPr>
          <w:rFonts w:cs="Arial" w:hint="eastAsia"/>
          <w:vertAlign w:val="superscript"/>
          <w:lang w:val="en-US" w:eastAsia="ja-JP"/>
        </w:rPr>
        <w:t>th</w:t>
      </w:r>
      <w:r w:rsidR="00C20000" w:rsidRPr="00802E96">
        <w:rPr>
          <w:rFonts w:cs="Arial" w:hint="eastAsia"/>
          <w:lang w:val="en-US" w:eastAsia="ja-JP"/>
        </w:rPr>
        <w:t xml:space="preserve"> </w:t>
      </w:r>
      <w:r>
        <w:rPr>
          <w:rFonts w:cs="Arial"/>
          <w:lang w:val="en-US" w:eastAsia="ja-JP"/>
        </w:rPr>
        <w:t>February</w:t>
      </w:r>
      <w:r w:rsidR="00C20000">
        <w:rPr>
          <w:rFonts w:cs="Arial" w:hint="eastAsia"/>
          <w:lang w:val="en-US" w:eastAsia="ja-JP"/>
        </w:rPr>
        <w:t xml:space="preserve"> </w:t>
      </w:r>
      <w:r w:rsidR="00C20000">
        <w:rPr>
          <w:rFonts w:cs="Arial"/>
          <w:lang w:val="en-US" w:eastAsia="ja-JP"/>
        </w:rPr>
        <w:t>–</w:t>
      </w:r>
      <w:r>
        <w:rPr>
          <w:rFonts w:cs="Arial" w:hint="eastAsia"/>
          <w:lang w:val="en-US" w:eastAsia="ja-JP"/>
        </w:rPr>
        <w:t xml:space="preserve"> </w:t>
      </w:r>
      <w:r>
        <w:rPr>
          <w:rFonts w:cs="Arial"/>
          <w:lang w:val="en-US" w:eastAsia="ja-JP"/>
        </w:rPr>
        <w:t>2</w:t>
      </w:r>
      <w:r>
        <w:rPr>
          <w:rFonts w:cs="Arial"/>
          <w:vertAlign w:val="superscript"/>
          <w:lang w:val="en-US" w:eastAsia="ja-JP"/>
        </w:rPr>
        <w:t>nd</w:t>
      </w:r>
      <w:r w:rsidR="00C20000" w:rsidRPr="00802E96">
        <w:rPr>
          <w:rFonts w:cs="Arial"/>
          <w:lang w:val="en-US" w:eastAsia="ja-JP"/>
        </w:rPr>
        <w:t xml:space="preserve"> </w:t>
      </w:r>
      <w:r>
        <w:rPr>
          <w:rFonts w:cs="Arial"/>
          <w:lang w:val="en-US" w:eastAsia="ja-JP"/>
        </w:rPr>
        <w:t>March</w:t>
      </w:r>
      <w:r w:rsidR="00C20000" w:rsidRPr="00802E96">
        <w:rPr>
          <w:rFonts w:cs="Arial"/>
          <w:lang w:val="en-US" w:eastAsia="ja-JP"/>
        </w:rPr>
        <w:t xml:space="preserve"> 20</w:t>
      </w:r>
      <w:r w:rsidR="00C20000">
        <w:rPr>
          <w:rFonts w:cs="Arial" w:hint="eastAsia"/>
          <w:lang w:val="en-US" w:eastAsia="ja-JP"/>
        </w:rPr>
        <w:t>1</w:t>
      </w:r>
      <w:r w:rsidR="00C20000">
        <w:rPr>
          <w:rFonts w:cs="Arial"/>
          <w:lang w:val="en-US" w:eastAsia="ja-JP"/>
        </w:rPr>
        <w:t>8</w:t>
      </w:r>
    </w:p>
    <w:p w:rsidR="00C20000" w:rsidRPr="00863065" w:rsidRDefault="00653BD0" w:rsidP="00C20000">
      <w:pPr>
        <w:pStyle w:val="af1"/>
        <w:pBdr>
          <w:bottom w:val="single" w:sz="4" w:space="1" w:color="auto"/>
        </w:pBdr>
        <w:tabs>
          <w:tab w:val="left" w:pos="709"/>
        </w:tabs>
        <w:spacing w:after="0"/>
        <w:jc w:val="left"/>
        <w:rPr>
          <w:rFonts w:cs="Arial"/>
          <w:lang w:val="en-US" w:eastAsia="ja-JP"/>
        </w:rPr>
      </w:pPr>
      <w:r>
        <w:rPr>
          <w:rFonts w:cs="Arial" w:hint="eastAsia"/>
          <w:lang w:val="en-US" w:eastAsia="ja-JP"/>
        </w:rPr>
        <w:t>Athens</w:t>
      </w:r>
      <w:r w:rsidR="00C20000" w:rsidRPr="00863065">
        <w:rPr>
          <w:rFonts w:cs="Arial"/>
          <w:lang w:val="en-US" w:eastAsia="ja-JP"/>
        </w:rPr>
        <w:t xml:space="preserve">, </w:t>
      </w:r>
      <w:r>
        <w:rPr>
          <w:rFonts w:cs="Arial"/>
          <w:lang w:val="en-US" w:eastAsia="ja-JP"/>
        </w:rPr>
        <w:t>Greece</w:t>
      </w:r>
    </w:p>
    <w:p w:rsidR="00C20000" w:rsidRPr="00863065" w:rsidRDefault="00C20000" w:rsidP="00C20000">
      <w:pPr>
        <w:pStyle w:val="af1"/>
        <w:pBdr>
          <w:bottom w:val="single" w:sz="4" w:space="1" w:color="auto"/>
        </w:pBdr>
        <w:tabs>
          <w:tab w:val="left" w:pos="709"/>
        </w:tabs>
        <w:spacing w:after="0"/>
        <w:jc w:val="left"/>
        <w:rPr>
          <w:rFonts w:cs="Arial"/>
          <w:lang w:val="en-US" w:eastAsia="ja-JP"/>
        </w:rPr>
      </w:pPr>
    </w:p>
    <w:p w:rsidR="00C20000" w:rsidRPr="00863065" w:rsidRDefault="00C20000" w:rsidP="00C20000">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rsidR="00C20000" w:rsidRPr="00863065" w:rsidRDefault="00C20000" w:rsidP="00C20000">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B1546">
        <w:rPr>
          <w:rFonts w:ascii="Arial" w:hAnsi="Arial" w:cs="Arial"/>
          <w:b/>
          <w:sz w:val="24"/>
        </w:rPr>
        <w:t>[D323/324</w:t>
      </w:r>
      <w:r w:rsidR="00B36D6A">
        <w:rPr>
          <w:rFonts w:ascii="Arial" w:hAnsi="Arial" w:cs="Arial"/>
          <w:b/>
          <w:sz w:val="24"/>
        </w:rPr>
        <w:t xml:space="preserve">] </w:t>
      </w:r>
      <w:r w:rsidR="004B1546">
        <w:rPr>
          <w:rFonts w:ascii="Arial" w:hAnsi="Arial" w:cs="Arial"/>
          <w:b/>
          <w:sz w:val="24"/>
        </w:rPr>
        <w:t>Contention-based RA resource for Beam Failure Recovery</w:t>
      </w:r>
    </w:p>
    <w:p w:rsidR="00C20000" w:rsidRPr="00863065" w:rsidRDefault="00C20000" w:rsidP="00C20000">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rsidR="00C20000" w:rsidRPr="00863065" w:rsidRDefault="00C20000" w:rsidP="00C20000">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B11FD3">
        <w:rPr>
          <w:rFonts w:ascii="Arial" w:hAnsi="Arial" w:cs="Arial"/>
          <w:b/>
          <w:sz w:val="24"/>
          <w:lang w:eastAsia="ja-JP"/>
        </w:rPr>
        <w:t>10.4.3</w:t>
      </w:r>
      <w:r w:rsidR="00DA635A">
        <w:rPr>
          <w:rFonts w:ascii="Arial" w:hAnsi="Arial" w:cs="Arial"/>
          <w:b/>
          <w:sz w:val="24"/>
          <w:lang w:eastAsia="ja-JP"/>
        </w:rPr>
        <w:t>.2</w:t>
      </w:r>
      <w:r w:rsidR="00DA635A">
        <w:rPr>
          <w:rFonts w:ascii="Arial" w:hAnsi="Arial" w:cs="Arial"/>
          <w:b/>
          <w:sz w:val="24"/>
          <w:lang w:eastAsia="ja-JP"/>
        </w:rPr>
        <w:tab/>
      </w:r>
      <w:r w:rsidR="00B11FD3">
        <w:rPr>
          <w:rFonts w:ascii="Arial" w:hAnsi="Arial" w:cs="Arial"/>
          <w:b/>
          <w:sz w:val="24"/>
          <w:lang w:eastAsia="ja-JP"/>
        </w:rPr>
        <w:t>ASN.1 issue document</w:t>
      </w:r>
    </w:p>
    <w:p w:rsidR="00C20000" w:rsidRDefault="00C20000" w:rsidP="00C20000">
      <w:pPr>
        <w:pStyle w:val="2"/>
        <w:numPr>
          <w:ilvl w:val="0"/>
          <w:numId w:val="1"/>
        </w:numPr>
        <w:rPr>
          <w:rFonts w:cs="Arial"/>
          <w:lang w:eastAsia="ja-JP"/>
        </w:rPr>
      </w:pPr>
      <w:r w:rsidRPr="00863065">
        <w:rPr>
          <w:rFonts w:cs="Arial"/>
          <w:lang w:eastAsia="ja-JP"/>
        </w:rPr>
        <w:t>Introduction</w:t>
      </w:r>
    </w:p>
    <w:p w:rsidR="00DD169B" w:rsidRPr="00DD169B" w:rsidRDefault="00E6554E" w:rsidP="00DD169B">
      <w:pPr>
        <w:rPr>
          <w:lang w:eastAsia="ja-JP"/>
        </w:rPr>
      </w:pPr>
      <w:r>
        <w:rPr>
          <w:rFonts w:hint="eastAsia"/>
          <w:lang w:eastAsia="ja-JP"/>
        </w:rPr>
        <w:t xml:space="preserve">For Beam Failure Recovery (BFR), Contention-Based RA (CBRA) is supported as well as </w:t>
      </w:r>
      <w:r>
        <w:rPr>
          <w:lang w:eastAsia="ja-JP"/>
        </w:rPr>
        <w:t xml:space="preserve">Contention-Free RA (CFRA). </w:t>
      </w:r>
      <w:r w:rsidR="005C6960">
        <w:rPr>
          <w:lang w:eastAsia="ja-JP"/>
        </w:rPr>
        <w:t xml:space="preserve">In the current BeamFailureRecoveryConfig, not all of the parameters required for CBRA are </w:t>
      </w:r>
      <w:r w:rsidR="00C76F88">
        <w:rPr>
          <w:lang w:eastAsia="ja-JP"/>
        </w:rPr>
        <w:t>included. This paper attempts to clarify how CBRA for BFR is configured for a UE.</w:t>
      </w:r>
    </w:p>
    <w:p w:rsidR="00C20000" w:rsidRDefault="00C20000" w:rsidP="00C20000">
      <w:pPr>
        <w:pStyle w:val="2"/>
        <w:numPr>
          <w:ilvl w:val="0"/>
          <w:numId w:val="2"/>
        </w:numPr>
        <w:rPr>
          <w:lang w:eastAsia="ja-JP"/>
        </w:rPr>
      </w:pPr>
      <w:r>
        <w:rPr>
          <w:rFonts w:hint="eastAsia"/>
          <w:lang w:eastAsia="ja-JP"/>
        </w:rPr>
        <w:t>Discussion</w:t>
      </w:r>
    </w:p>
    <w:p w:rsidR="00DD169B" w:rsidRDefault="00BF26A5" w:rsidP="00DD169B">
      <w:pPr>
        <w:rPr>
          <w:lang w:eastAsia="ja-JP"/>
        </w:rPr>
      </w:pPr>
      <w:r>
        <w:rPr>
          <w:rFonts w:hint="eastAsia"/>
          <w:lang w:eastAsia="ja-JP"/>
        </w:rPr>
        <w:t>As per the latest L1 parameter list</w:t>
      </w:r>
      <w:r>
        <w:rPr>
          <w:lang w:eastAsia="ja-JP"/>
        </w:rPr>
        <w:t>, the following CBRA parameters for BFR can be set to different value than the one for the other purposes of CBRA:</w:t>
      </w:r>
    </w:p>
    <w:p w:rsidR="00BF26A5" w:rsidRDefault="00A04B43" w:rsidP="00A04B43">
      <w:pPr>
        <w:pStyle w:val="B1"/>
        <w:rPr>
          <w:lang w:eastAsia="ja-JP"/>
        </w:rPr>
      </w:pPr>
      <w:r>
        <w:rPr>
          <w:rFonts w:hint="eastAsia"/>
          <w:lang w:eastAsia="ja-JP"/>
        </w:rPr>
        <w:t>-</w:t>
      </w:r>
      <w:r>
        <w:rPr>
          <w:rFonts w:hint="eastAsia"/>
          <w:lang w:eastAsia="ja-JP"/>
        </w:rPr>
        <w:tab/>
      </w:r>
      <w:r w:rsidRPr="002D4604">
        <w:rPr>
          <w:i/>
          <w:lang w:eastAsia="ja-JP"/>
        </w:rPr>
        <w:t>rootSequenceIndex</w:t>
      </w:r>
      <w:r>
        <w:rPr>
          <w:lang w:eastAsia="ja-JP"/>
        </w:rPr>
        <w:t>:</w:t>
      </w:r>
      <w:r>
        <w:rPr>
          <w:lang w:eastAsia="ja-JP"/>
        </w:rPr>
        <w:tab/>
      </w:r>
      <w:r w:rsidR="002D4604">
        <w:rPr>
          <w:lang w:eastAsia="ja-JP"/>
        </w:rPr>
        <w:t>only the short sequence is supported for BFR.</w:t>
      </w:r>
    </w:p>
    <w:p w:rsidR="002D4604" w:rsidRDefault="002D4604" w:rsidP="00A04B43">
      <w:pPr>
        <w:pStyle w:val="B1"/>
        <w:rPr>
          <w:lang w:eastAsia="ja-JP"/>
        </w:rPr>
      </w:pPr>
      <w:r>
        <w:rPr>
          <w:lang w:eastAsia="ja-JP"/>
        </w:rPr>
        <w:t>-</w:t>
      </w:r>
      <w:r>
        <w:rPr>
          <w:lang w:eastAsia="ja-JP"/>
        </w:rPr>
        <w:tab/>
      </w:r>
      <w:r w:rsidRPr="002D4604">
        <w:rPr>
          <w:i/>
          <w:lang w:eastAsia="ja-JP"/>
        </w:rPr>
        <w:t>beamFailureCandidateBeamThreshold</w:t>
      </w:r>
      <w:r>
        <w:rPr>
          <w:lang w:eastAsia="ja-JP"/>
        </w:rPr>
        <w:t>:</w:t>
      </w:r>
      <w:r>
        <w:rPr>
          <w:lang w:eastAsia="ja-JP"/>
        </w:rPr>
        <w:tab/>
        <w:t xml:space="preserve">This threshold is applied for CSI-RS. The threshold for SSB is the same as present in </w:t>
      </w:r>
      <w:r w:rsidRPr="002D4604">
        <w:rPr>
          <w:i/>
          <w:lang w:eastAsia="ja-JP"/>
        </w:rPr>
        <w:t>RACH-ConfigCommon</w:t>
      </w:r>
      <w:r>
        <w:rPr>
          <w:lang w:eastAsia="ja-JP"/>
        </w:rPr>
        <w:t xml:space="preserve"> (</w:t>
      </w:r>
      <w:r w:rsidRPr="002D4604">
        <w:rPr>
          <w:i/>
          <w:lang w:eastAsia="ja-JP"/>
        </w:rPr>
        <w:t>rsrp-ThresholdSSB</w:t>
      </w:r>
      <w:r>
        <w:rPr>
          <w:lang w:eastAsia="ja-JP"/>
        </w:rPr>
        <w:t>).</w:t>
      </w:r>
    </w:p>
    <w:p w:rsidR="00840BDA" w:rsidRDefault="00840BDA" w:rsidP="00A04B43">
      <w:pPr>
        <w:pStyle w:val="B1"/>
        <w:rPr>
          <w:lang w:eastAsia="ja-JP"/>
        </w:rPr>
      </w:pPr>
      <w:r>
        <w:rPr>
          <w:lang w:eastAsia="ja-JP"/>
        </w:rPr>
        <w:t>-</w:t>
      </w:r>
      <w:r>
        <w:rPr>
          <w:lang w:eastAsia="ja-JP"/>
        </w:rPr>
        <w:tab/>
        <w:t xml:space="preserve">Parameters grouped into </w:t>
      </w:r>
      <w:r w:rsidRPr="00840BDA">
        <w:rPr>
          <w:i/>
          <w:lang w:eastAsia="ja-JP"/>
        </w:rPr>
        <w:t>RACH-ConfigCommonGeneric</w:t>
      </w:r>
      <w:r>
        <w:rPr>
          <w:lang w:eastAsia="ja-JP"/>
        </w:rPr>
        <w:t>:</w:t>
      </w:r>
    </w:p>
    <w:p w:rsidR="00840BDA" w:rsidRDefault="00840BDA" w:rsidP="00840BDA">
      <w:pPr>
        <w:pStyle w:val="B2"/>
        <w:rPr>
          <w:lang w:eastAsia="ja-JP"/>
        </w:rPr>
      </w:pPr>
      <w:r>
        <w:rPr>
          <w:rFonts w:hint="eastAsia"/>
          <w:lang w:eastAsia="ja-JP"/>
        </w:rPr>
        <w:t>-</w:t>
      </w:r>
      <w:r>
        <w:rPr>
          <w:rFonts w:hint="eastAsia"/>
          <w:lang w:eastAsia="ja-JP"/>
        </w:rPr>
        <w:tab/>
      </w:r>
      <w:r w:rsidRPr="00840BDA">
        <w:rPr>
          <w:rFonts w:hint="eastAsia"/>
          <w:i/>
          <w:lang w:eastAsia="ja-JP"/>
        </w:rPr>
        <w:t>zeroCorrelationZoneConfig</w:t>
      </w:r>
      <w:r>
        <w:rPr>
          <w:rFonts w:hint="eastAsia"/>
          <w:lang w:eastAsia="ja-JP"/>
        </w:rPr>
        <w:t>;</w:t>
      </w:r>
    </w:p>
    <w:p w:rsidR="00840BDA" w:rsidRDefault="00840BDA" w:rsidP="00840BDA">
      <w:pPr>
        <w:pStyle w:val="B2"/>
        <w:rPr>
          <w:lang w:eastAsia="ja-JP"/>
        </w:rPr>
      </w:pPr>
      <w:r>
        <w:rPr>
          <w:lang w:eastAsia="ja-JP"/>
        </w:rPr>
        <w:t>-</w:t>
      </w:r>
      <w:r>
        <w:rPr>
          <w:lang w:eastAsia="ja-JP"/>
        </w:rPr>
        <w:tab/>
      </w:r>
      <w:r w:rsidRPr="00840BDA">
        <w:rPr>
          <w:i/>
          <w:lang w:eastAsia="ja-JP"/>
        </w:rPr>
        <w:t>preambleRcvedTargetPower</w:t>
      </w:r>
      <w:r>
        <w:rPr>
          <w:lang w:eastAsia="ja-JP"/>
        </w:rPr>
        <w:t>;</w:t>
      </w:r>
    </w:p>
    <w:p w:rsidR="00840BDA" w:rsidRDefault="00840BDA" w:rsidP="00840BDA">
      <w:pPr>
        <w:pStyle w:val="B2"/>
        <w:rPr>
          <w:lang w:eastAsia="ja-JP"/>
        </w:rPr>
      </w:pPr>
      <w:r>
        <w:rPr>
          <w:lang w:eastAsia="ja-JP"/>
        </w:rPr>
        <w:t>-</w:t>
      </w:r>
      <w:r>
        <w:rPr>
          <w:lang w:eastAsia="ja-JP"/>
        </w:rPr>
        <w:tab/>
      </w:r>
      <w:r w:rsidRPr="00840BDA">
        <w:rPr>
          <w:i/>
          <w:lang w:eastAsia="ja-JP"/>
        </w:rPr>
        <w:t>preambleTransMax</w:t>
      </w:r>
      <w:r>
        <w:rPr>
          <w:lang w:eastAsia="ja-JP"/>
        </w:rPr>
        <w:t>;</w:t>
      </w:r>
    </w:p>
    <w:p w:rsidR="00840BDA" w:rsidRDefault="00840BDA" w:rsidP="00840BDA">
      <w:pPr>
        <w:pStyle w:val="B2"/>
        <w:rPr>
          <w:lang w:eastAsia="ja-JP"/>
        </w:rPr>
      </w:pPr>
      <w:r>
        <w:rPr>
          <w:lang w:eastAsia="ja-JP"/>
        </w:rPr>
        <w:t>-</w:t>
      </w:r>
      <w:r>
        <w:rPr>
          <w:lang w:eastAsia="ja-JP"/>
        </w:rPr>
        <w:tab/>
      </w:r>
      <w:r w:rsidRPr="00840BDA">
        <w:rPr>
          <w:i/>
          <w:lang w:eastAsia="ja-JP"/>
        </w:rPr>
        <w:t>powerRampingStep</w:t>
      </w:r>
      <w:r>
        <w:rPr>
          <w:lang w:eastAsia="ja-JP"/>
        </w:rPr>
        <w:t>;</w:t>
      </w:r>
    </w:p>
    <w:p w:rsidR="00840BDA" w:rsidRDefault="00840BDA" w:rsidP="00840BDA">
      <w:pPr>
        <w:pStyle w:val="B2"/>
        <w:rPr>
          <w:lang w:eastAsia="ja-JP"/>
        </w:rPr>
      </w:pPr>
      <w:r>
        <w:rPr>
          <w:lang w:eastAsia="ja-JP"/>
        </w:rPr>
        <w:t>-</w:t>
      </w:r>
      <w:r>
        <w:rPr>
          <w:lang w:eastAsia="ja-JP"/>
        </w:rPr>
        <w:tab/>
      </w:r>
      <w:r w:rsidRPr="00840BDA">
        <w:rPr>
          <w:i/>
          <w:lang w:eastAsia="ja-JP"/>
        </w:rPr>
        <w:t>ra-ResponseWindow</w:t>
      </w:r>
      <w:r>
        <w:rPr>
          <w:lang w:eastAsia="ja-JP"/>
        </w:rPr>
        <w:t>.</w:t>
      </w:r>
    </w:p>
    <w:p w:rsidR="00BF26A5" w:rsidRDefault="00F16613" w:rsidP="00DD169B">
      <w:pPr>
        <w:rPr>
          <w:lang w:eastAsia="ja-JP"/>
        </w:rPr>
      </w:pPr>
      <w:r>
        <w:rPr>
          <w:rFonts w:hint="eastAsia"/>
          <w:lang w:eastAsia="ja-JP"/>
        </w:rPr>
        <w:t xml:space="preserve">The rest of the CBRA parameters for BFR are the same as configured </w:t>
      </w:r>
      <w:r>
        <w:rPr>
          <w:lang w:eastAsia="ja-JP"/>
        </w:rPr>
        <w:t xml:space="preserve">in RACH-ConfigCommon, e.g. </w:t>
      </w:r>
      <w:r w:rsidRPr="0058388C">
        <w:rPr>
          <w:i/>
          <w:lang w:eastAsia="ja-JP"/>
        </w:rPr>
        <w:t>prach-ConfigurationIndex</w:t>
      </w:r>
      <w:r>
        <w:rPr>
          <w:lang w:eastAsia="ja-JP"/>
        </w:rPr>
        <w:t xml:space="preserve">, </w:t>
      </w:r>
      <w:r w:rsidRPr="0058388C">
        <w:rPr>
          <w:i/>
          <w:lang w:eastAsia="ja-JP"/>
        </w:rPr>
        <w:t>msg1-FDM/FrequencyStart</w:t>
      </w:r>
      <w:r>
        <w:rPr>
          <w:lang w:eastAsia="ja-JP"/>
        </w:rPr>
        <w:t>, etc.</w:t>
      </w:r>
      <w:r w:rsidR="00E75FA4">
        <w:rPr>
          <w:lang w:eastAsia="ja-JP"/>
        </w:rPr>
        <w:t xml:space="preserve"> Figure 2-1 roughly illustrates how CBRA resource is configured for BFR and the other purposes.</w:t>
      </w:r>
    </w:p>
    <w:p w:rsidR="00E83D70" w:rsidRDefault="00E83D70" w:rsidP="00E83D70">
      <w:pPr>
        <w:pStyle w:val="TH"/>
        <w:rPr>
          <w:lang w:eastAsia="ja-JP"/>
        </w:rPr>
      </w:pPr>
      <w:r w:rsidRPr="00E83D70">
        <w:rPr>
          <w:noProof/>
          <w:lang w:val="en-US" w:eastAsia="ja-JP"/>
        </w:rPr>
        <w:drawing>
          <wp:inline distT="0" distB="0" distL="0" distR="0">
            <wp:extent cx="4510080" cy="213696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10080" cy="2136960"/>
                    </a:xfrm>
                    <a:prstGeom prst="rect">
                      <a:avLst/>
                    </a:prstGeom>
                    <a:noFill/>
                    <a:ln>
                      <a:noFill/>
                    </a:ln>
                  </pic:spPr>
                </pic:pic>
              </a:graphicData>
            </a:graphic>
          </wp:inline>
        </w:drawing>
      </w:r>
    </w:p>
    <w:p w:rsidR="00E83D70" w:rsidRDefault="00E83D70" w:rsidP="00E83D70">
      <w:pPr>
        <w:pStyle w:val="TF"/>
        <w:rPr>
          <w:lang w:eastAsia="ja-JP"/>
        </w:rPr>
      </w:pPr>
      <w:r>
        <w:rPr>
          <w:rFonts w:hint="eastAsia"/>
          <w:lang w:eastAsia="ja-JP"/>
        </w:rPr>
        <w:t xml:space="preserve">Figure 2-1: </w:t>
      </w:r>
      <w:r>
        <w:rPr>
          <w:lang w:eastAsia="ja-JP"/>
        </w:rPr>
        <w:t>Overall picture on CBRA configuration for BFR and other purposes</w:t>
      </w:r>
    </w:p>
    <w:p w:rsidR="00E83D70" w:rsidRDefault="007A026B" w:rsidP="00DD169B">
      <w:pPr>
        <w:rPr>
          <w:lang w:eastAsia="ja-JP"/>
        </w:rPr>
      </w:pPr>
      <w:r>
        <w:rPr>
          <w:rFonts w:hint="eastAsia"/>
          <w:lang w:eastAsia="ja-JP"/>
        </w:rPr>
        <w:lastRenderedPageBreak/>
        <w:t xml:space="preserve">Although the benefit of doing so is to leverage some of </w:t>
      </w:r>
      <w:r>
        <w:rPr>
          <w:lang w:eastAsia="ja-JP"/>
        </w:rPr>
        <w:t>the</w:t>
      </w:r>
      <w:r>
        <w:rPr>
          <w:rFonts w:hint="eastAsia"/>
          <w:lang w:eastAsia="ja-JP"/>
        </w:rPr>
        <w:t xml:space="preserve"> </w:t>
      </w:r>
      <w:r>
        <w:rPr>
          <w:lang w:eastAsia="ja-JP"/>
        </w:rPr>
        <w:t>parameters configured for the other purposes in terms of CBRA, the current structure may incur an IOT issue in future as to which parameter is applied for BFR as well as the other purposes.</w:t>
      </w:r>
    </w:p>
    <w:p w:rsidR="007A026B" w:rsidRDefault="005A4395" w:rsidP="00DD169B">
      <w:pPr>
        <w:rPr>
          <w:lang w:eastAsia="ja-JP"/>
        </w:rPr>
      </w:pPr>
      <w:r>
        <w:rPr>
          <w:rFonts w:hint="eastAsia"/>
          <w:lang w:eastAsia="ja-JP"/>
        </w:rPr>
        <w:t xml:space="preserve">To make the CBRA resource for BFR clearer, an alternative approach can be envisaged </w:t>
      </w:r>
      <w:r>
        <w:rPr>
          <w:lang w:eastAsia="ja-JP"/>
        </w:rPr>
        <w:t xml:space="preserve">such </w:t>
      </w:r>
      <w:r>
        <w:rPr>
          <w:rFonts w:hint="eastAsia"/>
          <w:lang w:eastAsia="ja-JP"/>
        </w:rPr>
        <w:t xml:space="preserve">that </w:t>
      </w:r>
      <w:r>
        <w:rPr>
          <w:lang w:eastAsia="ja-JP"/>
        </w:rPr>
        <w:t>RACH-ConfigCommon inclues the CBRA parameters applied for BFR as illustrated in Figure 2-2.</w:t>
      </w:r>
    </w:p>
    <w:p w:rsidR="007A026B" w:rsidRDefault="007A026B" w:rsidP="007A026B">
      <w:pPr>
        <w:pStyle w:val="TH"/>
        <w:rPr>
          <w:lang w:eastAsia="ja-JP"/>
        </w:rPr>
      </w:pPr>
      <w:r>
        <w:rPr>
          <w:lang w:eastAsia="ja-JP"/>
        </w:rPr>
        <w:object w:dxaOrig="16245" w:dyaOrig="5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151.5pt" o:ole="">
            <v:imagedata r:id="rId9" o:title=""/>
          </v:shape>
          <o:OLEObject Type="Embed" ProgID="Visio.Drawing.15" ShapeID="_x0000_i1025" DrawAspect="Content" ObjectID="_1580830125" r:id="rId10"/>
        </w:object>
      </w:r>
    </w:p>
    <w:p w:rsidR="007A026B" w:rsidRDefault="005A4395" w:rsidP="005A4395">
      <w:pPr>
        <w:pStyle w:val="TF"/>
        <w:rPr>
          <w:lang w:eastAsia="ja-JP"/>
        </w:rPr>
      </w:pPr>
      <w:r>
        <w:rPr>
          <w:rFonts w:hint="eastAsia"/>
          <w:lang w:eastAsia="ja-JP"/>
        </w:rPr>
        <w:t>Figure 2-2:</w:t>
      </w:r>
      <w:r>
        <w:rPr>
          <w:rFonts w:hint="eastAsia"/>
          <w:lang w:eastAsia="ja-JP"/>
        </w:rPr>
        <w:tab/>
        <w:t>Alternative RACH-ConfigCommon structure</w:t>
      </w:r>
    </w:p>
    <w:p w:rsidR="005A4395" w:rsidRDefault="00CB4B92" w:rsidP="00DD169B">
      <w:pPr>
        <w:rPr>
          <w:lang w:eastAsia="ja-JP"/>
        </w:rPr>
      </w:pPr>
      <w:r>
        <w:rPr>
          <w:rFonts w:hint="eastAsia"/>
          <w:lang w:eastAsia="ja-JP"/>
        </w:rPr>
        <w:t xml:space="preserve">One potential drawback of this alternative approach is to </w:t>
      </w:r>
      <w:r>
        <w:rPr>
          <w:lang w:eastAsia="ja-JP"/>
        </w:rPr>
        <w:t>increase</w:t>
      </w:r>
      <w:r>
        <w:rPr>
          <w:rFonts w:hint="eastAsia"/>
          <w:lang w:eastAsia="ja-JP"/>
        </w:rPr>
        <w:t xml:space="preserve"> </w:t>
      </w:r>
      <w:r>
        <w:rPr>
          <w:lang w:eastAsia="ja-JP"/>
        </w:rPr>
        <w:t>the broadcast overhead assuming that RACH-ConfigCommon is broadcast somewhere in SIB for NRstandalone. Nonetheless, If RACH-ConfigCommon is broadcast in SIB not required for cell selection (e.g. SIB2 in LTE), the broadcast overhead can be mitigated by setting the longer SI scheduling period.</w:t>
      </w:r>
    </w:p>
    <w:p w:rsidR="00C20000" w:rsidRDefault="00C20000" w:rsidP="00C20000">
      <w:pPr>
        <w:pStyle w:val="2"/>
        <w:numPr>
          <w:ilvl w:val="0"/>
          <w:numId w:val="2"/>
        </w:numPr>
        <w:rPr>
          <w:lang w:eastAsia="ja-JP"/>
        </w:rPr>
      </w:pPr>
      <w:r>
        <w:rPr>
          <w:rFonts w:hint="eastAsia"/>
          <w:lang w:eastAsia="ja-JP"/>
        </w:rPr>
        <w:t>Summary and proposal</w:t>
      </w:r>
    </w:p>
    <w:p w:rsidR="00DD169B" w:rsidRDefault="00776F11" w:rsidP="00DD169B">
      <w:pPr>
        <w:rPr>
          <w:lang w:eastAsia="ja-JP"/>
        </w:rPr>
      </w:pPr>
      <w:r>
        <w:rPr>
          <w:rFonts w:hint="eastAsia"/>
          <w:lang w:eastAsia="ja-JP"/>
        </w:rPr>
        <w:t>Based on the analysis described in Section 2, the following is proposed:</w:t>
      </w:r>
    </w:p>
    <w:p w:rsidR="00776F11" w:rsidRPr="00D359DF" w:rsidRDefault="00776F11" w:rsidP="00776F11">
      <w:pPr>
        <w:pStyle w:val="B1"/>
        <w:rPr>
          <w:b/>
          <w:lang w:eastAsia="ja-JP"/>
        </w:rPr>
      </w:pPr>
      <w:r w:rsidRPr="00D359DF">
        <w:rPr>
          <w:rFonts w:hint="eastAsia"/>
          <w:b/>
          <w:lang w:eastAsia="ja-JP"/>
        </w:rPr>
        <w:t>Proposal 1:</w:t>
      </w:r>
      <w:r w:rsidRPr="00D359DF">
        <w:rPr>
          <w:rFonts w:hint="eastAsia"/>
          <w:b/>
          <w:lang w:eastAsia="ja-JP"/>
        </w:rPr>
        <w:tab/>
      </w:r>
      <w:r w:rsidRPr="00D359DF">
        <w:rPr>
          <w:rFonts w:hint="eastAsia"/>
          <w:b/>
          <w:lang w:eastAsia="ja-JP"/>
        </w:rPr>
        <w:tab/>
      </w:r>
      <w:r w:rsidRPr="00D359DF">
        <w:rPr>
          <w:b/>
          <w:lang w:eastAsia="ja-JP"/>
        </w:rPr>
        <w:t xml:space="preserve">CBRA parameters specific to BFR are also included in </w:t>
      </w:r>
      <w:r w:rsidRPr="00E2071A">
        <w:rPr>
          <w:b/>
          <w:i/>
          <w:lang w:eastAsia="ja-JP"/>
        </w:rPr>
        <w:t>RACH-ConfigCommon</w:t>
      </w:r>
      <w:r w:rsidRPr="00D359DF">
        <w:rPr>
          <w:b/>
          <w:lang w:eastAsia="ja-JP"/>
        </w:rPr>
        <w:t>, which are:</w:t>
      </w:r>
    </w:p>
    <w:p w:rsidR="00776F11" w:rsidRPr="00D359DF" w:rsidRDefault="00776F11" w:rsidP="00776F11">
      <w:pPr>
        <w:pStyle w:val="B1"/>
        <w:rPr>
          <w:b/>
          <w:lang w:eastAsia="ja-JP"/>
        </w:rPr>
      </w:pPr>
      <w:r w:rsidRPr="00D359DF">
        <w:rPr>
          <w:b/>
          <w:lang w:eastAsia="ja-JP"/>
        </w:rPr>
        <w:tab/>
      </w:r>
      <w:r w:rsidRPr="00D359DF">
        <w:rPr>
          <w:b/>
          <w:lang w:eastAsia="ja-JP"/>
        </w:rPr>
        <w:tab/>
      </w:r>
      <w:r w:rsidRPr="00D359DF">
        <w:rPr>
          <w:b/>
          <w:lang w:eastAsia="ja-JP"/>
        </w:rPr>
        <w:tab/>
      </w:r>
      <w:r w:rsidRPr="00D359DF">
        <w:rPr>
          <w:b/>
          <w:lang w:eastAsia="ja-JP"/>
        </w:rPr>
        <w:tab/>
      </w:r>
      <w:r w:rsidRPr="00D359DF">
        <w:rPr>
          <w:b/>
          <w:lang w:eastAsia="ja-JP"/>
        </w:rPr>
        <w:tab/>
        <w:t xml:space="preserve">1) </w:t>
      </w:r>
      <w:r w:rsidRPr="00E2071A">
        <w:rPr>
          <w:b/>
          <w:i/>
          <w:lang w:eastAsia="ja-JP"/>
        </w:rPr>
        <w:t>RACH-ConfigCommonGeneric</w:t>
      </w:r>
      <w:r w:rsidRPr="00D359DF">
        <w:rPr>
          <w:b/>
          <w:lang w:eastAsia="ja-JP"/>
        </w:rPr>
        <w:t xml:space="preserve"> for BFR;</w:t>
      </w:r>
    </w:p>
    <w:p w:rsidR="00776F11" w:rsidRPr="00D359DF" w:rsidRDefault="00776F11" w:rsidP="00776F11">
      <w:pPr>
        <w:pStyle w:val="B1"/>
        <w:rPr>
          <w:b/>
          <w:lang w:eastAsia="ja-JP"/>
        </w:rPr>
      </w:pPr>
      <w:r w:rsidRPr="00D359DF">
        <w:rPr>
          <w:b/>
          <w:lang w:eastAsia="ja-JP"/>
        </w:rPr>
        <w:tab/>
      </w:r>
      <w:r w:rsidRPr="00D359DF">
        <w:rPr>
          <w:b/>
          <w:lang w:eastAsia="ja-JP"/>
        </w:rPr>
        <w:tab/>
      </w:r>
      <w:r w:rsidRPr="00D359DF">
        <w:rPr>
          <w:b/>
          <w:lang w:eastAsia="ja-JP"/>
        </w:rPr>
        <w:tab/>
      </w:r>
      <w:r w:rsidRPr="00D359DF">
        <w:rPr>
          <w:b/>
          <w:lang w:eastAsia="ja-JP"/>
        </w:rPr>
        <w:tab/>
      </w:r>
      <w:r w:rsidRPr="00D359DF">
        <w:rPr>
          <w:b/>
          <w:lang w:eastAsia="ja-JP"/>
        </w:rPr>
        <w:tab/>
        <w:t xml:space="preserve">2) </w:t>
      </w:r>
      <w:r w:rsidRPr="00E2071A">
        <w:rPr>
          <w:b/>
          <w:i/>
          <w:lang w:eastAsia="ja-JP"/>
        </w:rPr>
        <w:t>rootSequenceIndex-BFR</w:t>
      </w:r>
      <w:r w:rsidRPr="00D359DF">
        <w:rPr>
          <w:b/>
          <w:lang w:eastAsia="ja-JP"/>
        </w:rPr>
        <w:t>.</w:t>
      </w:r>
    </w:p>
    <w:p w:rsidR="00776F11" w:rsidRPr="00D359DF" w:rsidRDefault="00776F11" w:rsidP="00D359DF">
      <w:pPr>
        <w:pStyle w:val="B1"/>
        <w:ind w:left="1704" w:hanging="1420"/>
        <w:rPr>
          <w:b/>
          <w:lang w:eastAsia="ja-JP"/>
        </w:rPr>
      </w:pPr>
      <w:r w:rsidRPr="00D359DF">
        <w:rPr>
          <w:b/>
          <w:lang w:eastAsia="ja-JP"/>
        </w:rPr>
        <w:t>Proposal 2</w:t>
      </w:r>
      <w:r w:rsidR="00D359DF" w:rsidRPr="00D359DF">
        <w:rPr>
          <w:b/>
          <w:lang w:eastAsia="ja-JP"/>
        </w:rPr>
        <w:t>:</w:t>
      </w:r>
      <w:r w:rsidR="00D359DF" w:rsidRPr="00D359DF">
        <w:rPr>
          <w:b/>
          <w:lang w:eastAsia="ja-JP"/>
        </w:rPr>
        <w:tab/>
        <w:t xml:space="preserve">If proposal 1 is agreed, </w:t>
      </w:r>
      <w:r w:rsidR="00D359DF" w:rsidRPr="00E2071A">
        <w:rPr>
          <w:b/>
          <w:i/>
          <w:lang w:eastAsia="ja-JP"/>
        </w:rPr>
        <w:t>RACH-ConfigCommonGeneric</w:t>
      </w:r>
      <w:r w:rsidR="00D359DF" w:rsidRPr="00D359DF">
        <w:rPr>
          <w:b/>
          <w:lang w:eastAsia="ja-JP"/>
        </w:rPr>
        <w:t xml:space="preserve"> for BFR and </w:t>
      </w:r>
      <w:r w:rsidR="00D359DF" w:rsidRPr="00E2071A">
        <w:rPr>
          <w:b/>
          <w:i/>
          <w:lang w:eastAsia="ja-JP"/>
        </w:rPr>
        <w:t>rootSequenceIndex-BFR</w:t>
      </w:r>
      <w:r w:rsidR="00D359DF" w:rsidRPr="00D359DF">
        <w:rPr>
          <w:b/>
          <w:lang w:eastAsia="ja-JP"/>
        </w:rPr>
        <w:t xml:space="preserve"> are removed from </w:t>
      </w:r>
      <w:r w:rsidR="00D359DF" w:rsidRPr="00E2071A">
        <w:rPr>
          <w:b/>
          <w:i/>
          <w:lang w:eastAsia="ja-JP"/>
        </w:rPr>
        <w:t>BeamFailureRecoveryConfig</w:t>
      </w:r>
      <w:r w:rsidR="00D359DF" w:rsidRPr="00D359DF">
        <w:rPr>
          <w:b/>
          <w:lang w:eastAsia="ja-JP"/>
        </w:rPr>
        <w:t>.</w:t>
      </w:r>
    </w:p>
    <w:p w:rsidR="00C20000" w:rsidRPr="00863065" w:rsidRDefault="00C20000" w:rsidP="00C20000">
      <w:pPr>
        <w:pStyle w:val="2"/>
        <w:numPr>
          <w:ilvl w:val="0"/>
          <w:numId w:val="2"/>
        </w:numPr>
        <w:rPr>
          <w:rFonts w:cs="Arial"/>
          <w:lang w:eastAsia="ja-JP"/>
        </w:rPr>
      </w:pPr>
      <w:r w:rsidRPr="00863065">
        <w:rPr>
          <w:rFonts w:cs="Arial"/>
          <w:lang w:eastAsia="ja-JP"/>
        </w:rPr>
        <w:t>Reference</w:t>
      </w:r>
      <w:r>
        <w:rPr>
          <w:rFonts w:cs="Arial" w:hint="eastAsia"/>
          <w:lang w:eastAsia="ja-JP"/>
        </w:rPr>
        <w:t>s</w:t>
      </w:r>
    </w:p>
    <w:p w:rsidR="007B6E9E" w:rsidRDefault="00C61611">
      <w:pPr>
        <w:rPr>
          <w:noProof/>
          <w:lang w:eastAsia="ja-JP"/>
        </w:rPr>
      </w:pPr>
      <w:r>
        <w:rPr>
          <w:rFonts w:hint="eastAsia"/>
          <w:noProof/>
          <w:lang w:eastAsia="ja-JP"/>
        </w:rPr>
        <w:t xml:space="preserve">[1] </w:t>
      </w:r>
      <w:r w:rsidR="00BF26A5">
        <w:rPr>
          <w:noProof/>
          <w:lang w:eastAsia="ja-JP"/>
        </w:rPr>
        <w:t>R2-1801719, “LS on correction to RRC parameters for NR,” RAN1.</w:t>
      </w:r>
    </w:p>
    <w:p w:rsidR="00D359DF" w:rsidRDefault="00D359DF">
      <w:pPr>
        <w:rPr>
          <w:noProof/>
          <w:lang w:eastAsia="ja-JP"/>
        </w:rPr>
      </w:pPr>
    </w:p>
    <w:p w:rsidR="00FB49BC" w:rsidRDefault="00657F19" w:rsidP="00657F19">
      <w:pPr>
        <w:pStyle w:val="1"/>
        <w:ind w:left="0" w:firstLine="0"/>
        <w:rPr>
          <w:noProof/>
          <w:lang w:eastAsia="ja-JP"/>
        </w:rPr>
      </w:pPr>
      <w:r>
        <w:rPr>
          <w:rFonts w:hint="eastAsia"/>
          <w:noProof/>
          <w:lang w:eastAsia="ja-JP"/>
        </w:rPr>
        <w:t>Annex A:</w:t>
      </w:r>
      <w:r>
        <w:rPr>
          <w:noProof/>
          <w:lang w:eastAsia="ja-JP"/>
        </w:rPr>
        <w:br/>
      </w:r>
      <w:r>
        <w:rPr>
          <w:rFonts w:hint="eastAsia"/>
          <w:noProof/>
          <w:lang w:eastAsia="ja-JP"/>
        </w:rPr>
        <w:t>ASN.1 structure on RACH-Config</w:t>
      </w:r>
      <w:r>
        <w:rPr>
          <w:noProof/>
          <w:lang w:eastAsia="ja-JP"/>
        </w:rPr>
        <w:t>Common/Dedicated and BeamFailureRecoveryConfig</w:t>
      </w:r>
    </w:p>
    <w:p w:rsidR="00505997" w:rsidRDefault="00505997" w:rsidP="00505997">
      <w:pPr>
        <w:pStyle w:val="TH"/>
        <w:rPr>
          <w:lang w:eastAsia="ja-JP"/>
        </w:rPr>
        <w:sectPr w:rsidR="00505997">
          <w:headerReference w:type="default" r:id="rId11"/>
          <w:footnotePr>
            <w:numRestart w:val="eachSect"/>
          </w:footnotePr>
          <w:pgSz w:w="11907" w:h="16840" w:code="9"/>
          <w:pgMar w:top="1418" w:right="1134" w:bottom="1134" w:left="1134" w:header="680" w:footer="567" w:gutter="0"/>
          <w:cols w:space="720"/>
        </w:sectPr>
      </w:pPr>
    </w:p>
    <w:p w:rsidR="00505997" w:rsidRPr="00505997" w:rsidRDefault="00505997" w:rsidP="00505997">
      <w:pPr>
        <w:pStyle w:val="TH"/>
        <w:rPr>
          <w:lang w:eastAsia="ja-JP"/>
        </w:rPr>
      </w:pPr>
      <w:r>
        <w:rPr>
          <w:lang w:eastAsia="ja-JP"/>
        </w:rPr>
        <w:object w:dxaOrig="16681" w:dyaOrig="18990">
          <v:shape id="_x0000_i1026" type="#_x0000_t75" style="width:833.95pt;height:949.75pt" o:ole="">
            <v:imagedata r:id="rId12" o:title=""/>
          </v:shape>
          <o:OLEObject Type="Embed" ProgID="Visio.Drawing.15" ShapeID="_x0000_i1026" DrawAspect="Content" ObjectID="_1580830126" r:id="rId13"/>
        </w:object>
      </w:r>
    </w:p>
    <w:sectPr w:rsidR="00505997" w:rsidRPr="00505997" w:rsidSect="00505997">
      <w:footnotePr>
        <w:numRestart w:val="eachSect"/>
      </w:footnotePr>
      <w:pgSz w:w="16840" w:h="23808" w:code="8"/>
      <w:pgMar w:top="1418" w:right="1134" w:bottom="1134" w:left="142"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3BB" w:rsidRDefault="009143BB">
      <w:r>
        <w:separator/>
      </w:r>
    </w:p>
  </w:endnote>
  <w:endnote w:type="continuationSeparator" w:id="0">
    <w:p w:rsidR="009143BB" w:rsidRDefault="0091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3BB" w:rsidRDefault="009143BB">
      <w:r>
        <w:separator/>
      </w:r>
    </w:p>
  </w:footnote>
  <w:footnote w:type="continuationSeparator" w:id="0">
    <w:p w:rsidR="009143BB" w:rsidRDefault="009143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33F"/>
    <w:rsid w:val="000A6394"/>
    <w:rsid w:val="000B25EB"/>
    <w:rsid w:val="000C038A"/>
    <w:rsid w:val="000C6598"/>
    <w:rsid w:val="00107586"/>
    <w:rsid w:val="00145D43"/>
    <w:rsid w:val="0017301E"/>
    <w:rsid w:val="00187E83"/>
    <w:rsid w:val="00192C46"/>
    <w:rsid w:val="001A7B60"/>
    <w:rsid w:val="001B7A65"/>
    <w:rsid w:val="001C6279"/>
    <w:rsid w:val="001E41F3"/>
    <w:rsid w:val="0026004D"/>
    <w:rsid w:val="00275D12"/>
    <w:rsid w:val="002860C4"/>
    <w:rsid w:val="002A01CC"/>
    <w:rsid w:val="002B5741"/>
    <w:rsid w:val="002D4604"/>
    <w:rsid w:val="003013C9"/>
    <w:rsid w:val="00305409"/>
    <w:rsid w:val="00376B90"/>
    <w:rsid w:val="003A3978"/>
    <w:rsid w:val="003E1A36"/>
    <w:rsid w:val="00413732"/>
    <w:rsid w:val="004242F1"/>
    <w:rsid w:val="004B1546"/>
    <w:rsid w:val="004B75B7"/>
    <w:rsid w:val="00505997"/>
    <w:rsid w:val="0051580D"/>
    <w:rsid w:val="005765E9"/>
    <w:rsid w:val="0058388C"/>
    <w:rsid w:val="00592D74"/>
    <w:rsid w:val="005A4395"/>
    <w:rsid w:val="005C6960"/>
    <w:rsid w:val="005E2C44"/>
    <w:rsid w:val="00621188"/>
    <w:rsid w:val="006257ED"/>
    <w:rsid w:val="00635B7A"/>
    <w:rsid w:val="00653BD0"/>
    <w:rsid w:val="00657F19"/>
    <w:rsid w:val="00695808"/>
    <w:rsid w:val="00696D5B"/>
    <w:rsid w:val="006B46FB"/>
    <w:rsid w:val="006D59D6"/>
    <w:rsid w:val="006E21FB"/>
    <w:rsid w:val="00776F11"/>
    <w:rsid w:val="00787165"/>
    <w:rsid w:val="00792342"/>
    <w:rsid w:val="007A026B"/>
    <w:rsid w:val="007B512A"/>
    <w:rsid w:val="007B6E9E"/>
    <w:rsid w:val="007C2097"/>
    <w:rsid w:val="007D6A07"/>
    <w:rsid w:val="008279FA"/>
    <w:rsid w:val="00840BDA"/>
    <w:rsid w:val="008626E7"/>
    <w:rsid w:val="00870EE7"/>
    <w:rsid w:val="00872C6B"/>
    <w:rsid w:val="008F686C"/>
    <w:rsid w:val="009143BB"/>
    <w:rsid w:val="009209A0"/>
    <w:rsid w:val="009777D9"/>
    <w:rsid w:val="00991B88"/>
    <w:rsid w:val="009A579D"/>
    <w:rsid w:val="009E3297"/>
    <w:rsid w:val="009F734F"/>
    <w:rsid w:val="00A04B43"/>
    <w:rsid w:val="00A246B6"/>
    <w:rsid w:val="00A47E70"/>
    <w:rsid w:val="00A7671C"/>
    <w:rsid w:val="00AD1CD8"/>
    <w:rsid w:val="00B11FD3"/>
    <w:rsid w:val="00B258BB"/>
    <w:rsid w:val="00B36D6A"/>
    <w:rsid w:val="00B62575"/>
    <w:rsid w:val="00B67B97"/>
    <w:rsid w:val="00B82D7A"/>
    <w:rsid w:val="00B968C8"/>
    <w:rsid w:val="00BA3EC5"/>
    <w:rsid w:val="00BB5DFC"/>
    <w:rsid w:val="00BC0EF5"/>
    <w:rsid w:val="00BD279D"/>
    <w:rsid w:val="00BD6BB8"/>
    <w:rsid w:val="00BE0F1E"/>
    <w:rsid w:val="00BF26A5"/>
    <w:rsid w:val="00C20000"/>
    <w:rsid w:val="00C61611"/>
    <w:rsid w:val="00C76F88"/>
    <w:rsid w:val="00C92D1D"/>
    <w:rsid w:val="00C95985"/>
    <w:rsid w:val="00CB4B92"/>
    <w:rsid w:val="00CC5026"/>
    <w:rsid w:val="00D03F9A"/>
    <w:rsid w:val="00D359DF"/>
    <w:rsid w:val="00D55C22"/>
    <w:rsid w:val="00DA635A"/>
    <w:rsid w:val="00DC01C1"/>
    <w:rsid w:val="00DD169B"/>
    <w:rsid w:val="00DE34CF"/>
    <w:rsid w:val="00E2071A"/>
    <w:rsid w:val="00E64207"/>
    <w:rsid w:val="00E6554E"/>
    <w:rsid w:val="00E75FA4"/>
    <w:rsid w:val="00E76432"/>
    <w:rsid w:val="00E83D70"/>
    <w:rsid w:val="00EE7D7C"/>
    <w:rsid w:val="00F0082A"/>
    <w:rsid w:val="00F16613"/>
    <w:rsid w:val="00F25D98"/>
    <w:rsid w:val="00F300FB"/>
    <w:rsid w:val="00F45BF5"/>
    <w:rsid w:val="00FB49BC"/>
    <w:rsid w:val="00FB6386"/>
    <w:rsid w:val="00FC05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3D37C8"/>
  <w15:chartTrackingRefBased/>
  <w15:docId w15:val="{6806F8AE-D9CE-4835-A026-0D4686FE3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af2"/>
    <w:qFormat/>
    <w:rsid w:val="00C20000"/>
    <w:pPr>
      <w:overflowPunct w:val="0"/>
      <w:autoSpaceDE w:val="0"/>
      <w:autoSpaceDN w:val="0"/>
      <w:adjustRightInd w:val="0"/>
      <w:spacing w:after="120"/>
      <w:jc w:val="center"/>
      <w:textAlignment w:val="baseline"/>
    </w:pPr>
    <w:rPr>
      <w:rFonts w:ascii="Arial" w:eastAsia="ＭＳ 明朝" w:hAnsi="Arial"/>
      <w:b/>
      <w:sz w:val="24"/>
      <w:lang w:val="de-DE"/>
    </w:rPr>
  </w:style>
  <w:style w:type="character" w:customStyle="1" w:styleId="af2">
    <w:name w:val="表題 (文字)"/>
    <w:basedOn w:val="a0"/>
    <w:link w:val="af1"/>
    <w:rsid w:val="00C20000"/>
    <w:rPr>
      <w:rFonts w:ascii="Arial" w:eastAsia="ＭＳ 明朝"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440</Words>
  <Characters>2513</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NTT DOCOMO, INC.</cp:lastModifiedBy>
  <cp:revision>3</cp:revision>
  <cp:lastPrinted>1899-12-31T15:00:00Z</cp:lastPrinted>
  <dcterms:created xsi:type="dcterms:W3CDTF">2018-02-22T09:42:00Z</dcterms:created>
  <dcterms:modified xsi:type="dcterms:W3CDTF">2018-02-22T09:42:00Z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