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AA9D4" w14:textId="76E5F995" w:rsidR="003848A3" w:rsidRPr="00EE6198" w:rsidRDefault="003848A3" w:rsidP="0038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Pr="00EE6198">
        <w:rPr>
          <w:sz w:val="24"/>
          <w:lang w:val="en-GB" w:eastAsia="zh-CN"/>
        </w:rPr>
        <w:tab/>
      </w:r>
      <w:bookmarkStart w:id="0" w:name="_GoBack"/>
      <w:r w:rsidR="00A36480" w:rsidRPr="00A36480">
        <w:rPr>
          <w:sz w:val="24"/>
          <w:lang w:val="en-GB" w:eastAsia="zh-CN"/>
        </w:rPr>
        <w:t>R2-1802904</w:t>
      </w:r>
      <w:bookmarkEnd w:id="0"/>
    </w:p>
    <w:p w14:paraId="16D5C317" w14:textId="4529FB1D" w:rsidR="009D5BAB" w:rsidRPr="009D56B1" w:rsidRDefault="003848A3" w:rsidP="003848A3">
      <w:pPr>
        <w:pStyle w:val="Header"/>
        <w:tabs>
          <w:tab w:val="right" w:pos="9639"/>
        </w:tabs>
        <w:rPr>
          <w:bCs/>
          <w:i/>
          <w:noProof w:val="0"/>
          <w:sz w:val="24"/>
        </w:rPr>
      </w:pPr>
      <w:r>
        <w:rPr>
          <w:sz w:val="24"/>
          <w:lang w:val="en-GB" w:eastAsia="zh-CN"/>
        </w:rPr>
        <w:t>Athens</w:t>
      </w:r>
      <w:r w:rsidRPr="00EE6198">
        <w:rPr>
          <w:sz w:val="24"/>
          <w:lang w:val="en-GB" w:eastAsia="zh-CN"/>
        </w:rPr>
        <w:t>,</w:t>
      </w:r>
      <w:r>
        <w:rPr>
          <w:sz w:val="24"/>
          <w:lang w:val="en-GB" w:eastAsia="zh-CN"/>
        </w:rPr>
        <w:t xml:space="preserve"> Greece,</w:t>
      </w:r>
      <w:r w:rsidRPr="00EE6198">
        <w:rPr>
          <w:sz w:val="24"/>
          <w:lang w:val="en-GB" w:eastAsia="zh-CN"/>
        </w:rPr>
        <w:t xml:space="preserve"> </w:t>
      </w:r>
      <w:r>
        <w:rPr>
          <w:sz w:val="24"/>
          <w:lang w:val="en-GB" w:eastAsia="zh-CN"/>
        </w:rPr>
        <w:t>26</w:t>
      </w:r>
      <w:r w:rsidRPr="00504FD0">
        <w:rPr>
          <w:sz w:val="24"/>
          <w:lang w:val="en-GB" w:eastAsia="zh-CN"/>
        </w:rPr>
        <w:t>th</w:t>
      </w:r>
      <w:r>
        <w:rPr>
          <w:sz w:val="24"/>
          <w:lang w:val="en-GB" w:eastAsia="zh-CN"/>
        </w:rPr>
        <w:t xml:space="preserve"> February  – 2nd</w:t>
      </w:r>
      <w:r w:rsidRPr="00EE6198">
        <w:rPr>
          <w:sz w:val="24"/>
          <w:lang w:val="en-GB" w:eastAsia="zh-CN"/>
        </w:rPr>
        <w:t xml:space="preserve"> </w:t>
      </w:r>
      <w:r>
        <w:rPr>
          <w:sz w:val="24"/>
          <w:lang w:val="en-GB" w:eastAsia="zh-CN"/>
        </w:rPr>
        <w:t>March</w:t>
      </w:r>
      <w:r w:rsidRPr="00EE6198">
        <w:rPr>
          <w:sz w:val="24"/>
          <w:lang w:val="en-GB" w:eastAsia="zh-CN"/>
        </w:rPr>
        <w:t xml:space="preserve"> 2018</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EDF06F4"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8F15B9">
        <w:rPr>
          <w:rFonts w:eastAsia="SimSun" w:cs="Arial"/>
          <w:b/>
          <w:bCs/>
          <w:sz w:val="24"/>
          <w:lang w:val="en-US"/>
        </w:rPr>
        <w:t>9.10.2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35732C12"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3848A3">
        <w:rPr>
          <w:rFonts w:ascii="Arial" w:hAnsi="Arial" w:cs="Arial"/>
          <w:b/>
          <w:bCs/>
          <w:sz w:val="24"/>
        </w:rPr>
        <w:t>P</w:t>
      </w:r>
      <w:r w:rsidR="00F443D7" w:rsidRPr="00F443D7">
        <w:rPr>
          <w:rFonts w:ascii="Arial" w:hAnsi="Arial" w:cs="Arial"/>
          <w:b/>
          <w:bCs/>
          <w:sz w:val="24"/>
        </w:rPr>
        <w:t xml:space="preserve">acket duplication </w:t>
      </w:r>
      <w:r w:rsidR="003848A3">
        <w:rPr>
          <w:rFonts w:ascii="Arial" w:hAnsi="Arial" w:cs="Arial"/>
          <w:b/>
          <w:bCs/>
          <w:sz w:val="24"/>
        </w:rPr>
        <w:t xml:space="preserve">aspects </w:t>
      </w:r>
      <w:r w:rsidR="00F443D7" w:rsidRPr="00F443D7">
        <w:rPr>
          <w:rFonts w:ascii="Arial" w:hAnsi="Arial" w:cs="Arial"/>
          <w:b/>
          <w:bCs/>
          <w:sz w:val="24"/>
        </w:rPr>
        <w:t>for CA based eV2X</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AE89EE0" w14:textId="0AA95B87" w:rsidR="000062EC" w:rsidRDefault="00740D3E"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RAN2#</w:t>
      </w:r>
      <w:r w:rsidR="003848A3">
        <w:rPr>
          <w:rFonts w:ascii="Times New Roman" w:hAnsi="Times New Roman"/>
          <w:sz w:val="20"/>
          <w:szCs w:val="20"/>
          <w:lang w:eastAsia="ja-JP"/>
        </w:rPr>
        <w:t>100</w:t>
      </w:r>
      <w:r>
        <w:rPr>
          <w:rFonts w:ascii="Times New Roman" w:hAnsi="Times New Roman"/>
          <w:sz w:val="20"/>
          <w:szCs w:val="20"/>
          <w:lang w:eastAsia="ja-JP"/>
        </w:rPr>
        <w:t xml:space="preserve">, </w:t>
      </w:r>
      <w:r w:rsidR="003848A3">
        <w:rPr>
          <w:rFonts w:ascii="Times New Roman" w:hAnsi="Times New Roman"/>
          <w:sz w:val="20"/>
          <w:szCs w:val="20"/>
          <w:lang w:eastAsia="ja-JP"/>
        </w:rPr>
        <w:t xml:space="preserve">the following agreements were made regarding packet duplication over sidelink for eV2X carrier aggregation to support use case 2 </w:t>
      </w:r>
      <w:sdt>
        <w:sdtPr>
          <w:rPr>
            <w:rFonts w:ascii="Times New Roman" w:hAnsi="Times New Roman"/>
            <w:sz w:val="20"/>
            <w:szCs w:val="20"/>
            <w:lang w:eastAsia="ja-JP"/>
          </w:rPr>
          <w:id w:val="-1871220063"/>
          <w:citation/>
        </w:sdtPr>
        <w:sdtEndPr/>
        <w:sdtContent>
          <w:r w:rsidR="000E4761">
            <w:rPr>
              <w:rFonts w:ascii="Times New Roman" w:hAnsi="Times New Roman"/>
              <w:sz w:val="20"/>
              <w:szCs w:val="20"/>
              <w:lang w:eastAsia="ja-JP"/>
            </w:rPr>
            <w:fldChar w:fldCharType="begin"/>
          </w:r>
          <w:r w:rsidR="000E4761">
            <w:rPr>
              <w:rFonts w:ascii="Times New Roman" w:hAnsi="Times New Roman"/>
              <w:sz w:val="20"/>
              <w:szCs w:val="20"/>
              <w:lang w:eastAsia="ja-JP"/>
            </w:rPr>
            <w:instrText xml:space="preserve"> CITATION RAN21003 \l 1033 </w:instrText>
          </w:r>
          <w:r w:rsidR="000E4761">
            <w:rPr>
              <w:rFonts w:ascii="Times New Roman" w:hAnsi="Times New Roman"/>
              <w:sz w:val="20"/>
              <w:szCs w:val="20"/>
              <w:lang w:eastAsia="ja-JP"/>
            </w:rPr>
            <w:fldChar w:fldCharType="separate"/>
          </w:r>
          <w:r w:rsidR="00BE500A" w:rsidRPr="00BE500A">
            <w:rPr>
              <w:rFonts w:ascii="Times New Roman" w:hAnsi="Times New Roman"/>
              <w:noProof/>
              <w:sz w:val="20"/>
              <w:szCs w:val="20"/>
              <w:lang w:eastAsia="ja-JP"/>
            </w:rPr>
            <w:t>[1]</w:t>
          </w:r>
          <w:r w:rsidR="000E4761">
            <w:rPr>
              <w:rFonts w:ascii="Times New Roman" w:hAnsi="Times New Roman"/>
              <w:sz w:val="20"/>
              <w:szCs w:val="20"/>
              <w:lang w:eastAsia="ja-JP"/>
            </w:rPr>
            <w:fldChar w:fldCharType="end"/>
          </w:r>
        </w:sdtContent>
      </w:sdt>
      <w:r w:rsidR="00F443D7">
        <w:rPr>
          <w:rFonts w:ascii="Times New Roman" w:hAnsi="Times New Roman"/>
          <w:sz w:val="20"/>
          <w:szCs w:val="20"/>
          <w:lang w:eastAsia="ja-JP"/>
        </w:rPr>
        <w:t>:</w:t>
      </w:r>
    </w:p>
    <w:p w14:paraId="5A2189FA" w14:textId="77777777" w:rsidR="003848A3" w:rsidRPr="00BE766B" w:rsidRDefault="003848A3" w:rsidP="004A45E2">
      <w:pPr>
        <w:pStyle w:val="Doc-text2"/>
        <w:pBdr>
          <w:top w:val="single" w:sz="4" w:space="1" w:color="auto"/>
          <w:left w:val="single" w:sz="4" w:space="4" w:color="auto"/>
          <w:bottom w:val="single" w:sz="4" w:space="1" w:color="auto"/>
          <w:right w:val="single" w:sz="4" w:space="4" w:color="auto"/>
        </w:pBdr>
        <w:ind w:left="1083"/>
        <w:rPr>
          <w:b/>
          <w:lang w:eastAsia="ko-KR"/>
        </w:rPr>
      </w:pPr>
      <w:r w:rsidRPr="00BE766B">
        <w:rPr>
          <w:b/>
          <w:lang w:eastAsia="ko-KR"/>
        </w:rPr>
        <w:t>Agreements</w:t>
      </w:r>
    </w:p>
    <w:p w14:paraId="53B71ECD" w14:textId="77777777" w:rsidR="003848A3" w:rsidRDefault="003848A3" w:rsidP="004A45E2">
      <w:pPr>
        <w:pStyle w:val="Doc-text2"/>
        <w:numPr>
          <w:ilvl w:val="0"/>
          <w:numId w:val="15"/>
        </w:numPr>
        <w:pBdr>
          <w:top w:val="single" w:sz="4" w:space="1" w:color="auto"/>
          <w:left w:val="single" w:sz="4" w:space="4" w:color="auto"/>
          <w:bottom w:val="single" w:sz="4" w:space="1" w:color="auto"/>
          <w:right w:val="single" w:sz="4" w:space="4" w:color="auto"/>
        </w:pBdr>
        <w:ind w:left="1140"/>
        <w:rPr>
          <w:noProof/>
        </w:rPr>
      </w:pPr>
      <w:r>
        <w:rPr>
          <w:noProof/>
        </w:rPr>
        <w:t>Sidelink packet duplication in LTE is anchored at PDCP.</w:t>
      </w:r>
    </w:p>
    <w:p w14:paraId="3325764A" w14:textId="77777777" w:rsidR="003848A3" w:rsidRDefault="003848A3" w:rsidP="004A45E2">
      <w:pPr>
        <w:pStyle w:val="Doc-text2"/>
        <w:numPr>
          <w:ilvl w:val="0"/>
          <w:numId w:val="15"/>
        </w:numPr>
        <w:pBdr>
          <w:top w:val="single" w:sz="4" w:space="1" w:color="auto"/>
          <w:left w:val="single" w:sz="4" w:space="4" w:color="auto"/>
          <w:bottom w:val="single" w:sz="4" w:space="1" w:color="auto"/>
          <w:right w:val="single" w:sz="4" w:space="4" w:color="auto"/>
        </w:pBdr>
        <w:ind w:left="1140"/>
        <w:rPr>
          <w:lang w:eastAsia="ko-KR"/>
        </w:rPr>
      </w:pPr>
      <w:r>
        <w:rPr>
          <w:noProof/>
        </w:rPr>
        <w:t>As for the Uu packet duplication, duplicated sidelink PDCP PDUs are submitted to two different RLC entities and associated to two different logical channels.</w:t>
      </w:r>
    </w:p>
    <w:p w14:paraId="3F37CA3A" w14:textId="77777777" w:rsidR="003848A3" w:rsidRDefault="003848A3" w:rsidP="004A45E2">
      <w:pPr>
        <w:pStyle w:val="Doc-text2"/>
        <w:numPr>
          <w:ilvl w:val="0"/>
          <w:numId w:val="15"/>
        </w:numPr>
        <w:pBdr>
          <w:top w:val="single" w:sz="4" w:space="1" w:color="auto"/>
          <w:left w:val="single" w:sz="4" w:space="4" w:color="auto"/>
          <w:bottom w:val="single" w:sz="4" w:space="1" w:color="auto"/>
          <w:right w:val="single" w:sz="4" w:space="4" w:color="auto"/>
        </w:pBdr>
        <w:ind w:left="1140"/>
        <w:rPr>
          <w:lang w:eastAsia="ko-KR"/>
        </w:rPr>
      </w:pPr>
      <w:r>
        <w:rPr>
          <w:noProof/>
        </w:rPr>
        <w:t>As for the Uu packet duplication, sidelink packet duplication on a single carrier is not supported, i.e. the MAC layer cannot multiplex the two logical channels associated to a duplicate packet into the same HARQ entity.</w:t>
      </w:r>
    </w:p>
    <w:p w14:paraId="5A55E8A3" w14:textId="77777777" w:rsidR="003848A3" w:rsidRDefault="003848A3" w:rsidP="004A45E2">
      <w:pPr>
        <w:pStyle w:val="Doc-text2"/>
        <w:numPr>
          <w:ilvl w:val="0"/>
          <w:numId w:val="15"/>
        </w:numPr>
        <w:pBdr>
          <w:top w:val="single" w:sz="4" w:space="1" w:color="auto"/>
          <w:left w:val="single" w:sz="4" w:space="4" w:color="auto"/>
          <w:bottom w:val="single" w:sz="4" w:space="1" w:color="auto"/>
          <w:right w:val="single" w:sz="4" w:space="4" w:color="auto"/>
        </w:pBdr>
        <w:ind w:left="1140"/>
        <w:rPr>
          <w:lang w:eastAsia="ko-KR"/>
        </w:rPr>
      </w:pPr>
      <w:r>
        <w:rPr>
          <w:noProof/>
        </w:rPr>
        <w:t xml:space="preserve">The LCID(s) that can be used for transmission of one replica of a duplicate packet are reserved, i.e. they cannot be used by non-duplicated packet transmission. RAN2 to discuss whether </w:t>
      </w:r>
      <w:r w:rsidRPr="0087048F">
        <w:rPr>
          <w:noProof/>
        </w:rPr>
        <w:t>this LCID(s) for the duplicated packet should be (pre)configured or hard-coded or up to the UE implementation.</w:t>
      </w:r>
      <w:r>
        <w:rPr>
          <w:noProof/>
        </w:rPr>
        <w:t xml:space="preserve"> (</w:t>
      </w:r>
      <w:r w:rsidRPr="00D17496">
        <w:rPr>
          <w:noProof/>
          <w:szCs w:val="20"/>
        </w:rPr>
        <w:t>FFS (pre)configuration or hard-coded or up to the UE implementation</w:t>
      </w:r>
      <w:r>
        <w:rPr>
          <w:noProof/>
          <w:szCs w:val="20"/>
        </w:rPr>
        <w:t>. Option should be worked for both mode3 and mode4.)</w:t>
      </w:r>
    </w:p>
    <w:p w14:paraId="2CCA9FB0" w14:textId="77777777" w:rsidR="003848A3" w:rsidRPr="0087048F" w:rsidRDefault="003848A3" w:rsidP="004A45E2">
      <w:pPr>
        <w:pStyle w:val="Doc-text2"/>
        <w:numPr>
          <w:ilvl w:val="0"/>
          <w:numId w:val="15"/>
        </w:numPr>
        <w:pBdr>
          <w:top w:val="single" w:sz="4" w:space="1" w:color="auto"/>
          <w:left w:val="single" w:sz="4" w:space="4" w:color="auto"/>
          <w:bottom w:val="single" w:sz="4" w:space="1" w:color="auto"/>
          <w:right w:val="single" w:sz="4" w:space="4" w:color="auto"/>
        </w:pBdr>
        <w:ind w:left="1140"/>
        <w:rPr>
          <w:lang w:eastAsia="ko-KR"/>
        </w:rPr>
      </w:pPr>
      <w:r w:rsidRPr="00EC3D88">
        <w:rPr>
          <w:noProof/>
          <w:szCs w:val="20"/>
        </w:rPr>
        <w:t xml:space="preserve">Will ask </w:t>
      </w:r>
      <w:r>
        <w:rPr>
          <w:noProof/>
          <w:szCs w:val="20"/>
        </w:rPr>
        <w:t>SA2 the possibility to derive reliability inforamtion. Will include some background information for packet duplication and the benifits of reliability indication. Includes background information of Rel-14 PPPP.</w:t>
      </w:r>
    </w:p>
    <w:p w14:paraId="6F996BA7" w14:textId="77777777" w:rsidR="000062EC" w:rsidRDefault="000062EC"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1985FCA2" w14:textId="189F62B2" w:rsidR="00291DB2" w:rsidRDefault="003848A3"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contribution, we further discuss the outstanding aspects and present our views</w:t>
      </w:r>
      <w:r w:rsidR="009917F0">
        <w:rPr>
          <w:rFonts w:ascii="Times New Roman" w:hAnsi="Times New Roman"/>
          <w:sz w:val="20"/>
          <w:szCs w:val="20"/>
          <w:lang w:eastAsia="ja-JP"/>
        </w:rPr>
        <w:t>, particularly taking into consideration</w:t>
      </w:r>
      <w:r w:rsidR="000E4761">
        <w:rPr>
          <w:rFonts w:ascii="Times New Roman" w:hAnsi="Times New Roman"/>
          <w:sz w:val="20"/>
          <w:szCs w:val="20"/>
          <w:lang w:eastAsia="ja-JP"/>
        </w:rPr>
        <w:t xml:space="preserve"> the SA2 LS </w:t>
      </w:r>
      <w:sdt>
        <w:sdtPr>
          <w:rPr>
            <w:rFonts w:ascii="Times New Roman" w:hAnsi="Times New Roman"/>
            <w:sz w:val="20"/>
            <w:szCs w:val="20"/>
            <w:lang w:eastAsia="ja-JP"/>
          </w:rPr>
          <w:id w:val="-1273084789"/>
          <w:citation/>
        </w:sdtPr>
        <w:sdtEndPr/>
        <w:sdtContent>
          <w:r w:rsidR="000E4761">
            <w:rPr>
              <w:rFonts w:ascii="Times New Roman" w:hAnsi="Times New Roman"/>
              <w:sz w:val="20"/>
              <w:szCs w:val="20"/>
              <w:lang w:eastAsia="ja-JP"/>
            </w:rPr>
            <w:fldChar w:fldCharType="begin"/>
          </w:r>
          <w:r w:rsidR="000E4761">
            <w:rPr>
              <w:rFonts w:ascii="Times New Roman" w:hAnsi="Times New Roman"/>
              <w:sz w:val="20"/>
              <w:szCs w:val="20"/>
              <w:lang w:eastAsia="ja-JP"/>
            </w:rPr>
            <w:instrText xml:space="preserve"> CITATION SA2LS \l 1033 </w:instrText>
          </w:r>
          <w:r w:rsidR="000E4761">
            <w:rPr>
              <w:rFonts w:ascii="Times New Roman" w:hAnsi="Times New Roman"/>
              <w:sz w:val="20"/>
              <w:szCs w:val="20"/>
              <w:lang w:eastAsia="ja-JP"/>
            </w:rPr>
            <w:fldChar w:fldCharType="separate"/>
          </w:r>
          <w:r w:rsidR="00BE500A" w:rsidRPr="00BE500A">
            <w:rPr>
              <w:rFonts w:ascii="Times New Roman" w:hAnsi="Times New Roman"/>
              <w:noProof/>
              <w:sz w:val="20"/>
              <w:szCs w:val="20"/>
              <w:lang w:eastAsia="ja-JP"/>
            </w:rPr>
            <w:t>[2]</w:t>
          </w:r>
          <w:r w:rsidR="000E4761">
            <w:rPr>
              <w:rFonts w:ascii="Times New Roman" w:hAnsi="Times New Roman"/>
              <w:sz w:val="20"/>
              <w:szCs w:val="20"/>
              <w:lang w:eastAsia="ja-JP"/>
            </w:rPr>
            <w:fldChar w:fldCharType="end"/>
          </w:r>
        </w:sdtContent>
      </w:sdt>
      <w:r>
        <w:rPr>
          <w:rFonts w:ascii="Times New Roman" w:hAnsi="Times New Roman"/>
          <w:sz w:val="20"/>
          <w:szCs w:val="20"/>
          <w:lang w:eastAsia="ja-JP"/>
        </w:rPr>
        <w:t xml:space="preserve"> which defines a new reliability metric for use </w:t>
      </w:r>
      <w:r w:rsidR="00BD4D14">
        <w:rPr>
          <w:rFonts w:ascii="Times New Roman" w:hAnsi="Times New Roman"/>
          <w:sz w:val="20"/>
          <w:szCs w:val="20"/>
          <w:lang w:eastAsia="ja-JP"/>
        </w:rPr>
        <w:t xml:space="preserve">with packet duplication </w:t>
      </w:r>
      <w:r>
        <w:rPr>
          <w:rFonts w:ascii="Times New Roman" w:hAnsi="Times New Roman"/>
          <w:sz w:val="20"/>
          <w:szCs w:val="20"/>
          <w:lang w:eastAsia="ja-JP"/>
        </w:rPr>
        <w:t>for V2X</w:t>
      </w:r>
      <w:r w:rsidR="000062EC">
        <w:rPr>
          <w:rFonts w:ascii="Times New Roman" w:hAnsi="Times New Roman"/>
          <w:sz w:val="20"/>
          <w:szCs w:val="20"/>
          <w:lang w:eastAsia="ja-JP"/>
        </w:rPr>
        <w:t>.</w:t>
      </w:r>
      <w:r w:rsidRPr="003848A3">
        <w:rPr>
          <w:bCs/>
          <w:sz w:val="24"/>
        </w:rPr>
        <w:t xml:space="preserve"> </w:t>
      </w:r>
    </w:p>
    <w:p w14:paraId="5DCEF4FA" w14:textId="6451D6AD" w:rsidR="00555440" w:rsidRPr="001C137C" w:rsidRDefault="000760CC" w:rsidP="00555440">
      <w:pPr>
        <w:pStyle w:val="Tdoc"/>
      </w:pPr>
      <w:r>
        <w:t>Discussion</w:t>
      </w:r>
    </w:p>
    <w:p w14:paraId="43A70CEC" w14:textId="471C21D9" w:rsidR="00927261" w:rsidRDefault="00927261"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the last meeting, there was some discussion on the configuration and activation/deactivation mechanism for PDCP duplication for mode 3 and mode 4 UEs. The following agreement was made:</w:t>
      </w:r>
    </w:p>
    <w:p w14:paraId="2BB85D9F" w14:textId="77777777" w:rsidR="00927261" w:rsidRPr="00E952D2" w:rsidRDefault="00927261" w:rsidP="009C4F61">
      <w:pPr>
        <w:pStyle w:val="Doc-text2"/>
        <w:pBdr>
          <w:top w:val="single" w:sz="4" w:space="1" w:color="auto"/>
          <w:left w:val="single" w:sz="4" w:space="4" w:color="auto"/>
          <w:bottom w:val="single" w:sz="4" w:space="1" w:color="auto"/>
          <w:right w:val="single" w:sz="4" w:space="4" w:color="auto"/>
        </w:pBdr>
        <w:ind w:left="1083"/>
        <w:rPr>
          <w:b/>
        </w:rPr>
      </w:pPr>
      <w:r w:rsidRPr="00E952D2">
        <w:rPr>
          <w:b/>
        </w:rPr>
        <w:t>Agreements:</w:t>
      </w:r>
    </w:p>
    <w:p w14:paraId="5AEC5C60" w14:textId="77777777" w:rsidR="00927261" w:rsidRDefault="00927261" w:rsidP="009C4F61">
      <w:pPr>
        <w:pStyle w:val="Doc-text2"/>
        <w:numPr>
          <w:ilvl w:val="0"/>
          <w:numId w:val="16"/>
        </w:numPr>
        <w:pBdr>
          <w:top w:val="single" w:sz="4" w:space="1" w:color="auto"/>
          <w:left w:val="single" w:sz="4" w:space="4" w:color="auto"/>
          <w:bottom w:val="single" w:sz="4" w:space="1" w:color="auto"/>
          <w:right w:val="single" w:sz="4" w:space="4" w:color="auto"/>
        </w:pBdr>
        <w:ind w:left="1080"/>
      </w:pPr>
      <w:r>
        <w:rPr>
          <w:noProof/>
          <w:szCs w:val="20"/>
        </w:rPr>
        <w:t xml:space="preserve">For mode4 (connected and idle), </w:t>
      </w:r>
      <w:r w:rsidRPr="00AC6620">
        <w:rPr>
          <w:noProof/>
          <w:szCs w:val="20"/>
        </w:rPr>
        <w:t>UE</w:t>
      </w:r>
      <w:r>
        <w:rPr>
          <w:noProof/>
          <w:szCs w:val="20"/>
        </w:rPr>
        <w:t xml:space="preserve"> autonomous activation of duplication transmission on multiple carriers is allowed based on (pre)configuration. FFS on UE request to NW for duplication transmission.</w:t>
      </w:r>
    </w:p>
    <w:p w14:paraId="1F810308" w14:textId="77777777" w:rsidR="00927261" w:rsidRDefault="00927261"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44F73DA" w14:textId="23EE9544" w:rsidR="00927261" w:rsidRDefault="00927261"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Now that SA2 has defined a new metric which can be utilized for the purpose of determining when this duplication can be performed, we can revisit this issue. In particular, </w:t>
      </w:r>
      <w:r w:rsidR="00281DB7">
        <w:rPr>
          <w:rFonts w:ascii="Times New Roman" w:eastAsia="Times New Roman" w:hAnsi="Times New Roman"/>
          <w:bCs/>
          <w:sz w:val="20"/>
          <w:szCs w:val="20"/>
          <w:lang w:val="en-GB" w:eastAsia="zh-CN"/>
        </w:rPr>
        <w:t>irrespective</w:t>
      </w:r>
      <w:r>
        <w:rPr>
          <w:rFonts w:ascii="Times New Roman" w:eastAsia="Times New Roman" w:hAnsi="Times New Roman"/>
          <w:bCs/>
          <w:sz w:val="20"/>
          <w:szCs w:val="20"/>
          <w:lang w:val="en-GB" w:eastAsia="zh-CN"/>
        </w:rPr>
        <w:t xml:space="preserve"> of how exactly PPPR conveys information of required reliability for V2X transmission</w:t>
      </w:r>
      <w:r w:rsidR="00281DB7">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857968936"/>
          <w:citation/>
        </w:sdtPr>
        <w:sdtEndPr/>
        <w:sdtContent>
          <w:r w:rsidR="000E4761">
            <w:rPr>
              <w:rFonts w:ascii="Times New Roman" w:eastAsia="Times New Roman" w:hAnsi="Times New Roman"/>
              <w:bCs/>
              <w:sz w:val="20"/>
              <w:szCs w:val="20"/>
              <w:lang w:val="en-GB" w:eastAsia="zh-CN"/>
            </w:rPr>
            <w:fldChar w:fldCharType="begin"/>
          </w:r>
          <w:r w:rsidR="000E4761">
            <w:rPr>
              <w:rFonts w:ascii="Times New Roman" w:eastAsia="Times New Roman" w:hAnsi="Times New Roman"/>
              <w:bCs/>
              <w:sz w:val="20"/>
              <w:szCs w:val="20"/>
              <w:lang w:eastAsia="zh-CN"/>
            </w:rPr>
            <w:instrText xml:space="preserve"> CITATION Reliabilityframework \l 1033 </w:instrText>
          </w:r>
          <w:r w:rsidR="000E4761">
            <w:rPr>
              <w:rFonts w:ascii="Times New Roman" w:eastAsia="Times New Roman" w:hAnsi="Times New Roman"/>
              <w:bCs/>
              <w:sz w:val="20"/>
              <w:szCs w:val="20"/>
              <w:lang w:val="en-GB" w:eastAsia="zh-CN"/>
            </w:rPr>
            <w:fldChar w:fldCharType="separate"/>
          </w:r>
          <w:r w:rsidR="00BE500A" w:rsidRPr="00BE500A">
            <w:rPr>
              <w:rFonts w:ascii="Times New Roman" w:eastAsia="Times New Roman" w:hAnsi="Times New Roman"/>
              <w:noProof/>
              <w:sz w:val="20"/>
              <w:szCs w:val="20"/>
              <w:lang w:eastAsia="zh-CN"/>
            </w:rPr>
            <w:t>[3]</w:t>
          </w:r>
          <w:r w:rsidR="000E4761">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we think that it should be the main determining factor for when the duplication is enabled. In this context, we look at the case of mode 3 and mode 4 UEs separately:</w:t>
      </w:r>
    </w:p>
    <w:p w14:paraId="69AF7EA8" w14:textId="2851C699" w:rsidR="00927261" w:rsidRPr="00B9000F" w:rsidRDefault="00927261" w:rsidP="000062EC">
      <w:pPr>
        <w:overflowPunct w:val="0"/>
        <w:autoSpaceDE w:val="0"/>
        <w:autoSpaceDN w:val="0"/>
        <w:adjustRightInd w:val="0"/>
        <w:spacing w:after="180" w:line="240" w:lineRule="auto"/>
        <w:textAlignment w:val="baseline"/>
        <w:rPr>
          <w:rFonts w:ascii="Times New Roman" w:eastAsia="Times New Roman" w:hAnsi="Times New Roman"/>
          <w:b/>
          <w:bCs/>
          <w:szCs w:val="20"/>
          <w:lang w:val="en-GB" w:eastAsia="zh-CN"/>
        </w:rPr>
      </w:pPr>
      <w:r w:rsidRPr="00B9000F">
        <w:rPr>
          <w:rFonts w:ascii="Times New Roman" w:eastAsia="Times New Roman" w:hAnsi="Times New Roman"/>
          <w:b/>
          <w:bCs/>
          <w:szCs w:val="20"/>
          <w:lang w:val="en-GB" w:eastAsia="zh-CN"/>
        </w:rPr>
        <w:t>Mode 3:</w:t>
      </w:r>
    </w:p>
    <w:p w14:paraId="2FDF47A2" w14:textId="209AB4B6" w:rsidR="00E77D40" w:rsidRDefault="0020671E">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w:t>
      </w:r>
      <w:r w:rsidR="00927261">
        <w:rPr>
          <w:rFonts w:ascii="Times New Roman" w:eastAsia="Times New Roman" w:hAnsi="Times New Roman"/>
          <w:bCs/>
          <w:sz w:val="20"/>
          <w:szCs w:val="20"/>
          <w:lang w:val="en-GB" w:eastAsia="zh-CN"/>
        </w:rPr>
        <w:t>t was proposed that eNB should be able to control and configure the activation of duplication transm</w:t>
      </w:r>
      <w:r w:rsidR="000E4761">
        <w:rPr>
          <w:rFonts w:ascii="Times New Roman" w:eastAsia="Times New Roman" w:hAnsi="Times New Roman"/>
          <w:bCs/>
          <w:sz w:val="20"/>
          <w:szCs w:val="20"/>
          <w:lang w:val="en-GB" w:eastAsia="zh-CN"/>
        </w:rPr>
        <w:t xml:space="preserve">issions over multiple carriers </w:t>
      </w:r>
      <w:sdt>
        <w:sdtPr>
          <w:rPr>
            <w:rFonts w:ascii="Times New Roman" w:eastAsia="Times New Roman" w:hAnsi="Times New Roman"/>
            <w:bCs/>
            <w:sz w:val="20"/>
            <w:szCs w:val="20"/>
            <w:lang w:val="en-GB" w:eastAsia="zh-CN"/>
          </w:rPr>
          <w:id w:val="-2090987142"/>
          <w:citation/>
        </w:sdtPr>
        <w:sdtEndPr/>
        <w:sdtContent>
          <w:r w:rsidR="000E4761">
            <w:rPr>
              <w:rFonts w:ascii="Times New Roman" w:eastAsia="Times New Roman" w:hAnsi="Times New Roman"/>
              <w:bCs/>
              <w:sz w:val="20"/>
              <w:szCs w:val="20"/>
              <w:lang w:val="en-GB" w:eastAsia="zh-CN"/>
            </w:rPr>
            <w:fldChar w:fldCharType="begin"/>
          </w:r>
          <w:r w:rsidR="000E4761">
            <w:rPr>
              <w:rFonts w:ascii="Times New Roman" w:eastAsia="Times New Roman" w:hAnsi="Times New Roman"/>
              <w:bCs/>
              <w:sz w:val="20"/>
              <w:szCs w:val="20"/>
              <w:lang w:eastAsia="zh-CN"/>
            </w:rPr>
            <w:instrText xml:space="preserve"> CITATION NokiaDuplication \l 1033 </w:instrText>
          </w:r>
          <w:r w:rsidR="000E4761">
            <w:rPr>
              <w:rFonts w:ascii="Times New Roman" w:eastAsia="Times New Roman" w:hAnsi="Times New Roman"/>
              <w:bCs/>
              <w:sz w:val="20"/>
              <w:szCs w:val="20"/>
              <w:lang w:val="en-GB" w:eastAsia="zh-CN"/>
            </w:rPr>
            <w:fldChar w:fldCharType="separate"/>
          </w:r>
          <w:r w:rsidR="00BE500A" w:rsidRPr="00BE500A">
            <w:rPr>
              <w:rFonts w:ascii="Times New Roman" w:eastAsia="Times New Roman" w:hAnsi="Times New Roman"/>
              <w:noProof/>
              <w:sz w:val="20"/>
              <w:szCs w:val="20"/>
              <w:lang w:eastAsia="zh-CN"/>
            </w:rPr>
            <w:t>[4]</w:t>
          </w:r>
          <w:r w:rsidR="000E4761">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specifically for mode 3 UEs</w:t>
      </w:r>
      <w:r w:rsidR="00927261">
        <w:rPr>
          <w:rFonts w:ascii="Times New Roman" w:eastAsia="Times New Roman" w:hAnsi="Times New Roman"/>
          <w:bCs/>
          <w:sz w:val="20"/>
          <w:szCs w:val="20"/>
          <w:lang w:val="en-GB" w:eastAsia="zh-CN"/>
        </w:rPr>
        <w:t xml:space="preserve">. However, a valid point that was raised is that contrary to how NR PDCP duplication for CA case is progressing, i.e. RRC configured, MAC CE activated/deactivated, duplication over sidelink should also consider the required reliability by the UE. </w:t>
      </w:r>
      <w:r w:rsidR="00F77BD9">
        <w:rPr>
          <w:rFonts w:ascii="Times New Roman" w:eastAsia="Times New Roman" w:hAnsi="Times New Roman"/>
          <w:bCs/>
          <w:sz w:val="20"/>
          <w:szCs w:val="20"/>
          <w:lang w:val="en-GB" w:eastAsia="zh-CN"/>
        </w:rPr>
        <w:t xml:space="preserve">This is primarily due to the nature of V2X service types and envisioned use cases which may generate </w:t>
      </w:r>
      <w:r w:rsidR="005F30EF">
        <w:rPr>
          <w:rFonts w:ascii="Times New Roman" w:eastAsia="Times New Roman" w:hAnsi="Times New Roman"/>
          <w:bCs/>
          <w:sz w:val="20"/>
          <w:szCs w:val="20"/>
          <w:lang w:val="en-GB" w:eastAsia="zh-CN"/>
        </w:rPr>
        <w:t xml:space="preserve">traffic with high required reliability intermittently. </w:t>
      </w:r>
      <w:r w:rsidR="00E77D40">
        <w:rPr>
          <w:rFonts w:ascii="Times New Roman" w:eastAsia="Times New Roman" w:hAnsi="Times New Roman"/>
          <w:bCs/>
          <w:sz w:val="20"/>
          <w:szCs w:val="20"/>
          <w:lang w:val="en-GB" w:eastAsia="zh-CN"/>
        </w:rPr>
        <w:t>Indeed, that was the main reasoning behind RAN2 requesting SA2 to define the PPPR metric</w:t>
      </w:r>
      <w:r w:rsidR="00927261">
        <w:rPr>
          <w:rFonts w:ascii="Times New Roman" w:eastAsia="Times New Roman" w:hAnsi="Times New Roman"/>
          <w:bCs/>
          <w:sz w:val="20"/>
          <w:szCs w:val="20"/>
          <w:lang w:val="en-GB" w:eastAsia="zh-CN"/>
        </w:rPr>
        <w:t>.</w:t>
      </w:r>
      <w:r>
        <w:rPr>
          <w:rFonts w:ascii="Times New Roman" w:eastAsia="Times New Roman" w:hAnsi="Times New Roman"/>
          <w:bCs/>
          <w:sz w:val="20"/>
          <w:szCs w:val="20"/>
          <w:lang w:val="en-GB" w:eastAsia="zh-CN"/>
        </w:rPr>
        <w:t xml:space="preserve"> In addition, the channel conditions, i.e. </w:t>
      </w:r>
      <w:r>
        <w:rPr>
          <w:rFonts w:ascii="Times New Roman" w:eastAsia="Times New Roman" w:hAnsi="Times New Roman"/>
          <w:bCs/>
          <w:sz w:val="20"/>
          <w:szCs w:val="20"/>
          <w:lang w:val="en-GB" w:eastAsia="zh-CN"/>
        </w:rPr>
        <w:lastRenderedPageBreak/>
        <w:t>whether a particular carrier is congested or not also need</w:t>
      </w:r>
      <w:r w:rsidR="00F77BD9">
        <w:rPr>
          <w:rFonts w:ascii="Times New Roman" w:eastAsia="Times New Roman" w:hAnsi="Times New Roman"/>
          <w:bCs/>
          <w:sz w:val="20"/>
          <w:szCs w:val="20"/>
          <w:lang w:val="en-GB" w:eastAsia="zh-CN"/>
        </w:rPr>
        <w:t>s</w:t>
      </w:r>
      <w:r>
        <w:rPr>
          <w:rFonts w:ascii="Times New Roman" w:eastAsia="Times New Roman" w:hAnsi="Times New Roman"/>
          <w:bCs/>
          <w:sz w:val="20"/>
          <w:szCs w:val="20"/>
          <w:lang w:val="en-GB" w:eastAsia="zh-CN"/>
        </w:rPr>
        <w:t xml:space="preserve"> to factor into this decision</w:t>
      </w:r>
      <w:r w:rsidR="00DC00B2">
        <w:rPr>
          <w:rFonts w:ascii="Times New Roman" w:eastAsia="Times New Roman" w:hAnsi="Times New Roman"/>
          <w:bCs/>
          <w:sz w:val="20"/>
          <w:szCs w:val="20"/>
          <w:lang w:val="en-GB" w:eastAsia="zh-CN"/>
        </w:rPr>
        <w:t xml:space="preserve">, as activating duplication when the channel conditions are good anyway is not preferred. </w:t>
      </w:r>
    </w:p>
    <w:p w14:paraId="44C7D723" w14:textId="01EB864D" w:rsidR="00F77BD9" w:rsidRDefault="00E77D40">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Nevertheless, some way for the eNB to know whether or not packet duplication needs to be configured is required. </w:t>
      </w:r>
      <w:r w:rsidR="00F77BD9">
        <w:rPr>
          <w:rFonts w:ascii="Times New Roman" w:eastAsia="Times New Roman" w:hAnsi="Times New Roman"/>
          <w:bCs/>
          <w:sz w:val="20"/>
          <w:szCs w:val="20"/>
          <w:lang w:val="en-GB" w:eastAsia="zh-CN"/>
        </w:rPr>
        <w:t xml:space="preserve">So, at least for connected mode 3 UEs, if eNB controls the activation/deactivation of duplication, the request for dedicated transmission resources </w:t>
      </w:r>
      <w:r w:rsidR="00E87B8A">
        <w:rPr>
          <w:rFonts w:ascii="Times New Roman" w:eastAsia="Times New Roman" w:hAnsi="Times New Roman"/>
          <w:bCs/>
          <w:sz w:val="20"/>
          <w:szCs w:val="20"/>
          <w:lang w:val="en-GB" w:eastAsia="zh-CN"/>
        </w:rPr>
        <w:t xml:space="preserve">by mode 3 UE </w:t>
      </w:r>
      <w:r w:rsidR="00F77BD9">
        <w:rPr>
          <w:rFonts w:ascii="Times New Roman" w:eastAsia="Times New Roman" w:hAnsi="Times New Roman"/>
          <w:bCs/>
          <w:sz w:val="20"/>
          <w:szCs w:val="20"/>
          <w:lang w:val="en-GB" w:eastAsia="zh-CN"/>
        </w:rPr>
        <w:t xml:space="preserve">should also contain at least the </w:t>
      </w:r>
      <w:r w:rsidR="00667AB9">
        <w:rPr>
          <w:rFonts w:ascii="Times New Roman" w:eastAsia="Times New Roman" w:hAnsi="Times New Roman"/>
          <w:bCs/>
          <w:sz w:val="20"/>
          <w:szCs w:val="20"/>
          <w:lang w:val="en-GB" w:eastAsia="zh-CN"/>
        </w:rPr>
        <w:t>required reliability</w:t>
      </w:r>
      <w:r w:rsidR="00F77BD9">
        <w:rPr>
          <w:rFonts w:ascii="Times New Roman" w:eastAsia="Times New Roman" w:hAnsi="Times New Roman"/>
          <w:bCs/>
          <w:sz w:val="20"/>
          <w:szCs w:val="20"/>
          <w:lang w:val="en-GB" w:eastAsia="zh-CN"/>
        </w:rPr>
        <w:t xml:space="preserve"> information associated with the V2X transmission, i.e. PPPR. </w:t>
      </w:r>
      <w:r w:rsidR="00DF106B">
        <w:rPr>
          <w:rFonts w:ascii="Times New Roman" w:eastAsia="Times New Roman" w:hAnsi="Times New Roman"/>
          <w:bCs/>
          <w:sz w:val="20"/>
          <w:szCs w:val="20"/>
          <w:lang w:val="en-GB" w:eastAsia="zh-CN"/>
        </w:rPr>
        <w:t xml:space="preserve">The </w:t>
      </w:r>
      <w:r w:rsidR="00F77BD9">
        <w:rPr>
          <w:rFonts w:ascii="Times New Roman" w:eastAsia="Times New Roman" w:hAnsi="Times New Roman"/>
          <w:bCs/>
          <w:sz w:val="20"/>
          <w:szCs w:val="20"/>
          <w:lang w:val="en-GB" w:eastAsia="zh-CN"/>
        </w:rPr>
        <w:t xml:space="preserve">eNB can </w:t>
      </w:r>
      <w:r w:rsidR="00DF106B">
        <w:rPr>
          <w:rFonts w:ascii="Times New Roman" w:eastAsia="Times New Roman" w:hAnsi="Times New Roman"/>
          <w:bCs/>
          <w:sz w:val="20"/>
          <w:szCs w:val="20"/>
          <w:lang w:val="en-GB" w:eastAsia="zh-CN"/>
        </w:rPr>
        <w:t>then allocate resource appropriately for mode 3 UE</w:t>
      </w:r>
      <w:r w:rsidR="00F77BD9">
        <w:rPr>
          <w:rFonts w:ascii="Times New Roman" w:eastAsia="Times New Roman" w:hAnsi="Times New Roman"/>
          <w:bCs/>
          <w:sz w:val="20"/>
          <w:szCs w:val="20"/>
          <w:lang w:val="en-GB" w:eastAsia="zh-CN"/>
        </w:rPr>
        <w:t xml:space="preserve">. </w:t>
      </w:r>
      <w:r w:rsidR="00E87B8A">
        <w:rPr>
          <w:rFonts w:ascii="Times New Roman" w:eastAsia="Times New Roman" w:hAnsi="Times New Roman"/>
          <w:bCs/>
          <w:sz w:val="20"/>
          <w:szCs w:val="20"/>
          <w:lang w:val="en-GB" w:eastAsia="zh-CN"/>
        </w:rPr>
        <w:t>Upon reception of the RRC Reconfiguration message, the UE can then be informed of whether it can perform duplicated transmission</w:t>
      </w:r>
      <w:r w:rsidR="009F06CB">
        <w:rPr>
          <w:rFonts w:ascii="Times New Roman" w:eastAsia="Times New Roman" w:hAnsi="Times New Roman"/>
          <w:bCs/>
          <w:sz w:val="20"/>
          <w:szCs w:val="20"/>
          <w:lang w:val="en-GB" w:eastAsia="zh-CN"/>
        </w:rPr>
        <w:t xml:space="preserve"> over the allocated resources</w:t>
      </w:r>
      <w:r w:rsidR="00E87B8A">
        <w:rPr>
          <w:rFonts w:ascii="Times New Roman" w:eastAsia="Times New Roman" w:hAnsi="Times New Roman"/>
          <w:bCs/>
          <w:sz w:val="20"/>
          <w:szCs w:val="20"/>
          <w:lang w:val="en-GB" w:eastAsia="zh-CN"/>
        </w:rPr>
        <w:t xml:space="preserve">. </w:t>
      </w:r>
    </w:p>
    <w:p w14:paraId="28D285FE" w14:textId="08D13773" w:rsidR="005F30EF" w:rsidRDefault="005F30EF" w:rsidP="005F30E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45C05">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For mode 3 </w:t>
      </w:r>
      <w:r w:rsidR="00E87B8A">
        <w:rPr>
          <w:rFonts w:ascii="Times New Roman" w:eastAsia="Times New Roman" w:hAnsi="Times New Roman"/>
          <w:bCs/>
          <w:i/>
          <w:sz w:val="20"/>
          <w:szCs w:val="20"/>
          <w:lang w:val="en-GB" w:eastAsia="zh-CN"/>
        </w:rPr>
        <w:t xml:space="preserve">UEs, the eNB should configure activation/deactivation of PDCP duplication over multiple carriers based on </w:t>
      </w:r>
      <w:r w:rsidR="00872760">
        <w:rPr>
          <w:rFonts w:ascii="Times New Roman" w:eastAsia="Times New Roman" w:hAnsi="Times New Roman"/>
          <w:bCs/>
          <w:i/>
          <w:sz w:val="20"/>
          <w:szCs w:val="20"/>
          <w:lang w:val="en-GB" w:eastAsia="zh-CN"/>
        </w:rPr>
        <w:t>reliability</w:t>
      </w:r>
      <w:r w:rsidR="00E87B8A">
        <w:rPr>
          <w:rFonts w:ascii="Times New Roman" w:eastAsia="Times New Roman" w:hAnsi="Times New Roman"/>
          <w:bCs/>
          <w:i/>
          <w:sz w:val="20"/>
          <w:szCs w:val="20"/>
          <w:lang w:val="en-GB" w:eastAsia="zh-CN"/>
        </w:rPr>
        <w:t xml:space="preserve"> information indicated by the UE</w:t>
      </w:r>
      <w:r>
        <w:rPr>
          <w:rFonts w:ascii="Times New Roman" w:eastAsia="Times New Roman" w:hAnsi="Times New Roman"/>
          <w:bCs/>
          <w:i/>
          <w:sz w:val="20"/>
          <w:szCs w:val="20"/>
          <w:lang w:val="en-GB" w:eastAsia="zh-CN"/>
        </w:rPr>
        <w:t>.</w:t>
      </w:r>
    </w:p>
    <w:p w14:paraId="2DD31869" w14:textId="2DEB0B55" w:rsidR="00E77D40" w:rsidRPr="00E77D40" w:rsidRDefault="00E77D40" w:rsidP="00E77D40">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sidRPr="00E77D40">
        <w:rPr>
          <w:rFonts w:ascii="Times New Roman" w:eastAsia="Times New Roman" w:hAnsi="Times New Roman"/>
          <w:bCs/>
          <w:sz w:val="20"/>
          <w:szCs w:val="20"/>
          <w:lang w:val="en-GB" w:eastAsia="zh-CN"/>
        </w:rPr>
        <w:t xml:space="preserve">Regarding how to indicate this information to the eNB, this needs to be further discussed. For instance, in case of a particular service type initiating V2X transmission with high reliability requirement at the UE, the UE can include </w:t>
      </w:r>
      <w:r>
        <w:rPr>
          <w:rFonts w:ascii="Times New Roman" w:eastAsia="Times New Roman" w:hAnsi="Times New Roman"/>
          <w:bCs/>
          <w:sz w:val="20"/>
          <w:szCs w:val="20"/>
          <w:lang w:val="en-GB" w:eastAsia="zh-CN"/>
        </w:rPr>
        <w:t>this</w:t>
      </w:r>
      <w:r w:rsidRPr="00E77D40">
        <w:rPr>
          <w:rFonts w:ascii="Times New Roman" w:eastAsia="Times New Roman" w:hAnsi="Times New Roman"/>
          <w:bCs/>
          <w:sz w:val="20"/>
          <w:szCs w:val="20"/>
          <w:lang w:val="en-GB" w:eastAsia="zh-CN"/>
        </w:rPr>
        <w:t xml:space="preserve"> information </w:t>
      </w:r>
      <w:r>
        <w:rPr>
          <w:rFonts w:ascii="Times New Roman" w:eastAsia="Times New Roman" w:hAnsi="Times New Roman"/>
          <w:bCs/>
          <w:sz w:val="20"/>
          <w:szCs w:val="20"/>
          <w:lang w:val="en-GB" w:eastAsia="zh-CN"/>
        </w:rPr>
        <w:t xml:space="preserve">as part of the </w:t>
      </w:r>
      <w:r w:rsidRPr="00E77D40">
        <w:rPr>
          <w:rFonts w:ascii="Times New Roman" w:eastAsia="Times New Roman" w:hAnsi="Times New Roman"/>
          <w:bCs/>
          <w:i/>
          <w:sz w:val="20"/>
          <w:szCs w:val="20"/>
          <w:lang w:val="en-GB" w:eastAsia="zh-CN"/>
        </w:rPr>
        <w:t>SidelinkUEinformation</w:t>
      </w:r>
      <w:r w:rsidRPr="00E77D40">
        <w:rPr>
          <w:rFonts w:ascii="Times New Roman" w:eastAsia="Times New Roman" w:hAnsi="Times New Roman"/>
          <w:bCs/>
          <w:sz w:val="20"/>
          <w:szCs w:val="20"/>
          <w:lang w:val="en-GB" w:eastAsia="zh-CN"/>
        </w:rPr>
        <w:t xml:space="preserve"> message.</w:t>
      </w:r>
    </w:p>
    <w:p w14:paraId="1794974A" w14:textId="6274E9DB" w:rsidR="00E77D40" w:rsidRDefault="00E77D40" w:rsidP="005F30E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45C05">
        <w:rPr>
          <w:rFonts w:ascii="Times New Roman" w:eastAsia="Times New Roman" w:hAnsi="Times New Roman"/>
          <w:b/>
          <w:bCs/>
          <w:sz w:val="20"/>
          <w:szCs w:val="20"/>
          <w:u w:val="single"/>
          <w:lang w:val="en-GB" w:eastAsia="zh-CN"/>
        </w:rPr>
        <w:t xml:space="preserve">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further discuss how mode 3 UE can indicate the required reliability/priority information to the eNB when requesting sidelink resources for V2X transmission.</w:t>
      </w:r>
    </w:p>
    <w:p w14:paraId="4AD7D1B5" w14:textId="7236662B" w:rsidR="00FB08ED" w:rsidRPr="00B9000F" w:rsidRDefault="00FB08ED">
      <w:pPr>
        <w:overflowPunct w:val="0"/>
        <w:autoSpaceDE w:val="0"/>
        <w:autoSpaceDN w:val="0"/>
        <w:adjustRightInd w:val="0"/>
        <w:spacing w:after="180" w:line="240" w:lineRule="auto"/>
        <w:textAlignment w:val="baseline"/>
        <w:rPr>
          <w:rFonts w:ascii="Times New Roman" w:eastAsia="Times New Roman" w:hAnsi="Times New Roman"/>
          <w:b/>
          <w:bCs/>
          <w:szCs w:val="20"/>
          <w:lang w:val="en-GB" w:eastAsia="zh-CN"/>
        </w:rPr>
      </w:pPr>
      <w:r w:rsidRPr="00B9000F">
        <w:rPr>
          <w:rFonts w:ascii="Times New Roman" w:eastAsia="Times New Roman" w:hAnsi="Times New Roman"/>
          <w:b/>
          <w:bCs/>
          <w:szCs w:val="20"/>
          <w:lang w:val="en-GB" w:eastAsia="zh-CN"/>
        </w:rPr>
        <w:t>Mode 4:</w:t>
      </w:r>
    </w:p>
    <w:p w14:paraId="5494F98D" w14:textId="086F0BD3" w:rsidR="00FB08ED" w:rsidRDefault="00FB08E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For mode 4 UEs, we already agreed that autonomous activation of duplication based on (pre)configuration is supported. However, there is a FFS on whether the UE can additionally request the NW for duplicated transmission in case it is not able to perform said duplication based on the (pre)configured criteria. </w:t>
      </w:r>
      <w:r w:rsidR="00E77D40">
        <w:rPr>
          <w:rFonts w:ascii="Times New Roman" w:eastAsia="Times New Roman" w:hAnsi="Times New Roman"/>
          <w:bCs/>
          <w:sz w:val="20"/>
          <w:szCs w:val="20"/>
          <w:lang w:val="en-GB" w:eastAsia="zh-CN"/>
        </w:rPr>
        <w:t>T</w:t>
      </w:r>
      <w:r w:rsidR="00A53711">
        <w:rPr>
          <w:rFonts w:ascii="Times New Roman" w:eastAsia="Times New Roman" w:hAnsi="Times New Roman"/>
          <w:bCs/>
          <w:sz w:val="20"/>
          <w:szCs w:val="20"/>
          <w:lang w:val="en-GB" w:eastAsia="zh-CN"/>
        </w:rPr>
        <w:t>he first question here</w:t>
      </w:r>
      <w:r>
        <w:rPr>
          <w:rFonts w:ascii="Times New Roman" w:eastAsia="Times New Roman" w:hAnsi="Times New Roman"/>
          <w:bCs/>
          <w:sz w:val="20"/>
          <w:szCs w:val="20"/>
          <w:lang w:val="en-GB" w:eastAsia="zh-CN"/>
        </w:rPr>
        <w:t xml:space="preserve"> is about the exact criteria to be considered when activating the duplication. In our view, at least the following factors can be considered:</w:t>
      </w:r>
    </w:p>
    <w:p w14:paraId="40F3E204" w14:textId="378A838C" w:rsidR="00FB08ED" w:rsidRDefault="00FB08ED" w:rsidP="009C4F61">
      <w:pPr>
        <w:pStyle w:val="ListParagraph"/>
        <w:numPr>
          <w:ilvl w:val="0"/>
          <w:numId w:val="18"/>
        </w:num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Priority requirement for transmission, i.e. PPPR</w:t>
      </w:r>
    </w:p>
    <w:p w14:paraId="7D8A23C0" w14:textId="161412B4" w:rsidR="00FB08ED" w:rsidRDefault="00FB08ED" w:rsidP="009C4F61">
      <w:pPr>
        <w:pStyle w:val="ListParagraph"/>
        <w:numPr>
          <w:ilvl w:val="0"/>
          <w:numId w:val="18"/>
        </w:num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CBR threshold allowed for performing duplication</w:t>
      </w:r>
    </w:p>
    <w:p w14:paraId="57E56301" w14:textId="1B1E481A" w:rsidR="00FB08ED" w:rsidRPr="009C4F61" w:rsidRDefault="00FB08ED" w:rsidP="009C4F61">
      <w:pPr>
        <w:pStyle w:val="ListParagraph"/>
        <w:numPr>
          <w:ilvl w:val="0"/>
          <w:numId w:val="18"/>
        </w:num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PPPP or some additional criteria</w:t>
      </w:r>
    </w:p>
    <w:p w14:paraId="73C0D693" w14:textId="4DBB2395" w:rsidR="00FB08ED" w:rsidRDefault="00FB08E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While 1) and 2) have been proposed before, PPPP might additionally be additionally considered in some cases, e.g. for very low priority transmissions (with high delay tolerance), it might be more suitable to avoid duplicated transmissions and wait for the channel conditions to improve. Nevertheless, we propose to cons</w:t>
      </w:r>
      <w:r w:rsidR="00A53711">
        <w:rPr>
          <w:rFonts w:ascii="Times New Roman" w:eastAsia="Times New Roman" w:hAnsi="Times New Roman"/>
          <w:bCs/>
          <w:sz w:val="20"/>
          <w:szCs w:val="20"/>
          <w:lang w:val="en-GB" w:eastAsia="zh-CN"/>
        </w:rPr>
        <w:t>ider the above criteria for (pre)configuration</w:t>
      </w:r>
      <w:r>
        <w:rPr>
          <w:rFonts w:ascii="Times New Roman" w:eastAsia="Times New Roman" w:hAnsi="Times New Roman"/>
          <w:bCs/>
          <w:sz w:val="20"/>
          <w:szCs w:val="20"/>
          <w:lang w:val="en-GB" w:eastAsia="zh-CN"/>
        </w:rPr>
        <w:t xml:space="preserve"> to activate/deactivate duplication.</w:t>
      </w:r>
    </w:p>
    <w:p w14:paraId="2FAD131E" w14:textId="46BC9ED1" w:rsidR="00FB08ED" w:rsidRPr="009C4F61" w:rsidRDefault="00696FDC" w:rsidP="009C4F6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45C05">
        <w:rPr>
          <w:rFonts w:ascii="Times New Roman" w:eastAsia="Times New Roman" w:hAnsi="Times New Roman"/>
          <w:b/>
          <w:bCs/>
          <w:sz w:val="20"/>
          <w:szCs w:val="20"/>
          <w:u w:val="single"/>
          <w:lang w:val="en-GB" w:eastAsia="zh-CN"/>
        </w:rPr>
        <w:t xml:space="preserve">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(pre)configuration criteria for activating/deactivating duplication should at least include </w:t>
      </w:r>
      <w:r w:rsidR="00E77D40">
        <w:rPr>
          <w:rFonts w:ascii="Times New Roman" w:eastAsia="Times New Roman" w:hAnsi="Times New Roman"/>
          <w:bCs/>
          <w:i/>
          <w:sz w:val="20"/>
          <w:szCs w:val="20"/>
          <w:lang w:val="en-GB" w:eastAsia="zh-CN"/>
        </w:rPr>
        <w:t>reliability</w:t>
      </w:r>
      <w:r>
        <w:rPr>
          <w:rFonts w:ascii="Times New Roman" w:eastAsia="Times New Roman" w:hAnsi="Times New Roman"/>
          <w:bCs/>
          <w:i/>
          <w:sz w:val="20"/>
          <w:szCs w:val="20"/>
          <w:lang w:val="en-GB" w:eastAsia="zh-CN"/>
        </w:rPr>
        <w:t xml:space="preserve"> information (PPPR) and CBR threshold. It is FFS </w:t>
      </w:r>
      <w:r w:rsidR="00F46717">
        <w:rPr>
          <w:rFonts w:ascii="Times New Roman" w:eastAsia="Times New Roman" w:hAnsi="Times New Roman"/>
          <w:bCs/>
          <w:i/>
          <w:sz w:val="20"/>
          <w:szCs w:val="20"/>
          <w:lang w:val="en-GB" w:eastAsia="zh-CN"/>
        </w:rPr>
        <w:t>w</w:t>
      </w:r>
      <w:r>
        <w:rPr>
          <w:rFonts w:ascii="Times New Roman" w:eastAsia="Times New Roman" w:hAnsi="Times New Roman"/>
          <w:bCs/>
          <w:i/>
          <w:sz w:val="20"/>
          <w:szCs w:val="20"/>
          <w:lang w:val="en-GB" w:eastAsia="zh-CN"/>
        </w:rPr>
        <w:t>hether any additional factors need to be considered.</w:t>
      </w:r>
    </w:p>
    <w:p w14:paraId="6329AD18" w14:textId="6A26482D" w:rsidR="00FB08ED" w:rsidRDefault="00E77D40">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Secondly, r</w:t>
      </w:r>
      <w:r w:rsidR="00FB08ED">
        <w:rPr>
          <w:rFonts w:ascii="Times New Roman" w:eastAsia="Times New Roman" w:hAnsi="Times New Roman"/>
          <w:bCs/>
          <w:sz w:val="20"/>
          <w:szCs w:val="20"/>
          <w:lang w:val="en-GB" w:eastAsia="zh-CN"/>
        </w:rPr>
        <w:t>egarding the FFS, t</w:t>
      </w:r>
      <w:r w:rsidR="000E4761">
        <w:rPr>
          <w:rFonts w:ascii="Times New Roman" w:eastAsia="Times New Roman" w:hAnsi="Times New Roman"/>
          <w:bCs/>
          <w:sz w:val="20"/>
          <w:szCs w:val="20"/>
          <w:lang w:val="en-GB" w:eastAsia="zh-CN"/>
        </w:rPr>
        <w:t xml:space="preserve">he main use case considered in </w:t>
      </w:r>
      <w:sdt>
        <w:sdtPr>
          <w:rPr>
            <w:rFonts w:ascii="Times New Roman" w:eastAsia="Times New Roman" w:hAnsi="Times New Roman"/>
            <w:bCs/>
            <w:sz w:val="20"/>
            <w:szCs w:val="20"/>
            <w:lang w:val="en-GB" w:eastAsia="zh-CN"/>
          </w:rPr>
          <w:id w:val="-1734695165"/>
          <w:citation/>
        </w:sdtPr>
        <w:sdtEndPr/>
        <w:sdtContent>
          <w:r w:rsidR="000E4761">
            <w:rPr>
              <w:rFonts w:ascii="Times New Roman" w:eastAsia="Times New Roman" w:hAnsi="Times New Roman"/>
              <w:bCs/>
              <w:sz w:val="20"/>
              <w:szCs w:val="20"/>
              <w:lang w:val="en-GB" w:eastAsia="zh-CN"/>
            </w:rPr>
            <w:fldChar w:fldCharType="begin"/>
          </w:r>
          <w:r w:rsidR="000E4761">
            <w:rPr>
              <w:rFonts w:ascii="Times New Roman" w:eastAsia="Times New Roman" w:hAnsi="Times New Roman"/>
              <w:bCs/>
              <w:sz w:val="20"/>
              <w:szCs w:val="20"/>
              <w:lang w:eastAsia="zh-CN"/>
            </w:rPr>
            <w:instrText xml:space="preserve"> CITATION NokiaDuplication \l 1033 </w:instrText>
          </w:r>
          <w:r w:rsidR="000E4761">
            <w:rPr>
              <w:rFonts w:ascii="Times New Roman" w:eastAsia="Times New Roman" w:hAnsi="Times New Roman"/>
              <w:bCs/>
              <w:sz w:val="20"/>
              <w:szCs w:val="20"/>
              <w:lang w:val="en-GB" w:eastAsia="zh-CN"/>
            </w:rPr>
            <w:fldChar w:fldCharType="separate"/>
          </w:r>
          <w:r w:rsidR="00BE500A" w:rsidRPr="00BE500A">
            <w:rPr>
              <w:rFonts w:ascii="Times New Roman" w:eastAsia="Times New Roman" w:hAnsi="Times New Roman"/>
              <w:noProof/>
              <w:sz w:val="20"/>
              <w:szCs w:val="20"/>
              <w:lang w:eastAsia="zh-CN"/>
            </w:rPr>
            <w:t>[4]</w:t>
          </w:r>
          <w:r w:rsidR="000E4761">
            <w:rPr>
              <w:rFonts w:ascii="Times New Roman" w:eastAsia="Times New Roman" w:hAnsi="Times New Roman"/>
              <w:bCs/>
              <w:sz w:val="20"/>
              <w:szCs w:val="20"/>
              <w:lang w:val="en-GB" w:eastAsia="zh-CN"/>
            </w:rPr>
            <w:fldChar w:fldCharType="end"/>
          </w:r>
        </w:sdtContent>
      </w:sdt>
      <w:r w:rsidR="00FB08ED">
        <w:rPr>
          <w:rFonts w:ascii="Times New Roman" w:eastAsia="Times New Roman" w:hAnsi="Times New Roman"/>
          <w:bCs/>
          <w:sz w:val="20"/>
          <w:szCs w:val="20"/>
          <w:lang w:val="en-GB" w:eastAsia="zh-CN"/>
        </w:rPr>
        <w:t xml:space="preserve"> for this scenario is if the mode 4 UE cannot meet the criteria for activating duplication, it can request NW </w:t>
      </w:r>
      <w:r w:rsidR="00696FDC">
        <w:rPr>
          <w:rFonts w:ascii="Times New Roman" w:eastAsia="Times New Roman" w:hAnsi="Times New Roman"/>
          <w:bCs/>
          <w:sz w:val="20"/>
          <w:szCs w:val="20"/>
          <w:lang w:val="en-GB" w:eastAsia="zh-CN"/>
        </w:rPr>
        <w:t>for duplicated transmission. In response, the eNB can either reconfigure the criteria for duplication or allocate dedicated resources for this purpose. While it seems attractive in principle, we view this as more of an enhancement and assume that a careful network implementation should ensure that this use case is unlikely to happen. Additionally, this would only apply to in coverage mode 4 UEs and out of coverage UEs would not benefit from it. So, we propose to not consider this case for mode 4 UEs in Rel-15.</w:t>
      </w:r>
    </w:p>
    <w:p w14:paraId="25E1E916" w14:textId="703E896F" w:rsidR="00786A05" w:rsidRPr="00786A05" w:rsidRDefault="00696FDC" w:rsidP="00786A05">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45C05">
        <w:rPr>
          <w:rFonts w:ascii="Times New Roman" w:eastAsia="Times New Roman" w:hAnsi="Times New Roman"/>
          <w:b/>
          <w:bCs/>
          <w:sz w:val="20"/>
          <w:szCs w:val="20"/>
          <w:u w:val="single"/>
          <w:lang w:val="en-GB" w:eastAsia="zh-CN"/>
        </w:rPr>
        <w:t xml:space="preserve"> 4</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case of mode 4 UEs requesting NW for duplicated transmissions should not be considered for Rel-15 V2X.</w:t>
      </w:r>
    </w:p>
    <w:p w14:paraId="37FE8D39" w14:textId="0C89B780" w:rsidR="005F30EF" w:rsidRDefault="00DF106B">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sidRPr="00DF106B">
        <w:rPr>
          <w:rFonts w:ascii="Times New Roman" w:eastAsia="Times New Roman" w:hAnsi="Times New Roman"/>
          <w:bCs/>
          <w:sz w:val="20"/>
          <w:szCs w:val="20"/>
          <w:lang w:val="en-GB" w:eastAsia="zh-CN"/>
        </w:rPr>
        <w:t xml:space="preserve">A related aspect is </w:t>
      </w:r>
      <w:r w:rsidR="005C3DFF">
        <w:rPr>
          <w:rFonts w:ascii="Times New Roman" w:eastAsia="Times New Roman" w:hAnsi="Times New Roman"/>
          <w:bCs/>
          <w:sz w:val="20"/>
          <w:szCs w:val="20"/>
          <w:lang w:val="en-GB" w:eastAsia="zh-CN"/>
        </w:rPr>
        <w:t xml:space="preserve">that </w:t>
      </w:r>
      <w:r w:rsidRPr="00DF106B">
        <w:rPr>
          <w:rFonts w:ascii="Times New Roman" w:eastAsia="Times New Roman" w:hAnsi="Times New Roman"/>
          <w:bCs/>
          <w:sz w:val="20"/>
          <w:szCs w:val="20"/>
          <w:lang w:val="en-GB" w:eastAsia="zh-CN"/>
        </w:rPr>
        <w:t>once activated, should this duplication be performed per bearer. In NR, it is agreed that PDCP duplication is configured per bearer, i.e. each PDCP entity can be explicitly configured with duplication</w:t>
      </w:r>
      <w:r>
        <w:rPr>
          <w:rFonts w:ascii="Times New Roman" w:eastAsia="Times New Roman" w:hAnsi="Times New Roman"/>
          <w:bCs/>
          <w:sz w:val="20"/>
          <w:szCs w:val="20"/>
          <w:lang w:val="en-GB" w:eastAsia="zh-CN"/>
        </w:rPr>
        <w:t xml:space="preserve">. </w:t>
      </w:r>
      <w:r w:rsidR="00FB08ED">
        <w:rPr>
          <w:rFonts w:ascii="Times New Roman" w:eastAsia="Times New Roman" w:hAnsi="Times New Roman"/>
          <w:bCs/>
          <w:sz w:val="20"/>
          <w:szCs w:val="20"/>
          <w:lang w:val="en-GB" w:eastAsia="zh-CN"/>
        </w:rPr>
        <w:t>However, f</w:t>
      </w:r>
      <w:r>
        <w:rPr>
          <w:rFonts w:ascii="Times New Roman" w:eastAsia="Times New Roman" w:hAnsi="Times New Roman"/>
          <w:bCs/>
          <w:sz w:val="20"/>
          <w:szCs w:val="20"/>
          <w:lang w:val="en-GB" w:eastAsia="zh-CN"/>
        </w:rPr>
        <w:t xml:space="preserve">or V2X, </w:t>
      </w:r>
      <w:r w:rsidR="00C667DF">
        <w:rPr>
          <w:rFonts w:ascii="Times New Roman" w:eastAsia="Times New Roman" w:hAnsi="Times New Roman"/>
          <w:bCs/>
          <w:sz w:val="20"/>
          <w:szCs w:val="20"/>
          <w:lang w:val="en-GB" w:eastAsia="zh-CN"/>
        </w:rPr>
        <w:t>such granularity</w:t>
      </w:r>
      <w:r w:rsidR="00FB08ED">
        <w:rPr>
          <w:rFonts w:ascii="Times New Roman" w:eastAsia="Times New Roman" w:hAnsi="Times New Roman"/>
          <w:bCs/>
          <w:sz w:val="20"/>
          <w:szCs w:val="20"/>
          <w:lang w:val="en-GB" w:eastAsia="zh-CN"/>
        </w:rPr>
        <w:t xml:space="preserve"> might not be applicable and so, we are left with two options, i.e. per UE or per V2X service type</w:t>
      </w:r>
      <w:r w:rsidR="000E4761">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2124916852"/>
          <w:citation/>
        </w:sdtPr>
        <w:sdtEndPr/>
        <w:sdtContent>
          <w:r w:rsidR="000E4761">
            <w:rPr>
              <w:rFonts w:ascii="Times New Roman" w:eastAsia="Times New Roman" w:hAnsi="Times New Roman"/>
              <w:bCs/>
              <w:sz w:val="20"/>
              <w:szCs w:val="20"/>
              <w:lang w:val="en-GB" w:eastAsia="zh-CN"/>
            </w:rPr>
            <w:fldChar w:fldCharType="begin"/>
          </w:r>
          <w:r w:rsidR="000E4761">
            <w:rPr>
              <w:rFonts w:ascii="Times New Roman" w:eastAsia="Times New Roman" w:hAnsi="Times New Roman"/>
              <w:bCs/>
              <w:sz w:val="20"/>
              <w:szCs w:val="20"/>
              <w:lang w:eastAsia="zh-CN"/>
            </w:rPr>
            <w:instrText xml:space="preserve"> CITATION PoteviooDuplication \l 1033 </w:instrText>
          </w:r>
          <w:r w:rsidR="000E4761">
            <w:rPr>
              <w:rFonts w:ascii="Times New Roman" w:eastAsia="Times New Roman" w:hAnsi="Times New Roman"/>
              <w:bCs/>
              <w:sz w:val="20"/>
              <w:szCs w:val="20"/>
              <w:lang w:val="en-GB" w:eastAsia="zh-CN"/>
            </w:rPr>
            <w:fldChar w:fldCharType="separate"/>
          </w:r>
          <w:r w:rsidR="00BE500A" w:rsidRPr="00BE500A">
            <w:rPr>
              <w:rFonts w:ascii="Times New Roman" w:eastAsia="Times New Roman" w:hAnsi="Times New Roman"/>
              <w:noProof/>
              <w:sz w:val="20"/>
              <w:szCs w:val="20"/>
              <w:lang w:eastAsia="zh-CN"/>
            </w:rPr>
            <w:t>[5]</w:t>
          </w:r>
          <w:r w:rsidR="000E4761">
            <w:rPr>
              <w:rFonts w:ascii="Times New Roman" w:eastAsia="Times New Roman" w:hAnsi="Times New Roman"/>
              <w:bCs/>
              <w:sz w:val="20"/>
              <w:szCs w:val="20"/>
              <w:lang w:val="en-GB" w:eastAsia="zh-CN"/>
            </w:rPr>
            <w:fldChar w:fldCharType="end"/>
          </w:r>
        </w:sdtContent>
      </w:sdt>
      <w:r w:rsidR="00FB08ED">
        <w:rPr>
          <w:rFonts w:ascii="Times New Roman" w:eastAsia="Times New Roman" w:hAnsi="Times New Roman"/>
          <w:bCs/>
          <w:sz w:val="20"/>
          <w:szCs w:val="20"/>
          <w:lang w:val="en-GB" w:eastAsia="zh-CN"/>
        </w:rPr>
        <w:t xml:space="preserve">. </w:t>
      </w:r>
      <w:r w:rsidR="008C0567">
        <w:rPr>
          <w:rFonts w:ascii="Times New Roman" w:eastAsia="Times New Roman" w:hAnsi="Times New Roman"/>
          <w:bCs/>
          <w:sz w:val="20"/>
          <w:szCs w:val="20"/>
          <w:lang w:val="en-GB" w:eastAsia="zh-CN"/>
        </w:rPr>
        <w:t>We think that t</w:t>
      </w:r>
      <w:r>
        <w:rPr>
          <w:rFonts w:ascii="Times New Roman" w:eastAsia="Times New Roman" w:hAnsi="Times New Roman"/>
          <w:bCs/>
          <w:sz w:val="20"/>
          <w:szCs w:val="20"/>
          <w:lang w:val="en-GB" w:eastAsia="zh-CN"/>
        </w:rPr>
        <w:t>his depends on whether a particular V2X application or service type generates packets with the same reliability requirement or not</w:t>
      </w:r>
      <w:r w:rsidR="00FB08ED">
        <w:rPr>
          <w:rFonts w:ascii="Times New Roman" w:eastAsia="Times New Roman" w:hAnsi="Times New Roman"/>
          <w:bCs/>
          <w:sz w:val="20"/>
          <w:szCs w:val="20"/>
          <w:lang w:val="en-GB" w:eastAsia="zh-CN"/>
        </w:rPr>
        <w:t xml:space="preserve"> (at least within a certain period of time)</w:t>
      </w:r>
      <w:r>
        <w:rPr>
          <w:rFonts w:ascii="Times New Roman" w:eastAsia="Times New Roman" w:hAnsi="Times New Roman"/>
          <w:bCs/>
          <w:sz w:val="20"/>
          <w:szCs w:val="20"/>
          <w:lang w:val="en-GB" w:eastAsia="zh-CN"/>
        </w:rPr>
        <w:t xml:space="preserve">. In other words, whether or not the packets generated for a given V2X service have </w:t>
      </w:r>
      <w:r w:rsidR="008C0567">
        <w:rPr>
          <w:rFonts w:ascii="Times New Roman" w:eastAsia="Times New Roman" w:hAnsi="Times New Roman"/>
          <w:bCs/>
          <w:sz w:val="20"/>
          <w:szCs w:val="20"/>
          <w:lang w:val="en-GB" w:eastAsia="zh-CN"/>
        </w:rPr>
        <w:t xml:space="preserve">the same or </w:t>
      </w:r>
      <w:r>
        <w:rPr>
          <w:rFonts w:ascii="Times New Roman" w:eastAsia="Times New Roman" w:hAnsi="Times New Roman"/>
          <w:bCs/>
          <w:sz w:val="20"/>
          <w:szCs w:val="20"/>
          <w:lang w:val="en-GB" w:eastAsia="zh-CN"/>
        </w:rPr>
        <w:t xml:space="preserve">different PPPR values associated with them. If </w:t>
      </w:r>
      <w:r w:rsidR="008C0567">
        <w:rPr>
          <w:rFonts w:ascii="Times New Roman" w:eastAsia="Times New Roman" w:hAnsi="Times New Roman"/>
          <w:bCs/>
          <w:sz w:val="20"/>
          <w:szCs w:val="20"/>
          <w:lang w:val="en-GB" w:eastAsia="zh-CN"/>
        </w:rPr>
        <w:t>the former were true</w:t>
      </w:r>
      <w:r>
        <w:rPr>
          <w:rFonts w:ascii="Times New Roman" w:eastAsia="Times New Roman" w:hAnsi="Times New Roman"/>
          <w:bCs/>
          <w:sz w:val="20"/>
          <w:szCs w:val="20"/>
          <w:lang w:val="en-GB" w:eastAsia="zh-CN"/>
        </w:rPr>
        <w:t xml:space="preserve">, this duplication </w:t>
      </w:r>
      <w:r w:rsidR="00A53711">
        <w:rPr>
          <w:rFonts w:ascii="Times New Roman" w:eastAsia="Times New Roman" w:hAnsi="Times New Roman"/>
          <w:bCs/>
          <w:sz w:val="20"/>
          <w:szCs w:val="20"/>
          <w:lang w:val="en-GB" w:eastAsia="zh-CN"/>
        </w:rPr>
        <w:t>could</w:t>
      </w:r>
      <w:r>
        <w:rPr>
          <w:rFonts w:ascii="Times New Roman" w:eastAsia="Times New Roman" w:hAnsi="Times New Roman"/>
          <w:bCs/>
          <w:sz w:val="20"/>
          <w:szCs w:val="20"/>
          <w:lang w:val="en-GB" w:eastAsia="zh-CN"/>
        </w:rPr>
        <w:t xml:space="preserve"> be </w:t>
      </w:r>
      <w:r w:rsidR="008C0567">
        <w:rPr>
          <w:rFonts w:ascii="Times New Roman" w:eastAsia="Times New Roman" w:hAnsi="Times New Roman"/>
          <w:bCs/>
          <w:sz w:val="20"/>
          <w:szCs w:val="20"/>
          <w:lang w:val="en-GB" w:eastAsia="zh-CN"/>
        </w:rPr>
        <w:t>configured</w:t>
      </w:r>
      <w:r w:rsidR="00E63487">
        <w:rPr>
          <w:rFonts w:ascii="Times New Roman" w:eastAsia="Times New Roman" w:hAnsi="Times New Roman"/>
          <w:bCs/>
          <w:sz w:val="20"/>
          <w:szCs w:val="20"/>
          <w:lang w:val="en-GB" w:eastAsia="zh-CN"/>
        </w:rPr>
        <w:t>/activated</w:t>
      </w:r>
      <w:r>
        <w:rPr>
          <w:rFonts w:ascii="Times New Roman" w:eastAsia="Times New Roman" w:hAnsi="Times New Roman"/>
          <w:bCs/>
          <w:sz w:val="20"/>
          <w:szCs w:val="20"/>
          <w:lang w:val="en-GB" w:eastAsia="zh-CN"/>
        </w:rPr>
        <w:t xml:space="preserve"> </w:t>
      </w:r>
      <w:r w:rsidR="00E63487">
        <w:rPr>
          <w:rFonts w:ascii="Times New Roman" w:eastAsia="Times New Roman" w:hAnsi="Times New Roman"/>
          <w:bCs/>
          <w:sz w:val="20"/>
          <w:szCs w:val="20"/>
          <w:lang w:val="en-GB" w:eastAsia="zh-CN"/>
        </w:rPr>
        <w:t xml:space="preserve">semi-statically </w:t>
      </w:r>
      <w:r>
        <w:rPr>
          <w:rFonts w:ascii="Times New Roman" w:eastAsia="Times New Roman" w:hAnsi="Times New Roman"/>
          <w:bCs/>
          <w:sz w:val="20"/>
          <w:szCs w:val="20"/>
          <w:lang w:val="en-GB" w:eastAsia="zh-CN"/>
        </w:rPr>
        <w:t xml:space="preserve">per V2X service type. </w:t>
      </w:r>
      <w:r w:rsidR="008C0567">
        <w:rPr>
          <w:rFonts w:ascii="Times New Roman" w:eastAsia="Times New Roman" w:hAnsi="Times New Roman"/>
          <w:bCs/>
          <w:sz w:val="20"/>
          <w:szCs w:val="20"/>
          <w:lang w:val="en-GB" w:eastAsia="zh-CN"/>
        </w:rPr>
        <w:t>However, i</w:t>
      </w:r>
      <w:r>
        <w:rPr>
          <w:rFonts w:ascii="Times New Roman" w:eastAsia="Times New Roman" w:hAnsi="Times New Roman"/>
          <w:bCs/>
          <w:sz w:val="20"/>
          <w:szCs w:val="20"/>
          <w:lang w:val="en-GB" w:eastAsia="zh-CN"/>
        </w:rPr>
        <w:t xml:space="preserve">n our view, there is no reason to assume </w:t>
      </w:r>
      <w:r w:rsidR="00F46717">
        <w:rPr>
          <w:rFonts w:ascii="Times New Roman" w:eastAsia="Times New Roman" w:hAnsi="Times New Roman"/>
          <w:bCs/>
          <w:sz w:val="20"/>
          <w:szCs w:val="20"/>
          <w:lang w:val="en-GB" w:eastAsia="zh-CN"/>
        </w:rPr>
        <w:t>that is the case</w:t>
      </w:r>
      <w:r>
        <w:rPr>
          <w:rFonts w:ascii="Times New Roman" w:eastAsia="Times New Roman" w:hAnsi="Times New Roman"/>
          <w:bCs/>
          <w:sz w:val="20"/>
          <w:szCs w:val="20"/>
          <w:lang w:val="en-GB" w:eastAsia="zh-CN"/>
        </w:rPr>
        <w:t xml:space="preserve"> </w:t>
      </w:r>
      <w:r w:rsidR="00FB08ED">
        <w:rPr>
          <w:rFonts w:ascii="Times New Roman" w:eastAsia="Times New Roman" w:hAnsi="Times New Roman"/>
          <w:bCs/>
          <w:sz w:val="20"/>
          <w:szCs w:val="20"/>
          <w:lang w:val="en-GB" w:eastAsia="zh-CN"/>
        </w:rPr>
        <w:t xml:space="preserve">and so this needs to be discussed </w:t>
      </w:r>
      <w:r w:rsidR="00E63487">
        <w:rPr>
          <w:rFonts w:ascii="Times New Roman" w:eastAsia="Times New Roman" w:hAnsi="Times New Roman"/>
          <w:bCs/>
          <w:sz w:val="20"/>
          <w:szCs w:val="20"/>
          <w:lang w:val="en-GB" w:eastAsia="zh-CN"/>
        </w:rPr>
        <w:t xml:space="preserve">further </w:t>
      </w:r>
      <w:r w:rsidR="00FB08ED">
        <w:rPr>
          <w:rFonts w:ascii="Times New Roman" w:eastAsia="Times New Roman" w:hAnsi="Times New Roman"/>
          <w:bCs/>
          <w:sz w:val="20"/>
          <w:szCs w:val="20"/>
          <w:lang w:val="en-GB" w:eastAsia="zh-CN"/>
        </w:rPr>
        <w:t>in RAN2.</w:t>
      </w:r>
      <w:r w:rsidR="00A53711">
        <w:rPr>
          <w:rFonts w:ascii="Times New Roman" w:eastAsia="Times New Roman" w:hAnsi="Times New Roman"/>
          <w:bCs/>
          <w:sz w:val="20"/>
          <w:szCs w:val="20"/>
          <w:lang w:val="en-GB" w:eastAsia="zh-CN"/>
        </w:rPr>
        <w:t xml:space="preserve"> It</w:t>
      </w:r>
      <w:r w:rsidR="00E63487">
        <w:rPr>
          <w:rFonts w:ascii="Times New Roman" w:eastAsia="Times New Roman" w:hAnsi="Times New Roman"/>
          <w:bCs/>
          <w:sz w:val="20"/>
          <w:szCs w:val="20"/>
          <w:lang w:val="en-GB" w:eastAsia="zh-CN"/>
        </w:rPr>
        <w:t xml:space="preserve"> should be noted that this also has implications on the TX carrier selection procedure as discussed in </w:t>
      </w:r>
      <w:sdt>
        <w:sdtPr>
          <w:rPr>
            <w:rFonts w:ascii="Times New Roman" w:eastAsia="Times New Roman" w:hAnsi="Times New Roman"/>
            <w:bCs/>
            <w:sz w:val="20"/>
            <w:szCs w:val="20"/>
            <w:lang w:val="en-GB" w:eastAsia="zh-CN"/>
          </w:rPr>
          <w:id w:val="-720749063"/>
          <w:citation/>
        </w:sdtPr>
        <w:sdtEndPr/>
        <w:sdtContent>
          <w:r w:rsidR="000E4761">
            <w:rPr>
              <w:rFonts w:ascii="Times New Roman" w:eastAsia="Times New Roman" w:hAnsi="Times New Roman"/>
              <w:bCs/>
              <w:sz w:val="20"/>
              <w:szCs w:val="20"/>
              <w:lang w:val="en-GB" w:eastAsia="zh-CN"/>
            </w:rPr>
            <w:fldChar w:fldCharType="begin"/>
          </w:r>
          <w:r w:rsidR="000E4761">
            <w:rPr>
              <w:rFonts w:ascii="Times New Roman" w:eastAsia="Times New Roman" w:hAnsi="Times New Roman"/>
              <w:bCs/>
              <w:sz w:val="20"/>
              <w:szCs w:val="20"/>
              <w:lang w:eastAsia="zh-CN"/>
            </w:rPr>
            <w:instrText xml:space="preserve"> CITATION CarrierSelectionIntel \l 1033 </w:instrText>
          </w:r>
          <w:r w:rsidR="000E4761">
            <w:rPr>
              <w:rFonts w:ascii="Times New Roman" w:eastAsia="Times New Roman" w:hAnsi="Times New Roman"/>
              <w:bCs/>
              <w:sz w:val="20"/>
              <w:szCs w:val="20"/>
              <w:lang w:val="en-GB" w:eastAsia="zh-CN"/>
            </w:rPr>
            <w:fldChar w:fldCharType="separate"/>
          </w:r>
          <w:r w:rsidR="00BE500A" w:rsidRPr="00BE500A">
            <w:rPr>
              <w:rFonts w:ascii="Times New Roman" w:eastAsia="Times New Roman" w:hAnsi="Times New Roman"/>
              <w:noProof/>
              <w:sz w:val="20"/>
              <w:szCs w:val="20"/>
              <w:lang w:eastAsia="zh-CN"/>
            </w:rPr>
            <w:t>[6]</w:t>
          </w:r>
          <w:r w:rsidR="000E4761">
            <w:rPr>
              <w:rFonts w:ascii="Times New Roman" w:eastAsia="Times New Roman" w:hAnsi="Times New Roman"/>
              <w:bCs/>
              <w:sz w:val="20"/>
              <w:szCs w:val="20"/>
              <w:lang w:val="en-GB" w:eastAsia="zh-CN"/>
            </w:rPr>
            <w:fldChar w:fldCharType="end"/>
          </w:r>
        </w:sdtContent>
      </w:sdt>
      <w:r w:rsidR="000E4761">
        <w:rPr>
          <w:rFonts w:ascii="Times New Roman" w:eastAsia="Times New Roman" w:hAnsi="Times New Roman"/>
          <w:bCs/>
          <w:sz w:val="20"/>
          <w:szCs w:val="20"/>
          <w:lang w:val="en-GB" w:eastAsia="zh-CN"/>
        </w:rPr>
        <w:t>.</w:t>
      </w:r>
    </w:p>
    <w:p w14:paraId="28A9C051" w14:textId="7146FA4C" w:rsidR="00E86837" w:rsidRDefault="00FB08ED" w:rsidP="00BE500A">
      <w:pPr>
        <w:overflowPunct w:val="0"/>
        <w:autoSpaceDE w:val="0"/>
        <w:autoSpaceDN w:val="0"/>
        <w:adjustRightInd w:val="0"/>
        <w:spacing w:after="180" w:line="240" w:lineRule="auto"/>
        <w:ind w:left="1170" w:hanging="1170"/>
        <w:textAlignment w:val="baseline"/>
        <w:rPr>
          <w:rFonts w:ascii="Times New Roman" w:eastAsia="Times New Roman" w:hAnsi="Times New Roman"/>
          <w:bCs/>
          <w:sz w:val="20"/>
          <w:szCs w:val="20"/>
          <w:lang w:val="en-GB" w:eastAsia="zh-CN"/>
        </w:rPr>
      </w:pPr>
      <w:r>
        <w:rPr>
          <w:rFonts w:ascii="Times New Roman" w:eastAsia="Times New Roman" w:hAnsi="Times New Roman"/>
          <w:b/>
          <w:bCs/>
          <w:sz w:val="20"/>
          <w:szCs w:val="20"/>
          <w:u w:val="single"/>
          <w:lang w:val="en-GB" w:eastAsia="zh-CN"/>
        </w:rPr>
        <w:t>Proposal</w:t>
      </w:r>
      <w:r w:rsidR="00E45C05">
        <w:rPr>
          <w:rFonts w:ascii="Times New Roman" w:eastAsia="Times New Roman" w:hAnsi="Times New Roman"/>
          <w:b/>
          <w:bCs/>
          <w:sz w:val="20"/>
          <w:szCs w:val="20"/>
          <w:u w:val="single"/>
          <w:lang w:val="en-GB" w:eastAsia="zh-CN"/>
        </w:rPr>
        <w:t xml:space="preserve"> 5</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A53711">
        <w:rPr>
          <w:rFonts w:ascii="Times New Roman" w:eastAsia="Times New Roman" w:hAnsi="Times New Roman"/>
          <w:bCs/>
          <w:i/>
          <w:sz w:val="20"/>
          <w:szCs w:val="20"/>
          <w:lang w:val="en-GB" w:eastAsia="zh-CN"/>
        </w:rPr>
        <w:t>RAN2 should discuss</w:t>
      </w:r>
      <w:r w:rsidR="00225341">
        <w:rPr>
          <w:rFonts w:ascii="Times New Roman" w:eastAsia="Times New Roman" w:hAnsi="Times New Roman"/>
          <w:bCs/>
          <w:i/>
          <w:sz w:val="20"/>
          <w:szCs w:val="20"/>
          <w:lang w:val="en-GB" w:eastAsia="zh-CN"/>
        </w:rPr>
        <w:t xml:space="preserve"> whether the configuration/activation of dupl</w:t>
      </w:r>
      <w:r w:rsidR="0023785A">
        <w:rPr>
          <w:rFonts w:ascii="Times New Roman" w:eastAsia="Times New Roman" w:hAnsi="Times New Roman"/>
          <w:bCs/>
          <w:i/>
          <w:sz w:val="20"/>
          <w:szCs w:val="20"/>
          <w:lang w:val="en-GB" w:eastAsia="zh-CN"/>
        </w:rPr>
        <w:t xml:space="preserve">ication should be performed </w:t>
      </w:r>
      <w:r w:rsidR="0088519D">
        <w:rPr>
          <w:rFonts w:ascii="Times New Roman" w:eastAsia="Times New Roman" w:hAnsi="Times New Roman"/>
          <w:bCs/>
          <w:i/>
          <w:sz w:val="20"/>
          <w:szCs w:val="20"/>
          <w:lang w:val="en-GB" w:eastAsia="zh-CN"/>
        </w:rPr>
        <w:t xml:space="preserve">per V2X service type or per </w:t>
      </w:r>
      <w:r w:rsidR="00C05BC0">
        <w:rPr>
          <w:rFonts w:ascii="Times New Roman" w:eastAsia="Times New Roman" w:hAnsi="Times New Roman"/>
          <w:bCs/>
          <w:i/>
          <w:sz w:val="20"/>
          <w:szCs w:val="20"/>
          <w:lang w:val="en-GB" w:eastAsia="zh-CN"/>
        </w:rPr>
        <w:t xml:space="preserve">packet (i.e. based on </w:t>
      </w:r>
      <w:r w:rsidR="0088519D">
        <w:rPr>
          <w:rFonts w:ascii="Times New Roman" w:eastAsia="Times New Roman" w:hAnsi="Times New Roman"/>
          <w:bCs/>
          <w:i/>
          <w:sz w:val="20"/>
          <w:szCs w:val="20"/>
          <w:lang w:val="en-GB" w:eastAsia="zh-CN"/>
        </w:rPr>
        <w:t>PPPR</w:t>
      </w:r>
      <w:r w:rsidR="00C05BC0">
        <w:rPr>
          <w:rFonts w:ascii="Times New Roman" w:eastAsia="Times New Roman" w:hAnsi="Times New Roman"/>
          <w:bCs/>
          <w:i/>
          <w:sz w:val="20"/>
          <w:szCs w:val="20"/>
          <w:lang w:val="en-GB" w:eastAsia="zh-CN"/>
        </w:rPr>
        <w:t>)</w:t>
      </w:r>
      <w:r w:rsidR="00E63487">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lastRenderedPageBreak/>
        <w:t>Conclusion</w:t>
      </w:r>
    </w:p>
    <w:p w14:paraId="50A28EC4" w14:textId="40993777"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BD4C5D">
        <w:rPr>
          <w:rFonts w:ascii="Times New Roman" w:eastAsia="Times New Roman" w:hAnsi="Times New Roman"/>
          <w:bCs/>
          <w:sz w:val="20"/>
          <w:szCs w:val="20"/>
          <w:lang w:val="en-GB" w:eastAsia="zh-CN"/>
        </w:rPr>
        <w:t>aspects related to the support of packet duplication over sidelink and makes the following proposals</w:t>
      </w:r>
      <w:r w:rsidR="00777344">
        <w:rPr>
          <w:rFonts w:ascii="Times New Roman" w:eastAsia="Times New Roman" w:hAnsi="Times New Roman"/>
          <w:bCs/>
          <w:sz w:val="20"/>
          <w:szCs w:val="20"/>
          <w:lang w:val="en-GB" w:eastAsia="zh-CN"/>
        </w:rPr>
        <w:t>:</w:t>
      </w:r>
    </w:p>
    <w:p w14:paraId="0605BA9D" w14:textId="5BCEB038" w:rsidR="004B7729" w:rsidRDefault="00E45C05" w:rsidP="004B772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004B7729" w:rsidRPr="001C137C">
        <w:rPr>
          <w:rFonts w:ascii="Times New Roman" w:eastAsia="Times New Roman" w:hAnsi="Times New Roman"/>
          <w:b/>
          <w:bCs/>
          <w:sz w:val="20"/>
          <w:szCs w:val="20"/>
          <w:u w:val="single"/>
          <w:lang w:val="en-GB" w:eastAsia="zh-CN"/>
        </w:rPr>
        <w:t>:</w:t>
      </w:r>
      <w:r w:rsidR="004B7729" w:rsidRPr="001C137C">
        <w:rPr>
          <w:rFonts w:ascii="Times New Roman" w:eastAsia="Times New Roman" w:hAnsi="Times New Roman"/>
          <w:b/>
          <w:bCs/>
          <w:sz w:val="20"/>
          <w:szCs w:val="20"/>
          <w:lang w:val="en-GB" w:eastAsia="zh-CN"/>
        </w:rPr>
        <w:tab/>
      </w:r>
      <w:r w:rsidR="004B7729">
        <w:rPr>
          <w:rFonts w:ascii="Times New Roman" w:eastAsia="Times New Roman" w:hAnsi="Times New Roman"/>
          <w:bCs/>
          <w:i/>
          <w:sz w:val="20"/>
          <w:szCs w:val="20"/>
          <w:lang w:val="en-GB" w:eastAsia="zh-CN"/>
        </w:rPr>
        <w:t>For mode 3 UEs, the eNB should configure activation/deactivation of PDCP duplication over multiple carriers based on reliability information indicated by the UE.</w:t>
      </w:r>
    </w:p>
    <w:p w14:paraId="17B078B6" w14:textId="3E932D21" w:rsidR="004576EE" w:rsidRDefault="00E45C05" w:rsidP="004576E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4576EE" w:rsidRPr="001C137C">
        <w:rPr>
          <w:rFonts w:ascii="Times New Roman" w:eastAsia="Times New Roman" w:hAnsi="Times New Roman"/>
          <w:b/>
          <w:bCs/>
          <w:sz w:val="20"/>
          <w:szCs w:val="20"/>
          <w:u w:val="single"/>
          <w:lang w:val="en-GB" w:eastAsia="zh-CN"/>
        </w:rPr>
        <w:t>:</w:t>
      </w:r>
      <w:r w:rsidR="004576EE" w:rsidRPr="001C137C">
        <w:rPr>
          <w:rFonts w:ascii="Times New Roman" w:eastAsia="Times New Roman" w:hAnsi="Times New Roman"/>
          <w:b/>
          <w:bCs/>
          <w:sz w:val="20"/>
          <w:szCs w:val="20"/>
          <w:lang w:val="en-GB" w:eastAsia="zh-CN"/>
        </w:rPr>
        <w:tab/>
      </w:r>
      <w:r w:rsidR="004576EE">
        <w:rPr>
          <w:rFonts w:ascii="Times New Roman" w:eastAsia="Times New Roman" w:hAnsi="Times New Roman"/>
          <w:bCs/>
          <w:i/>
          <w:sz w:val="20"/>
          <w:szCs w:val="20"/>
          <w:lang w:val="en-GB" w:eastAsia="zh-CN"/>
        </w:rPr>
        <w:t>RAN2 to further discuss how mode 3 UE can indicate the required reliability/priority information to the eNB when requesting sidelink resources for V2X transmission.</w:t>
      </w:r>
    </w:p>
    <w:p w14:paraId="68139244" w14:textId="2DF972BA" w:rsidR="004576EE" w:rsidRPr="009C4F61" w:rsidRDefault="00E45C05" w:rsidP="004576E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004576EE" w:rsidRPr="001C137C">
        <w:rPr>
          <w:rFonts w:ascii="Times New Roman" w:eastAsia="Times New Roman" w:hAnsi="Times New Roman"/>
          <w:b/>
          <w:bCs/>
          <w:sz w:val="20"/>
          <w:szCs w:val="20"/>
          <w:u w:val="single"/>
          <w:lang w:val="en-GB" w:eastAsia="zh-CN"/>
        </w:rPr>
        <w:t>:</w:t>
      </w:r>
      <w:r w:rsidR="004576EE" w:rsidRPr="001C137C">
        <w:rPr>
          <w:rFonts w:ascii="Times New Roman" w:eastAsia="Times New Roman" w:hAnsi="Times New Roman"/>
          <w:b/>
          <w:bCs/>
          <w:sz w:val="20"/>
          <w:szCs w:val="20"/>
          <w:lang w:val="en-GB" w:eastAsia="zh-CN"/>
        </w:rPr>
        <w:tab/>
      </w:r>
      <w:r w:rsidR="004576EE">
        <w:rPr>
          <w:rFonts w:ascii="Times New Roman" w:eastAsia="Times New Roman" w:hAnsi="Times New Roman"/>
          <w:bCs/>
          <w:i/>
          <w:sz w:val="20"/>
          <w:szCs w:val="20"/>
          <w:lang w:val="en-GB" w:eastAsia="zh-CN"/>
        </w:rPr>
        <w:t>The (pre)configuration criteria for activating/deactivating duplication should at least include reliability information (PPPR) and CBR threshold. It is FFS whether any additional factors need to be considered.</w:t>
      </w:r>
    </w:p>
    <w:p w14:paraId="51DF24BA" w14:textId="089DB6BE" w:rsidR="004576EE" w:rsidRPr="00786A05" w:rsidRDefault="00E45C05" w:rsidP="004576E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sidR="004576EE" w:rsidRPr="001C137C">
        <w:rPr>
          <w:rFonts w:ascii="Times New Roman" w:eastAsia="Times New Roman" w:hAnsi="Times New Roman"/>
          <w:b/>
          <w:bCs/>
          <w:sz w:val="20"/>
          <w:szCs w:val="20"/>
          <w:u w:val="single"/>
          <w:lang w:val="en-GB" w:eastAsia="zh-CN"/>
        </w:rPr>
        <w:t>:</w:t>
      </w:r>
      <w:r w:rsidR="004576EE" w:rsidRPr="001C137C">
        <w:rPr>
          <w:rFonts w:ascii="Times New Roman" w:eastAsia="Times New Roman" w:hAnsi="Times New Roman"/>
          <w:b/>
          <w:bCs/>
          <w:sz w:val="20"/>
          <w:szCs w:val="20"/>
          <w:lang w:val="en-GB" w:eastAsia="zh-CN"/>
        </w:rPr>
        <w:tab/>
      </w:r>
      <w:r w:rsidR="004576EE">
        <w:rPr>
          <w:rFonts w:ascii="Times New Roman" w:eastAsia="Times New Roman" w:hAnsi="Times New Roman"/>
          <w:bCs/>
          <w:i/>
          <w:sz w:val="20"/>
          <w:szCs w:val="20"/>
          <w:lang w:val="en-GB" w:eastAsia="zh-CN"/>
        </w:rPr>
        <w:t>The case of mode 4 UEs requesting NW for duplicated transmissions should not be considered for Rel-15 V2X.</w:t>
      </w:r>
    </w:p>
    <w:p w14:paraId="3E5FDEDA" w14:textId="6A0BCA65" w:rsidR="00FD2652" w:rsidRDefault="00E45C05" w:rsidP="00FD2652">
      <w:pPr>
        <w:overflowPunct w:val="0"/>
        <w:autoSpaceDE w:val="0"/>
        <w:autoSpaceDN w:val="0"/>
        <w:adjustRightInd w:val="0"/>
        <w:spacing w:after="180" w:line="240" w:lineRule="auto"/>
        <w:ind w:left="1170" w:hanging="1170"/>
        <w:textAlignment w:val="baseline"/>
        <w:rPr>
          <w:rFonts w:ascii="Times New Roman" w:eastAsia="Times New Roman" w:hAnsi="Times New Roman"/>
          <w:bCs/>
          <w:sz w:val="20"/>
          <w:szCs w:val="20"/>
          <w:lang w:val="en-GB" w:eastAsia="zh-CN"/>
        </w:rPr>
      </w:pPr>
      <w:r>
        <w:rPr>
          <w:rFonts w:ascii="Times New Roman" w:eastAsia="Times New Roman" w:hAnsi="Times New Roman"/>
          <w:b/>
          <w:bCs/>
          <w:sz w:val="20"/>
          <w:szCs w:val="20"/>
          <w:u w:val="single"/>
          <w:lang w:val="en-GB" w:eastAsia="zh-CN"/>
        </w:rPr>
        <w:t>Proposal 5</w:t>
      </w:r>
      <w:r w:rsidR="00FD2652" w:rsidRPr="001C137C">
        <w:rPr>
          <w:rFonts w:ascii="Times New Roman" w:eastAsia="Times New Roman" w:hAnsi="Times New Roman"/>
          <w:b/>
          <w:bCs/>
          <w:sz w:val="20"/>
          <w:szCs w:val="20"/>
          <w:u w:val="single"/>
          <w:lang w:val="en-GB" w:eastAsia="zh-CN"/>
        </w:rPr>
        <w:t>:</w:t>
      </w:r>
      <w:r w:rsidR="00FD2652" w:rsidRPr="001C137C">
        <w:rPr>
          <w:rFonts w:ascii="Times New Roman" w:eastAsia="Times New Roman" w:hAnsi="Times New Roman"/>
          <w:b/>
          <w:bCs/>
          <w:sz w:val="20"/>
          <w:szCs w:val="20"/>
          <w:lang w:val="en-GB" w:eastAsia="zh-CN"/>
        </w:rPr>
        <w:tab/>
      </w:r>
      <w:r w:rsidR="00FD2652">
        <w:rPr>
          <w:rFonts w:ascii="Times New Roman" w:eastAsia="Times New Roman" w:hAnsi="Times New Roman"/>
          <w:bCs/>
          <w:i/>
          <w:sz w:val="20"/>
          <w:szCs w:val="20"/>
          <w:lang w:val="en-GB" w:eastAsia="zh-CN"/>
        </w:rPr>
        <w:t>RAN2 should discuss whether the configuration/activation of duplication should be performed per V2X service type or per packet (i.e. based on PPPR).</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0889BDE2" w14:textId="77777777" w:rsidR="00BE500A"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BE500A" w14:paraId="6D29E644" w14:textId="77777777">
                <w:trPr>
                  <w:divId w:val="196964729"/>
                  <w:tblCellSpacing w:w="15" w:type="dxa"/>
                </w:trPr>
                <w:tc>
                  <w:tcPr>
                    <w:tcW w:w="50" w:type="pct"/>
                    <w:hideMark/>
                  </w:tcPr>
                  <w:p w14:paraId="54BAA46B" w14:textId="77777777" w:rsidR="00BE500A" w:rsidRDefault="00BE500A">
                    <w:pPr>
                      <w:pStyle w:val="Bibliography"/>
                      <w:rPr>
                        <w:noProof/>
                        <w:sz w:val="24"/>
                        <w:szCs w:val="24"/>
                      </w:rPr>
                    </w:pPr>
                    <w:r>
                      <w:rPr>
                        <w:noProof/>
                      </w:rPr>
                      <w:t xml:space="preserve">[1] </w:t>
                    </w:r>
                  </w:p>
                </w:tc>
                <w:tc>
                  <w:tcPr>
                    <w:tcW w:w="0" w:type="auto"/>
                    <w:hideMark/>
                  </w:tcPr>
                  <w:p w14:paraId="17427FB4" w14:textId="77777777" w:rsidR="00BE500A" w:rsidRDefault="00BE500A">
                    <w:pPr>
                      <w:pStyle w:val="Bibliography"/>
                      <w:rPr>
                        <w:noProof/>
                      </w:rPr>
                    </w:pPr>
                    <w:r>
                      <w:rPr>
                        <w:noProof/>
                      </w:rPr>
                      <w:t xml:space="preserve">"RAN2#100, "Chairman Notes"". </w:t>
                    </w:r>
                  </w:p>
                </w:tc>
              </w:tr>
              <w:tr w:rsidR="00BE500A" w14:paraId="38824782" w14:textId="77777777">
                <w:trPr>
                  <w:divId w:val="196964729"/>
                  <w:tblCellSpacing w:w="15" w:type="dxa"/>
                </w:trPr>
                <w:tc>
                  <w:tcPr>
                    <w:tcW w:w="50" w:type="pct"/>
                    <w:hideMark/>
                  </w:tcPr>
                  <w:p w14:paraId="7B73C2A6" w14:textId="77777777" w:rsidR="00BE500A" w:rsidRDefault="00BE500A">
                    <w:pPr>
                      <w:pStyle w:val="Bibliography"/>
                      <w:rPr>
                        <w:noProof/>
                      </w:rPr>
                    </w:pPr>
                    <w:r>
                      <w:rPr>
                        <w:noProof/>
                      </w:rPr>
                      <w:t xml:space="preserve">[2] </w:t>
                    </w:r>
                  </w:p>
                </w:tc>
                <w:tc>
                  <w:tcPr>
                    <w:tcW w:w="0" w:type="auto"/>
                    <w:hideMark/>
                  </w:tcPr>
                  <w:p w14:paraId="22FF5590" w14:textId="77777777" w:rsidR="00BE500A" w:rsidRDefault="00BE500A">
                    <w:pPr>
                      <w:pStyle w:val="Bibliography"/>
                      <w:rPr>
                        <w:noProof/>
                      </w:rPr>
                    </w:pPr>
                    <w:r>
                      <w:rPr>
                        <w:noProof/>
                      </w:rPr>
                      <w:t xml:space="preserve">"S2-181368, "Reply LS on Reliability for eV2X", SA2". </w:t>
                    </w:r>
                  </w:p>
                </w:tc>
              </w:tr>
              <w:tr w:rsidR="00BE500A" w14:paraId="7F4C4AC0" w14:textId="77777777">
                <w:trPr>
                  <w:divId w:val="196964729"/>
                  <w:tblCellSpacing w:w="15" w:type="dxa"/>
                </w:trPr>
                <w:tc>
                  <w:tcPr>
                    <w:tcW w:w="50" w:type="pct"/>
                    <w:hideMark/>
                  </w:tcPr>
                  <w:p w14:paraId="78FE2A07" w14:textId="77777777" w:rsidR="00BE500A" w:rsidRDefault="00BE500A">
                    <w:pPr>
                      <w:pStyle w:val="Bibliography"/>
                      <w:rPr>
                        <w:noProof/>
                      </w:rPr>
                    </w:pPr>
                    <w:r>
                      <w:rPr>
                        <w:noProof/>
                      </w:rPr>
                      <w:t xml:space="preserve">[3] </w:t>
                    </w:r>
                  </w:p>
                </w:tc>
                <w:tc>
                  <w:tcPr>
                    <w:tcW w:w="0" w:type="auto"/>
                    <w:hideMark/>
                  </w:tcPr>
                  <w:p w14:paraId="499F4CA6" w14:textId="77777777" w:rsidR="00BE500A" w:rsidRDefault="00BE500A">
                    <w:pPr>
                      <w:pStyle w:val="Bibliography"/>
                      <w:rPr>
                        <w:noProof/>
                      </w:rPr>
                    </w:pPr>
                    <w:r>
                      <w:rPr>
                        <w:noProof/>
                      </w:rPr>
                      <w:t xml:space="preserve">"R2-180xxxx, "On overall reliability framework for Rel-15 eV2X", Intel Corporation". </w:t>
                    </w:r>
                  </w:p>
                </w:tc>
              </w:tr>
              <w:tr w:rsidR="00BE500A" w14:paraId="3D2CF33F" w14:textId="77777777">
                <w:trPr>
                  <w:divId w:val="196964729"/>
                  <w:tblCellSpacing w:w="15" w:type="dxa"/>
                </w:trPr>
                <w:tc>
                  <w:tcPr>
                    <w:tcW w:w="50" w:type="pct"/>
                    <w:hideMark/>
                  </w:tcPr>
                  <w:p w14:paraId="2CDCAEC6" w14:textId="77777777" w:rsidR="00BE500A" w:rsidRDefault="00BE500A">
                    <w:pPr>
                      <w:pStyle w:val="Bibliography"/>
                      <w:rPr>
                        <w:noProof/>
                      </w:rPr>
                    </w:pPr>
                    <w:r>
                      <w:rPr>
                        <w:noProof/>
                      </w:rPr>
                      <w:t xml:space="preserve">[4] </w:t>
                    </w:r>
                  </w:p>
                </w:tc>
                <w:tc>
                  <w:tcPr>
                    <w:tcW w:w="0" w:type="auto"/>
                    <w:hideMark/>
                  </w:tcPr>
                  <w:p w14:paraId="2929A1B2" w14:textId="77777777" w:rsidR="00BE500A" w:rsidRDefault="00BE500A">
                    <w:pPr>
                      <w:pStyle w:val="Bibliography"/>
                      <w:rPr>
                        <w:noProof/>
                      </w:rPr>
                    </w:pPr>
                    <w:r>
                      <w:rPr>
                        <w:noProof/>
                      </w:rPr>
                      <w:t xml:space="preserve">"R2-1712942, "Discussion on activation of duplication", Nokia, Nokia Shanghai Bell". </w:t>
                    </w:r>
                  </w:p>
                </w:tc>
              </w:tr>
              <w:tr w:rsidR="00BE500A" w14:paraId="566E191F" w14:textId="77777777">
                <w:trPr>
                  <w:divId w:val="196964729"/>
                  <w:tblCellSpacing w:w="15" w:type="dxa"/>
                </w:trPr>
                <w:tc>
                  <w:tcPr>
                    <w:tcW w:w="50" w:type="pct"/>
                    <w:hideMark/>
                  </w:tcPr>
                  <w:p w14:paraId="007C799A" w14:textId="77777777" w:rsidR="00BE500A" w:rsidRDefault="00BE500A">
                    <w:pPr>
                      <w:pStyle w:val="Bibliography"/>
                      <w:rPr>
                        <w:noProof/>
                      </w:rPr>
                    </w:pPr>
                    <w:r>
                      <w:rPr>
                        <w:noProof/>
                      </w:rPr>
                      <w:t xml:space="preserve">[5] </w:t>
                    </w:r>
                  </w:p>
                </w:tc>
                <w:tc>
                  <w:tcPr>
                    <w:tcW w:w="0" w:type="auto"/>
                    <w:hideMark/>
                  </w:tcPr>
                  <w:p w14:paraId="4251C7E3" w14:textId="77777777" w:rsidR="00BE500A" w:rsidRDefault="00BE500A">
                    <w:pPr>
                      <w:pStyle w:val="Bibliography"/>
                      <w:rPr>
                        <w:noProof/>
                      </w:rPr>
                    </w:pPr>
                    <w:r>
                      <w:rPr>
                        <w:noProof/>
                      </w:rPr>
                      <w:t xml:space="preserve">"R2-1712970, "Packet Duplication for eV2X Sidelink CA", Potevio". </w:t>
                    </w:r>
                  </w:p>
                </w:tc>
              </w:tr>
              <w:tr w:rsidR="00BE500A" w14:paraId="69949798" w14:textId="77777777">
                <w:trPr>
                  <w:divId w:val="196964729"/>
                  <w:tblCellSpacing w:w="15" w:type="dxa"/>
                </w:trPr>
                <w:tc>
                  <w:tcPr>
                    <w:tcW w:w="50" w:type="pct"/>
                    <w:hideMark/>
                  </w:tcPr>
                  <w:p w14:paraId="58C68E68" w14:textId="77777777" w:rsidR="00BE500A" w:rsidRDefault="00BE500A">
                    <w:pPr>
                      <w:pStyle w:val="Bibliography"/>
                      <w:rPr>
                        <w:noProof/>
                      </w:rPr>
                    </w:pPr>
                    <w:r>
                      <w:rPr>
                        <w:noProof/>
                      </w:rPr>
                      <w:t xml:space="preserve">[6] </w:t>
                    </w:r>
                  </w:p>
                </w:tc>
                <w:tc>
                  <w:tcPr>
                    <w:tcW w:w="0" w:type="auto"/>
                    <w:hideMark/>
                  </w:tcPr>
                  <w:p w14:paraId="545204F2" w14:textId="77777777" w:rsidR="00BE500A" w:rsidRDefault="00BE500A">
                    <w:pPr>
                      <w:pStyle w:val="Bibliography"/>
                      <w:rPr>
                        <w:noProof/>
                      </w:rPr>
                    </w:pPr>
                    <w:r>
                      <w:rPr>
                        <w:noProof/>
                      </w:rPr>
                      <w:t xml:space="preserve">"R2-1180xxxx, "On Carrier Selection procedure for CA over PC5", Intel Corporation". </w:t>
                    </w:r>
                  </w:p>
                </w:tc>
              </w:tr>
            </w:tbl>
            <w:p w14:paraId="0488A0B4" w14:textId="77777777" w:rsidR="00BE500A" w:rsidRDefault="00BE500A">
              <w:pPr>
                <w:divId w:val="196964729"/>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E3ED3" w:rsidRDefault="004E3ED3">
      <w:pPr>
        <w:spacing w:after="0" w:line="240" w:lineRule="auto"/>
      </w:pPr>
      <w:r>
        <w:separator/>
      </w:r>
    </w:p>
  </w:endnote>
  <w:endnote w:type="continuationSeparator" w:id="0">
    <w:p w14:paraId="50A28EF3" w14:textId="77777777" w:rsidR="004E3ED3" w:rsidRDefault="004E3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4E3ED3" w:rsidRDefault="004E3ED3"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666A">
      <w:rPr>
        <w:rFonts w:ascii="Arial" w:hAnsi="Arial" w:cs="Arial"/>
        <w:b/>
        <w:noProof/>
        <w:sz w:val="18"/>
        <w:szCs w:val="18"/>
      </w:rPr>
      <w:t>3</w:t>
    </w:r>
    <w:r>
      <w:rPr>
        <w:rFonts w:ascii="Arial" w:hAnsi="Arial" w:cs="Arial"/>
        <w:b/>
        <w:sz w:val="18"/>
        <w:szCs w:val="18"/>
      </w:rPr>
      <w:fldChar w:fldCharType="end"/>
    </w:r>
  </w:p>
  <w:p w14:paraId="50A28EF5" w14:textId="77777777" w:rsidR="004E3ED3" w:rsidRDefault="004E3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E3ED3" w:rsidRDefault="004E3ED3">
      <w:pPr>
        <w:spacing w:after="0" w:line="240" w:lineRule="auto"/>
      </w:pPr>
      <w:r>
        <w:separator/>
      </w:r>
    </w:p>
  </w:footnote>
  <w:footnote w:type="continuationSeparator" w:id="0">
    <w:p w14:paraId="50A28EF1" w14:textId="77777777" w:rsidR="004E3ED3" w:rsidRDefault="004E3E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11"/>
  </w:num>
  <w:num w:numId="4">
    <w:abstractNumId w:val="10"/>
  </w:num>
  <w:num w:numId="5">
    <w:abstractNumId w:val="2"/>
    <w:lvlOverride w:ilvl="0">
      <w:startOverride w:val="1"/>
    </w:lvlOverride>
  </w:num>
  <w:num w:numId="6">
    <w:abstractNumId w:val="4"/>
    <w:lvlOverride w:ilvl="0">
      <w:startOverride w:val="2"/>
    </w:lvlOverride>
  </w:num>
  <w:num w:numId="7">
    <w:abstractNumId w:val="16"/>
  </w:num>
  <w:num w:numId="8">
    <w:abstractNumId w:val="7"/>
  </w:num>
  <w:num w:numId="9">
    <w:abstractNumId w:val="5"/>
  </w:num>
  <w:num w:numId="10">
    <w:abstractNumId w:val="13"/>
  </w:num>
  <w:num w:numId="11">
    <w:abstractNumId w:val="17"/>
  </w:num>
  <w:num w:numId="12">
    <w:abstractNumId w:val="3"/>
  </w:num>
  <w:num w:numId="13">
    <w:abstractNumId w:val="6"/>
  </w:num>
  <w:num w:numId="14">
    <w:abstractNumId w:val="0"/>
  </w:num>
  <w:num w:numId="15">
    <w:abstractNumId w:val="1"/>
  </w:num>
  <w:num w:numId="16">
    <w:abstractNumId w:val="9"/>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632AE"/>
    <w:rsid w:val="00066057"/>
    <w:rsid w:val="00071BD0"/>
    <w:rsid w:val="000760CC"/>
    <w:rsid w:val="0007638E"/>
    <w:rsid w:val="00077473"/>
    <w:rsid w:val="00081766"/>
    <w:rsid w:val="0008197A"/>
    <w:rsid w:val="00096596"/>
    <w:rsid w:val="000A09E6"/>
    <w:rsid w:val="000A7E1C"/>
    <w:rsid w:val="000E4761"/>
    <w:rsid w:val="000E493C"/>
    <w:rsid w:val="000F1C37"/>
    <w:rsid w:val="00100001"/>
    <w:rsid w:val="00111236"/>
    <w:rsid w:val="0011610B"/>
    <w:rsid w:val="00120B9E"/>
    <w:rsid w:val="00143F5D"/>
    <w:rsid w:val="00144CD4"/>
    <w:rsid w:val="00147C5C"/>
    <w:rsid w:val="00151E30"/>
    <w:rsid w:val="00154CC9"/>
    <w:rsid w:val="00160710"/>
    <w:rsid w:val="0016207C"/>
    <w:rsid w:val="0016488C"/>
    <w:rsid w:val="00171180"/>
    <w:rsid w:val="00175B7F"/>
    <w:rsid w:val="00175DCB"/>
    <w:rsid w:val="00195430"/>
    <w:rsid w:val="00197B45"/>
    <w:rsid w:val="001A793C"/>
    <w:rsid w:val="001B7098"/>
    <w:rsid w:val="001C137C"/>
    <w:rsid w:val="001C6E8B"/>
    <w:rsid w:val="001E221E"/>
    <w:rsid w:val="001E54F9"/>
    <w:rsid w:val="0020567B"/>
    <w:rsid w:val="0020671E"/>
    <w:rsid w:val="00225341"/>
    <w:rsid w:val="0023785A"/>
    <w:rsid w:val="00253F58"/>
    <w:rsid w:val="00255F2A"/>
    <w:rsid w:val="00260222"/>
    <w:rsid w:val="00263354"/>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F04F8"/>
    <w:rsid w:val="002F153B"/>
    <w:rsid w:val="002F432E"/>
    <w:rsid w:val="00330823"/>
    <w:rsid w:val="00332851"/>
    <w:rsid w:val="00336D1D"/>
    <w:rsid w:val="003379D6"/>
    <w:rsid w:val="00337A0E"/>
    <w:rsid w:val="00345654"/>
    <w:rsid w:val="0035278E"/>
    <w:rsid w:val="00361EF9"/>
    <w:rsid w:val="003848A3"/>
    <w:rsid w:val="00384CB8"/>
    <w:rsid w:val="00385E3E"/>
    <w:rsid w:val="00396B24"/>
    <w:rsid w:val="003A766F"/>
    <w:rsid w:val="003B424F"/>
    <w:rsid w:val="003B6208"/>
    <w:rsid w:val="003B6BC4"/>
    <w:rsid w:val="003C2812"/>
    <w:rsid w:val="003D1D55"/>
    <w:rsid w:val="003E76DD"/>
    <w:rsid w:val="003F0F74"/>
    <w:rsid w:val="0040277F"/>
    <w:rsid w:val="004035EF"/>
    <w:rsid w:val="00412F14"/>
    <w:rsid w:val="00415F96"/>
    <w:rsid w:val="00416235"/>
    <w:rsid w:val="00424635"/>
    <w:rsid w:val="00433DA4"/>
    <w:rsid w:val="00434F17"/>
    <w:rsid w:val="0043655F"/>
    <w:rsid w:val="00437AB1"/>
    <w:rsid w:val="00440C74"/>
    <w:rsid w:val="00445B7E"/>
    <w:rsid w:val="00453DB6"/>
    <w:rsid w:val="0045665A"/>
    <w:rsid w:val="004576EE"/>
    <w:rsid w:val="00460EBA"/>
    <w:rsid w:val="00467867"/>
    <w:rsid w:val="004747C6"/>
    <w:rsid w:val="004873A1"/>
    <w:rsid w:val="0049247B"/>
    <w:rsid w:val="004941A2"/>
    <w:rsid w:val="004A45E2"/>
    <w:rsid w:val="004B2F1A"/>
    <w:rsid w:val="004B7729"/>
    <w:rsid w:val="004C546C"/>
    <w:rsid w:val="004D44CA"/>
    <w:rsid w:val="004D6C2B"/>
    <w:rsid w:val="004E2339"/>
    <w:rsid w:val="004E3975"/>
    <w:rsid w:val="004E3ED3"/>
    <w:rsid w:val="00504200"/>
    <w:rsid w:val="005067A7"/>
    <w:rsid w:val="00511AF4"/>
    <w:rsid w:val="005214C0"/>
    <w:rsid w:val="005231DC"/>
    <w:rsid w:val="00523734"/>
    <w:rsid w:val="005279F9"/>
    <w:rsid w:val="0055379C"/>
    <w:rsid w:val="00555440"/>
    <w:rsid w:val="0055706A"/>
    <w:rsid w:val="00557402"/>
    <w:rsid w:val="00593190"/>
    <w:rsid w:val="00597FD5"/>
    <w:rsid w:val="005A4656"/>
    <w:rsid w:val="005A7CEA"/>
    <w:rsid w:val="005C158A"/>
    <w:rsid w:val="005C3DFF"/>
    <w:rsid w:val="005E3E1B"/>
    <w:rsid w:val="005E4E14"/>
    <w:rsid w:val="005F30EF"/>
    <w:rsid w:val="00610A06"/>
    <w:rsid w:val="00625D8E"/>
    <w:rsid w:val="00627647"/>
    <w:rsid w:val="00633024"/>
    <w:rsid w:val="00661C20"/>
    <w:rsid w:val="00667231"/>
    <w:rsid w:val="00667AB9"/>
    <w:rsid w:val="006720DF"/>
    <w:rsid w:val="00673EBD"/>
    <w:rsid w:val="00677C6F"/>
    <w:rsid w:val="00696FDC"/>
    <w:rsid w:val="006A27E5"/>
    <w:rsid w:val="006A666A"/>
    <w:rsid w:val="006C65A8"/>
    <w:rsid w:val="006D0058"/>
    <w:rsid w:val="006D512C"/>
    <w:rsid w:val="006D7CC2"/>
    <w:rsid w:val="006E0F37"/>
    <w:rsid w:val="006F631D"/>
    <w:rsid w:val="00705D31"/>
    <w:rsid w:val="00710503"/>
    <w:rsid w:val="00711B34"/>
    <w:rsid w:val="007158F5"/>
    <w:rsid w:val="00723298"/>
    <w:rsid w:val="00732A41"/>
    <w:rsid w:val="00732CD4"/>
    <w:rsid w:val="007336B5"/>
    <w:rsid w:val="00740D3E"/>
    <w:rsid w:val="00743313"/>
    <w:rsid w:val="007646CF"/>
    <w:rsid w:val="00777344"/>
    <w:rsid w:val="00781376"/>
    <w:rsid w:val="00786A05"/>
    <w:rsid w:val="00786EC6"/>
    <w:rsid w:val="00791A9C"/>
    <w:rsid w:val="00792327"/>
    <w:rsid w:val="00797358"/>
    <w:rsid w:val="007A2068"/>
    <w:rsid w:val="007A49CD"/>
    <w:rsid w:val="007D042C"/>
    <w:rsid w:val="007D05E3"/>
    <w:rsid w:val="007D32DD"/>
    <w:rsid w:val="00813FBF"/>
    <w:rsid w:val="00827742"/>
    <w:rsid w:val="00835599"/>
    <w:rsid w:val="008418C6"/>
    <w:rsid w:val="00861C7A"/>
    <w:rsid w:val="008669B1"/>
    <w:rsid w:val="00872760"/>
    <w:rsid w:val="00875F14"/>
    <w:rsid w:val="008775ED"/>
    <w:rsid w:val="00883EF2"/>
    <w:rsid w:val="008848AB"/>
    <w:rsid w:val="0088519D"/>
    <w:rsid w:val="00897CC2"/>
    <w:rsid w:val="008A1604"/>
    <w:rsid w:val="008A3B9F"/>
    <w:rsid w:val="008A3EC6"/>
    <w:rsid w:val="008B0017"/>
    <w:rsid w:val="008B7DB0"/>
    <w:rsid w:val="008C0567"/>
    <w:rsid w:val="008C6004"/>
    <w:rsid w:val="008D2846"/>
    <w:rsid w:val="008E03BE"/>
    <w:rsid w:val="008E5071"/>
    <w:rsid w:val="008F15B9"/>
    <w:rsid w:val="008F6F4C"/>
    <w:rsid w:val="00901F6D"/>
    <w:rsid w:val="00902C16"/>
    <w:rsid w:val="00915CAD"/>
    <w:rsid w:val="009215C6"/>
    <w:rsid w:val="00925869"/>
    <w:rsid w:val="00927261"/>
    <w:rsid w:val="009331B4"/>
    <w:rsid w:val="00934516"/>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5BAB"/>
    <w:rsid w:val="009E6ED4"/>
    <w:rsid w:val="009E7171"/>
    <w:rsid w:val="009F06CB"/>
    <w:rsid w:val="009F731B"/>
    <w:rsid w:val="009F758B"/>
    <w:rsid w:val="00A3157F"/>
    <w:rsid w:val="00A35BD3"/>
    <w:rsid w:val="00A36480"/>
    <w:rsid w:val="00A44954"/>
    <w:rsid w:val="00A45F0D"/>
    <w:rsid w:val="00A5035B"/>
    <w:rsid w:val="00A53711"/>
    <w:rsid w:val="00A5678C"/>
    <w:rsid w:val="00A601C3"/>
    <w:rsid w:val="00A63B12"/>
    <w:rsid w:val="00A824AF"/>
    <w:rsid w:val="00A83DE0"/>
    <w:rsid w:val="00A86A88"/>
    <w:rsid w:val="00A92667"/>
    <w:rsid w:val="00AB388C"/>
    <w:rsid w:val="00AC4F72"/>
    <w:rsid w:val="00AD20FE"/>
    <w:rsid w:val="00AE13FE"/>
    <w:rsid w:val="00AE5BAD"/>
    <w:rsid w:val="00AF256D"/>
    <w:rsid w:val="00B14023"/>
    <w:rsid w:val="00B20B32"/>
    <w:rsid w:val="00B329F9"/>
    <w:rsid w:val="00B438F2"/>
    <w:rsid w:val="00B45EDF"/>
    <w:rsid w:val="00B74D9C"/>
    <w:rsid w:val="00B76EA2"/>
    <w:rsid w:val="00B9000F"/>
    <w:rsid w:val="00B91D6D"/>
    <w:rsid w:val="00B92FEE"/>
    <w:rsid w:val="00B9460B"/>
    <w:rsid w:val="00BA2CEB"/>
    <w:rsid w:val="00BB7B6E"/>
    <w:rsid w:val="00BD4C5D"/>
    <w:rsid w:val="00BD4D14"/>
    <w:rsid w:val="00BE0DBD"/>
    <w:rsid w:val="00BE500A"/>
    <w:rsid w:val="00BE6D20"/>
    <w:rsid w:val="00C05BC0"/>
    <w:rsid w:val="00C10CE1"/>
    <w:rsid w:val="00C27041"/>
    <w:rsid w:val="00C27475"/>
    <w:rsid w:val="00C348A8"/>
    <w:rsid w:val="00C47BFB"/>
    <w:rsid w:val="00C641CB"/>
    <w:rsid w:val="00C667DF"/>
    <w:rsid w:val="00C67B49"/>
    <w:rsid w:val="00C73BA9"/>
    <w:rsid w:val="00C8595C"/>
    <w:rsid w:val="00C90D45"/>
    <w:rsid w:val="00CA751B"/>
    <w:rsid w:val="00CB6AB5"/>
    <w:rsid w:val="00CD4245"/>
    <w:rsid w:val="00CE5D88"/>
    <w:rsid w:val="00CE70AB"/>
    <w:rsid w:val="00D0160E"/>
    <w:rsid w:val="00D05CFA"/>
    <w:rsid w:val="00D244A7"/>
    <w:rsid w:val="00D30389"/>
    <w:rsid w:val="00D30D35"/>
    <w:rsid w:val="00D4144E"/>
    <w:rsid w:val="00D4639F"/>
    <w:rsid w:val="00D65AAE"/>
    <w:rsid w:val="00D74365"/>
    <w:rsid w:val="00D75EC2"/>
    <w:rsid w:val="00D80BD1"/>
    <w:rsid w:val="00D94525"/>
    <w:rsid w:val="00DC00B2"/>
    <w:rsid w:val="00DC299B"/>
    <w:rsid w:val="00DD532A"/>
    <w:rsid w:val="00DE207A"/>
    <w:rsid w:val="00DF07FB"/>
    <w:rsid w:val="00DF106B"/>
    <w:rsid w:val="00DF2222"/>
    <w:rsid w:val="00DF25A3"/>
    <w:rsid w:val="00E0063E"/>
    <w:rsid w:val="00E10C75"/>
    <w:rsid w:val="00E13016"/>
    <w:rsid w:val="00E1322A"/>
    <w:rsid w:val="00E14C3C"/>
    <w:rsid w:val="00E267E6"/>
    <w:rsid w:val="00E31E41"/>
    <w:rsid w:val="00E32368"/>
    <w:rsid w:val="00E42BBE"/>
    <w:rsid w:val="00E45C05"/>
    <w:rsid w:val="00E53137"/>
    <w:rsid w:val="00E60548"/>
    <w:rsid w:val="00E63487"/>
    <w:rsid w:val="00E65894"/>
    <w:rsid w:val="00E6786C"/>
    <w:rsid w:val="00E76581"/>
    <w:rsid w:val="00E77D40"/>
    <w:rsid w:val="00E86837"/>
    <w:rsid w:val="00E87B8A"/>
    <w:rsid w:val="00E93113"/>
    <w:rsid w:val="00E936F6"/>
    <w:rsid w:val="00EB0968"/>
    <w:rsid w:val="00EC1C57"/>
    <w:rsid w:val="00EC7E0A"/>
    <w:rsid w:val="00ED00AF"/>
    <w:rsid w:val="00ED7949"/>
    <w:rsid w:val="00EE3B7D"/>
    <w:rsid w:val="00EF7293"/>
    <w:rsid w:val="00F14233"/>
    <w:rsid w:val="00F16547"/>
    <w:rsid w:val="00F16840"/>
    <w:rsid w:val="00F20B33"/>
    <w:rsid w:val="00F2103E"/>
    <w:rsid w:val="00F239D6"/>
    <w:rsid w:val="00F25073"/>
    <w:rsid w:val="00F267E0"/>
    <w:rsid w:val="00F27189"/>
    <w:rsid w:val="00F37D4B"/>
    <w:rsid w:val="00F37FEE"/>
    <w:rsid w:val="00F443D7"/>
    <w:rsid w:val="00F46717"/>
    <w:rsid w:val="00F6097D"/>
    <w:rsid w:val="00F71990"/>
    <w:rsid w:val="00F77B6D"/>
    <w:rsid w:val="00F77BD9"/>
    <w:rsid w:val="00F816A9"/>
    <w:rsid w:val="00F83629"/>
    <w:rsid w:val="00F87B5D"/>
    <w:rsid w:val="00F97382"/>
    <w:rsid w:val="00FA03CA"/>
    <w:rsid w:val="00FA4DC9"/>
    <w:rsid w:val="00FB08ED"/>
    <w:rsid w:val="00FC16BC"/>
    <w:rsid w:val="00FC2EDB"/>
    <w:rsid w:val="00FC32F9"/>
    <w:rsid w:val="00FD039C"/>
    <w:rsid w:val="00FD2652"/>
    <w:rsid w:val="00FD6367"/>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696472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5918239">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2405865">
      <w:bodyDiv w:val="1"/>
      <w:marLeft w:val="0"/>
      <w:marRight w:val="0"/>
      <w:marTop w:val="0"/>
      <w:marBottom w:val="0"/>
      <w:divBdr>
        <w:top w:val="none" w:sz="0" w:space="0" w:color="auto"/>
        <w:left w:val="none" w:sz="0" w:space="0" w:color="auto"/>
        <w:bottom w:val="none" w:sz="0" w:space="0" w:color="auto"/>
        <w:right w:val="none" w:sz="0" w:space="0" w:color="auto"/>
      </w:divBdr>
    </w:div>
    <w:div w:id="557203072">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8161815">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98004467">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3193307">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80996698">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3466126">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RAN21003</b:Tag>
    <b:SourceType>ConferenceProceedings</b:SourceType>
    <b:Guid>{1C9B9CFA-70A0-473E-9922-111A4F431550}</b:Guid>
    <b:Title>RAN2#100, "Chairman Notes"</b:Title>
    <b:RefOrder>1</b:RefOrder>
  </b:Source>
  <b:Source>
    <b:Tag>SA2LS</b:Tag>
    <b:SourceType>ConferenceProceedings</b:SourceType>
    <b:Guid>{5845D167-2164-4F80-A82D-D9F18FB8E510}</b:Guid>
    <b:Title>S2-181368, "Reply LS on Reliability for eV2X", SA2</b:Title>
    <b:RefOrder>2</b:RefOrder>
  </b:Source>
  <b:Source>
    <b:Tag>Reliabilityframework</b:Tag>
    <b:SourceType>ConferenceProceedings</b:SourceType>
    <b:Guid>{A613B649-DA9C-4BC6-9E17-3B39A8895022}</b:Guid>
    <b:Title>R2-180xxxx, "On overall reliability framework for Rel-15 eV2X", Intel Corporation</b:Title>
    <b:RefOrder>3</b:RefOrder>
  </b:Source>
  <b:Source>
    <b:Tag>NokiaDuplication</b:Tag>
    <b:SourceType>ConferenceProceedings</b:SourceType>
    <b:Guid>{681D85EF-847C-43EE-9CDE-3CA3860FF3EC}</b:Guid>
    <b:Title>R2-1712942, "Discussion on activation of duplication", Nokia, Nokia Shanghai Bell</b:Title>
    <b:RefOrder>4</b:RefOrder>
  </b:Source>
  <b:Source>
    <b:Tag>PoteviooDuplication</b:Tag>
    <b:SourceType>ConferenceProceedings</b:SourceType>
    <b:Guid>{27CA8D40-9309-4A81-A980-9EAF54DB3449}</b:Guid>
    <b:Title>R2-1712970, "Packet Duplication for eV2X Sidelink CA", Potevio</b:Title>
    <b:RefOrder>5</b:RefOrder>
  </b:Source>
  <b:Source>
    <b:Tag>CarrierSelectionIntel</b:Tag>
    <b:SourceType>ConferenceProceedings</b:SourceType>
    <b:Guid>{D8B4317B-AF30-483F-9A8B-0694F3AAF671}</b:Guid>
    <b:Title>R2-1180xxxx, "On Carrier Selection procedure for CA over PC5", Intel Corporation</b:Title>
    <b:RefOrder>6</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0417DE7-50F2-424D-AF00-C233AC96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TotalTime>
  <Pages>3</Pages>
  <Words>1451</Words>
  <Characters>7942</Characters>
  <Application>Microsoft Office Word</Application>
  <DocSecurity>0</DocSecurity>
  <Lines>126</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221</cp:revision>
  <dcterms:created xsi:type="dcterms:W3CDTF">2017-08-12T02:26:00Z</dcterms:created>
  <dcterms:modified xsi:type="dcterms:W3CDTF">2018-02-16T03:00:00Z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2018-02-16 03:00:53Z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