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17782" w14:textId="1D9C604A" w:rsidR="007D67A4" w:rsidRPr="00EE6198" w:rsidRDefault="007D67A4" w:rsidP="007D67A4">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101</w:t>
      </w:r>
      <w:r w:rsidRPr="00EE6198">
        <w:rPr>
          <w:sz w:val="24"/>
          <w:lang w:val="en-GB" w:eastAsia="zh-CN"/>
        </w:rPr>
        <w:tab/>
      </w:r>
      <w:r w:rsidR="001247D7" w:rsidRPr="001247D7">
        <w:rPr>
          <w:sz w:val="24"/>
          <w:lang w:val="en-GB" w:eastAsia="zh-CN"/>
        </w:rPr>
        <w:t>R2-1802901</w:t>
      </w:r>
      <w:bookmarkStart w:id="0" w:name="_GoBack"/>
      <w:bookmarkEnd w:id="0"/>
    </w:p>
    <w:p w14:paraId="3A925FD0" w14:textId="26FF1EAE" w:rsidR="007D67A4" w:rsidRPr="00EE6198" w:rsidRDefault="007D67A4" w:rsidP="007D67A4">
      <w:pPr>
        <w:pStyle w:val="Header"/>
        <w:tabs>
          <w:tab w:val="right" w:pos="9639"/>
        </w:tabs>
        <w:rPr>
          <w:sz w:val="24"/>
          <w:lang w:val="en-GB" w:eastAsia="zh-CN"/>
        </w:rPr>
      </w:pPr>
      <w:r>
        <w:rPr>
          <w:sz w:val="24"/>
          <w:lang w:val="en-GB" w:eastAsia="zh-CN"/>
        </w:rPr>
        <w:t>Athens</w:t>
      </w:r>
      <w:r w:rsidRPr="00EE6198">
        <w:rPr>
          <w:sz w:val="24"/>
          <w:lang w:val="en-GB" w:eastAsia="zh-CN"/>
        </w:rPr>
        <w:t>,</w:t>
      </w:r>
      <w:r>
        <w:rPr>
          <w:sz w:val="24"/>
          <w:lang w:val="en-GB" w:eastAsia="zh-CN"/>
        </w:rPr>
        <w:t xml:space="preserve"> Greece,</w:t>
      </w:r>
      <w:r w:rsidRPr="00EE6198">
        <w:rPr>
          <w:sz w:val="24"/>
          <w:lang w:val="en-GB" w:eastAsia="zh-CN"/>
        </w:rPr>
        <w:t xml:space="preserve"> </w:t>
      </w:r>
      <w:r>
        <w:rPr>
          <w:sz w:val="24"/>
          <w:lang w:val="en-GB" w:eastAsia="zh-CN"/>
        </w:rPr>
        <w:t>26</w:t>
      </w:r>
      <w:r w:rsidRPr="00504FD0">
        <w:rPr>
          <w:sz w:val="24"/>
          <w:lang w:val="en-GB" w:eastAsia="zh-CN"/>
        </w:rPr>
        <w:t>th</w:t>
      </w:r>
      <w:r>
        <w:rPr>
          <w:sz w:val="24"/>
          <w:lang w:val="en-GB" w:eastAsia="zh-CN"/>
        </w:rPr>
        <w:t xml:space="preserve"> February  – 2nd</w:t>
      </w:r>
      <w:r w:rsidRPr="00EE6198">
        <w:rPr>
          <w:sz w:val="24"/>
          <w:lang w:val="en-GB" w:eastAsia="zh-CN"/>
        </w:rPr>
        <w:t xml:space="preserve"> </w:t>
      </w:r>
      <w:r>
        <w:rPr>
          <w:sz w:val="24"/>
          <w:lang w:val="en-GB" w:eastAsia="zh-CN"/>
        </w:rPr>
        <w:t>March</w:t>
      </w:r>
      <w:r w:rsidRPr="00EE6198">
        <w:rPr>
          <w:sz w:val="24"/>
          <w:lang w:val="en-GB" w:eastAsia="zh-CN"/>
        </w:rPr>
        <w:t xml:space="preserve"> 2018</w:t>
      </w:r>
      <w:r>
        <w:rPr>
          <w:sz w:val="24"/>
          <w:lang w:val="en-GB" w:eastAsia="zh-CN"/>
        </w:rPr>
        <w:tab/>
      </w:r>
    </w:p>
    <w:p w14:paraId="50A28E94" w14:textId="77777777" w:rsidR="007D05E3" w:rsidRPr="009D56B1" w:rsidRDefault="007D05E3" w:rsidP="007D05E3">
      <w:pPr>
        <w:pStyle w:val="Header"/>
        <w:rPr>
          <w:bCs/>
          <w:noProof w:val="0"/>
          <w:sz w:val="24"/>
          <w:lang w:eastAsia="ja-JP"/>
        </w:rPr>
      </w:pPr>
    </w:p>
    <w:p w14:paraId="50A28E95" w14:textId="185FFFA2"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3B65C3">
        <w:rPr>
          <w:rFonts w:eastAsia="SimSun" w:cs="Arial"/>
          <w:b/>
          <w:bCs/>
          <w:sz w:val="24"/>
          <w:lang w:val="en-US"/>
        </w:rPr>
        <w:t>9.10.2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1A8555B"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392C01">
        <w:rPr>
          <w:rFonts w:ascii="Arial" w:hAnsi="Arial" w:cs="Arial"/>
          <w:b/>
          <w:bCs/>
          <w:sz w:val="24"/>
        </w:rPr>
        <w:t>On overall reliability framework for Rel-15 eV2X</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1985FCA2" w14:textId="606A18DB" w:rsidR="00291DB2" w:rsidRPr="000760CC" w:rsidRDefault="00392C01"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the last RAN2 meeting, an LS was sent to SA2 to inquire about the possibility of the AS layer to obtain reliability information for V2X packets and ask for their feedback</w:t>
      </w:r>
      <w:r w:rsidR="00F307EC">
        <w:rPr>
          <w:rFonts w:ascii="Times New Roman" w:hAnsi="Times New Roman"/>
          <w:sz w:val="20"/>
          <w:szCs w:val="20"/>
          <w:lang w:eastAsia="ja-JP"/>
        </w:rPr>
        <w:t xml:space="preserve"> </w:t>
      </w:r>
      <w:sdt>
        <w:sdtPr>
          <w:rPr>
            <w:rFonts w:ascii="Times New Roman" w:hAnsi="Times New Roman"/>
            <w:sz w:val="20"/>
            <w:szCs w:val="20"/>
            <w:lang w:eastAsia="ja-JP"/>
          </w:rPr>
          <w:id w:val="-289289451"/>
          <w:citation/>
        </w:sdtPr>
        <w:sdtEndPr/>
        <w:sdtContent>
          <w:r w:rsidR="00F307EC">
            <w:rPr>
              <w:rFonts w:ascii="Times New Roman" w:hAnsi="Times New Roman"/>
              <w:sz w:val="20"/>
              <w:szCs w:val="20"/>
              <w:lang w:eastAsia="ja-JP"/>
            </w:rPr>
            <w:fldChar w:fldCharType="begin"/>
          </w:r>
          <w:r w:rsidR="00F307EC">
            <w:rPr>
              <w:rFonts w:ascii="Times New Roman" w:hAnsi="Times New Roman"/>
              <w:sz w:val="20"/>
              <w:szCs w:val="20"/>
              <w:lang w:eastAsia="ja-JP"/>
            </w:rPr>
            <w:instrText xml:space="preserve"> CITATION RAN2LS \l 1033 </w:instrText>
          </w:r>
          <w:r w:rsidR="00F307EC">
            <w:rPr>
              <w:rFonts w:ascii="Times New Roman" w:hAnsi="Times New Roman"/>
              <w:sz w:val="20"/>
              <w:szCs w:val="20"/>
              <w:lang w:eastAsia="ja-JP"/>
            </w:rPr>
            <w:fldChar w:fldCharType="separate"/>
          </w:r>
          <w:r w:rsidR="003716F9" w:rsidRPr="003716F9">
            <w:rPr>
              <w:rFonts w:ascii="Times New Roman" w:hAnsi="Times New Roman"/>
              <w:noProof/>
              <w:sz w:val="20"/>
              <w:szCs w:val="20"/>
              <w:lang w:eastAsia="ja-JP"/>
            </w:rPr>
            <w:t>[1]</w:t>
          </w:r>
          <w:r w:rsidR="00F307EC">
            <w:rPr>
              <w:rFonts w:ascii="Times New Roman" w:hAnsi="Times New Roman"/>
              <w:sz w:val="20"/>
              <w:szCs w:val="20"/>
              <w:lang w:eastAsia="ja-JP"/>
            </w:rPr>
            <w:fldChar w:fldCharType="end"/>
          </w:r>
        </w:sdtContent>
      </w:sdt>
      <w:r w:rsidR="00291DB2">
        <w:rPr>
          <w:rFonts w:ascii="Times New Roman" w:hAnsi="Times New Roman"/>
          <w:sz w:val="20"/>
          <w:szCs w:val="20"/>
          <w:lang w:eastAsia="ja-JP"/>
        </w:rPr>
        <w:t>.</w:t>
      </w:r>
      <w:r>
        <w:rPr>
          <w:rFonts w:ascii="Times New Roman" w:hAnsi="Times New Roman"/>
          <w:sz w:val="20"/>
          <w:szCs w:val="20"/>
          <w:lang w:eastAsia="ja-JP"/>
        </w:rPr>
        <w:t xml:space="preserve"> In response, SA2 sent a response LS which defines a new metric called </w:t>
      </w:r>
      <w:r w:rsidRPr="00392C01">
        <w:rPr>
          <w:rFonts w:ascii="Times New Roman" w:hAnsi="Times New Roman"/>
          <w:sz w:val="20"/>
          <w:szCs w:val="20"/>
          <w:lang w:eastAsia="ja-JP"/>
        </w:rPr>
        <w:t>ProSe Per-Packet Reliability (PPPR)</w:t>
      </w:r>
      <w:r>
        <w:rPr>
          <w:rFonts w:ascii="Times New Roman" w:hAnsi="Times New Roman"/>
          <w:sz w:val="20"/>
          <w:szCs w:val="20"/>
          <w:lang w:eastAsia="ja-JP"/>
        </w:rPr>
        <w:t xml:space="preserve"> to reflect the reliability requir</w:t>
      </w:r>
      <w:r w:rsidR="00F307EC">
        <w:rPr>
          <w:rFonts w:ascii="Times New Roman" w:hAnsi="Times New Roman"/>
          <w:sz w:val="20"/>
          <w:szCs w:val="20"/>
          <w:lang w:eastAsia="ja-JP"/>
        </w:rPr>
        <w:t xml:space="preserve">ement </w:t>
      </w:r>
      <w:sdt>
        <w:sdtPr>
          <w:rPr>
            <w:rFonts w:ascii="Times New Roman" w:hAnsi="Times New Roman"/>
            <w:sz w:val="20"/>
            <w:szCs w:val="20"/>
            <w:lang w:eastAsia="ja-JP"/>
          </w:rPr>
          <w:id w:val="-949779576"/>
          <w:citation/>
        </w:sdtPr>
        <w:sdtEndPr/>
        <w:sdtContent>
          <w:r w:rsidR="00F307EC">
            <w:rPr>
              <w:rFonts w:ascii="Times New Roman" w:hAnsi="Times New Roman"/>
              <w:sz w:val="20"/>
              <w:szCs w:val="20"/>
              <w:lang w:eastAsia="ja-JP"/>
            </w:rPr>
            <w:fldChar w:fldCharType="begin"/>
          </w:r>
          <w:r w:rsidR="00F307EC">
            <w:rPr>
              <w:rFonts w:ascii="Times New Roman" w:hAnsi="Times New Roman"/>
              <w:sz w:val="20"/>
              <w:szCs w:val="20"/>
              <w:lang w:eastAsia="ja-JP"/>
            </w:rPr>
            <w:instrText xml:space="preserve"> CITATION SA2LS \l 1033 </w:instrText>
          </w:r>
          <w:r w:rsidR="00F307EC">
            <w:rPr>
              <w:rFonts w:ascii="Times New Roman" w:hAnsi="Times New Roman"/>
              <w:sz w:val="20"/>
              <w:szCs w:val="20"/>
              <w:lang w:eastAsia="ja-JP"/>
            </w:rPr>
            <w:fldChar w:fldCharType="separate"/>
          </w:r>
          <w:r w:rsidR="003716F9" w:rsidRPr="003716F9">
            <w:rPr>
              <w:rFonts w:ascii="Times New Roman" w:hAnsi="Times New Roman"/>
              <w:noProof/>
              <w:sz w:val="20"/>
              <w:szCs w:val="20"/>
              <w:lang w:eastAsia="ja-JP"/>
            </w:rPr>
            <w:t>[2]</w:t>
          </w:r>
          <w:r w:rsidR="00F307EC">
            <w:rPr>
              <w:rFonts w:ascii="Times New Roman" w:hAnsi="Times New Roman"/>
              <w:sz w:val="20"/>
              <w:szCs w:val="20"/>
              <w:lang w:eastAsia="ja-JP"/>
            </w:rPr>
            <w:fldChar w:fldCharType="end"/>
          </w:r>
        </w:sdtContent>
      </w:sdt>
      <w:r>
        <w:rPr>
          <w:rFonts w:ascii="Times New Roman" w:hAnsi="Times New Roman"/>
          <w:sz w:val="20"/>
          <w:szCs w:val="20"/>
          <w:lang w:eastAsia="ja-JP"/>
        </w:rPr>
        <w:t>. Additionally, SA2 requested RAN2’s feedback on specific issues related to the newly defined metric. In this contribution, we discuss these issues to complete the overall design to support reliability handling.</w:t>
      </w:r>
    </w:p>
    <w:p w14:paraId="4845AFDA" w14:textId="2314460B" w:rsidR="00F75925" w:rsidRPr="00F75925" w:rsidRDefault="000760CC" w:rsidP="00F75925">
      <w:pPr>
        <w:pStyle w:val="Tdoc"/>
      </w:pPr>
      <w:r>
        <w:t>Discussion</w:t>
      </w:r>
    </w:p>
    <w:p w14:paraId="247945BA" w14:textId="42749218" w:rsidR="00230F8F" w:rsidRPr="00F9599A" w:rsidRDefault="00230F8F" w:rsidP="00230F8F">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Defining PPPR</w:t>
      </w:r>
    </w:p>
    <w:p w14:paraId="42A96F8D" w14:textId="24DA9280" w:rsidR="00230F8F" w:rsidRDefault="00230F8F" w:rsidP="00230F8F">
      <w:pPr>
        <w:rPr>
          <w:rFonts w:ascii="Times New Roman" w:hAnsi="Times New Roman"/>
          <w:sz w:val="20"/>
        </w:rPr>
      </w:pPr>
      <w:r w:rsidRPr="00230F8F">
        <w:rPr>
          <w:rFonts w:ascii="Times New Roman" w:hAnsi="Times New Roman"/>
          <w:sz w:val="20"/>
        </w:rPr>
        <w:t>In order to answer the questions raised by SA2, it would be useful to first clarify the exact definition of the PPPR is. In our view, there could be three ways it can be interpreted:</w:t>
      </w:r>
    </w:p>
    <w:p w14:paraId="7032FC02" w14:textId="4B23C30A" w:rsidR="00230F8F" w:rsidRPr="00735F9E" w:rsidRDefault="00230F8F" w:rsidP="007F1D21">
      <w:pPr>
        <w:pStyle w:val="ListParagraph"/>
        <w:numPr>
          <w:ilvl w:val="0"/>
          <w:numId w:val="18"/>
        </w:numPr>
        <w:rPr>
          <w:rFonts w:ascii="Times New Roman" w:hAnsi="Times New Roman"/>
          <w:sz w:val="20"/>
        </w:rPr>
      </w:pPr>
      <w:r w:rsidRPr="00735F9E">
        <w:rPr>
          <w:rFonts w:ascii="Times New Roman" w:hAnsi="Times New Roman"/>
          <w:sz w:val="20"/>
        </w:rPr>
        <w:t xml:space="preserve">Similar to </w:t>
      </w:r>
      <w:r w:rsidR="007F1D21" w:rsidRPr="00735F9E">
        <w:rPr>
          <w:rFonts w:ascii="Times New Roman" w:hAnsi="Times New Roman"/>
          <w:sz w:val="20"/>
        </w:rPr>
        <w:t>PPPP, i.e. a low PPPR value indicates a high value of reliability associated to the packet and vice versa</w:t>
      </w:r>
    </w:p>
    <w:p w14:paraId="35FE44A1" w14:textId="38D1640F" w:rsidR="007F1D21" w:rsidRPr="00735F9E" w:rsidRDefault="007F1D21" w:rsidP="007F1D21">
      <w:pPr>
        <w:pStyle w:val="ListParagraph"/>
        <w:numPr>
          <w:ilvl w:val="0"/>
          <w:numId w:val="18"/>
        </w:numPr>
        <w:rPr>
          <w:rFonts w:ascii="Times New Roman" w:hAnsi="Times New Roman"/>
          <w:sz w:val="20"/>
        </w:rPr>
      </w:pPr>
      <w:r w:rsidRPr="00735F9E">
        <w:rPr>
          <w:rFonts w:ascii="Times New Roman" w:hAnsi="Times New Roman"/>
          <w:sz w:val="20"/>
        </w:rPr>
        <w:t>The value of PPPR indicates the number of carriers that can be simultaneously used for duplicated transmission for this packet</w:t>
      </w:r>
    </w:p>
    <w:p w14:paraId="39BED854" w14:textId="14D9E6F3" w:rsidR="007F1D21" w:rsidRPr="00735F9E" w:rsidRDefault="00EB1319" w:rsidP="007F1D21">
      <w:pPr>
        <w:pStyle w:val="ListParagraph"/>
        <w:numPr>
          <w:ilvl w:val="0"/>
          <w:numId w:val="18"/>
        </w:numPr>
        <w:rPr>
          <w:rFonts w:ascii="Times New Roman" w:hAnsi="Times New Roman"/>
          <w:sz w:val="20"/>
        </w:rPr>
      </w:pPr>
      <w:r w:rsidRPr="00735F9E">
        <w:rPr>
          <w:rFonts w:ascii="Times New Roman" w:hAnsi="Times New Roman"/>
          <w:sz w:val="20"/>
        </w:rPr>
        <w:t>Any other interpretation, e.g. dependent on PPPP</w:t>
      </w:r>
    </w:p>
    <w:p w14:paraId="53F86BDD" w14:textId="12CA0336" w:rsidR="007F1D21" w:rsidRDefault="00EB1319" w:rsidP="00230F8F">
      <w:pPr>
        <w:rPr>
          <w:rFonts w:ascii="Times New Roman" w:hAnsi="Times New Roman"/>
          <w:sz w:val="20"/>
        </w:rPr>
      </w:pPr>
      <w:r>
        <w:rPr>
          <w:rFonts w:ascii="Times New Roman" w:hAnsi="Times New Roman"/>
          <w:sz w:val="20"/>
        </w:rPr>
        <w:t>From the way it has been defined by SA2, it seems that PPPR is indeed defined quite similar to PPPP, with the value indicating the priority for the V2X packet as it is passed to the lower layers</w:t>
      </w:r>
      <w:r w:rsidR="004500D1">
        <w:rPr>
          <w:rFonts w:ascii="Times New Roman" w:hAnsi="Times New Roman"/>
          <w:sz w:val="20"/>
        </w:rPr>
        <w:t>, i.e. option 1 above</w:t>
      </w:r>
      <w:r>
        <w:rPr>
          <w:rFonts w:ascii="Times New Roman" w:hAnsi="Times New Roman"/>
          <w:sz w:val="20"/>
        </w:rPr>
        <w:t xml:space="preserve">. So, it would be </w:t>
      </w:r>
      <w:r w:rsidR="00CE1A7A">
        <w:rPr>
          <w:rFonts w:ascii="Times New Roman" w:hAnsi="Times New Roman"/>
          <w:sz w:val="20"/>
        </w:rPr>
        <w:t>prudent</w:t>
      </w:r>
      <w:r>
        <w:rPr>
          <w:rFonts w:ascii="Times New Roman" w:hAnsi="Times New Roman"/>
          <w:sz w:val="20"/>
        </w:rPr>
        <w:t xml:space="preserve"> to confirm in RAN2 what the common understanding is regarding the exact definition of PPPR.</w:t>
      </w:r>
    </w:p>
    <w:p w14:paraId="140457C5" w14:textId="6BEC31F8" w:rsidR="00EB1319" w:rsidRPr="00CE1A7A" w:rsidRDefault="00EB1319" w:rsidP="00CE1A7A">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1</w:t>
      </w:r>
      <w:r w:rsidRPr="000760CC">
        <w:rPr>
          <w:rFonts w:ascii="Times New Roman" w:eastAsia="Times New Roman" w:hAnsi="Times New Roman"/>
          <w:b/>
          <w:bCs/>
          <w:sz w:val="20"/>
          <w:szCs w:val="20"/>
          <w:u w:val="single"/>
          <w:lang w:val="en-GB" w:eastAsia="zh-CN"/>
        </w:rPr>
        <w:t>:</w:t>
      </w:r>
      <w:r w:rsidRPr="000760C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R</w:t>
      </w:r>
      <w:r w:rsidR="009F74B6">
        <w:rPr>
          <w:rFonts w:ascii="Times New Roman" w:eastAsia="Times New Roman" w:hAnsi="Times New Roman"/>
          <w:bCs/>
          <w:i/>
          <w:sz w:val="20"/>
          <w:szCs w:val="20"/>
          <w:lang w:eastAsia="zh-CN"/>
        </w:rPr>
        <w:t>AN2 should confirm that</w:t>
      </w:r>
      <w:r>
        <w:rPr>
          <w:rFonts w:ascii="Times New Roman" w:eastAsia="Times New Roman" w:hAnsi="Times New Roman"/>
          <w:bCs/>
          <w:i/>
          <w:sz w:val="20"/>
          <w:szCs w:val="20"/>
          <w:lang w:eastAsia="zh-CN"/>
        </w:rPr>
        <w:t xml:space="preserve"> PPPR value reflects the reliability requirement associated with </w:t>
      </w:r>
      <w:r w:rsidR="009D1B29">
        <w:rPr>
          <w:rFonts w:ascii="Times New Roman" w:eastAsia="Times New Roman" w:hAnsi="Times New Roman"/>
          <w:bCs/>
          <w:i/>
          <w:sz w:val="20"/>
          <w:szCs w:val="20"/>
          <w:lang w:eastAsia="zh-CN"/>
        </w:rPr>
        <w:t>a</w:t>
      </w:r>
      <w:r>
        <w:rPr>
          <w:rFonts w:ascii="Times New Roman" w:eastAsia="Times New Roman" w:hAnsi="Times New Roman"/>
          <w:bCs/>
          <w:i/>
          <w:sz w:val="20"/>
          <w:szCs w:val="20"/>
          <w:lang w:eastAsia="zh-CN"/>
        </w:rPr>
        <w:t xml:space="preserve"> V2X packet (similar to how PPPP indicates the priority requirement).</w:t>
      </w:r>
    </w:p>
    <w:p w14:paraId="4933E07E" w14:textId="6563A484" w:rsidR="00F75925" w:rsidRPr="00F9599A" w:rsidRDefault="00F75925" w:rsidP="00F75925">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Mode 3 Operation</w:t>
      </w:r>
    </w:p>
    <w:p w14:paraId="519D3B1A" w14:textId="77777777" w:rsidR="00A5480B" w:rsidRPr="009A00C0" w:rsidRDefault="00A5480B" w:rsidP="001C25B2">
      <w:pPr>
        <w:spacing w:before="240"/>
        <w:rPr>
          <w:rFonts w:ascii="Arial" w:hAnsi="Arial" w:cs="Arial"/>
          <w:sz w:val="20"/>
        </w:rPr>
      </w:pPr>
      <w:r w:rsidRPr="009A00C0">
        <w:rPr>
          <w:rFonts w:ascii="Arial" w:hAnsi="Arial" w:cs="Arial"/>
          <w:sz w:val="20"/>
        </w:rPr>
        <w:t>Q1) For Mode 3 operation (i.e. Scheduled resource allocation mode), does the eNB need to be made aware of the PPPR information? If yes, has RAN2 decided on the mechanism to achieve that?</w:t>
      </w:r>
    </w:p>
    <w:p w14:paraId="66382D85" w14:textId="10CBA0B8" w:rsidR="00F75925" w:rsidRDefault="00F75925" w:rsidP="00F75925">
      <w:pPr>
        <w:spacing w:before="240"/>
        <w:rPr>
          <w:rFonts w:ascii="Times New Roman" w:hAnsi="Times New Roman"/>
          <w:sz w:val="20"/>
        </w:rPr>
      </w:pPr>
      <w:r>
        <w:rPr>
          <w:rFonts w:ascii="Times New Roman" w:hAnsi="Times New Roman"/>
          <w:sz w:val="20"/>
        </w:rPr>
        <w:t>SA2 has inquired if in the context of the newly defined PPPR metric, the eNB needs to be mad</w:t>
      </w:r>
      <w:r w:rsidR="00A5480B">
        <w:rPr>
          <w:rFonts w:ascii="Times New Roman" w:hAnsi="Times New Roman"/>
          <w:sz w:val="20"/>
        </w:rPr>
        <w:t>e aware of the PPPR information?</w:t>
      </w:r>
      <w:r>
        <w:rPr>
          <w:rFonts w:ascii="Times New Roman" w:hAnsi="Times New Roman"/>
          <w:sz w:val="20"/>
        </w:rPr>
        <w:t xml:space="preserve"> </w:t>
      </w:r>
      <w:r w:rsidR="00CE0279">
        <w:rPr>
          <w:rFonts w:ascii="Times New Roman" w:hAnsi="Times New Roman"/>
          <w:sz w:val="20"/>
        </w:rPr>
        <w:t xml:space="preserve">In order to consider this in RAN2, we first need to consider that the usage of the PPPR metric and its potential indication to the eNB is applicable only when packet duplication (in the context of use case 2) is active. There was some discussion in last RAN2 meeting on the activation of duplication for mode 3 and mode 4 UEs and the following agreement was made regarding mode 4 UEs </w:t>
      </w:r>
      <w:sdt>
        <w:sdtPr>
          <w:rPr>
            <w:rFonts w:ascii="Times New Roman" w:hAnsi="Times New Roman"/>
            <w:sz w:val="20"/>
          </w:rPr>
          <w:id w:val="-1304313807"/>
          <w:citation/>
        </w:sdtPr>
        <w:sdtEndPr/>
        <w:sdtContent>
          <w:r w:rsidR="00F307EC">
            <w:rPr>
              <w:rFonts w:ascii="Times New Roman" w:hAnsi="Times New Roman"/>
              <w:sz w:val="20"/>
            </w:rPr>
            <w:fldChar w:fldCharType="begin"/>
          </w:r>
          <w:r w:rsidR="00F307EC">
            <w:rPr>
              <w:rFonts w:ascii="Times New Roman" w:hAnsi="Times New Roman"/>
              <w:sz w:val="20"/>
            </w:rPr>
            <w:instrText xml:space="preserve"> CITATION RAN21003 \l 1033 </w:instrText>
          </w:r>
          <w:r w:rsidR="00F307EC">
            <w:rPr>
              <w:rFonts w:ascii="Times New Roman" w:hAnsi="Times New Roman"/>
              <w:sz w:val="20"/>
            </w:rPr>
            <w:fldChar w:fldCharType="separate"/>
          </w:r>
          <w:r w:rsidR="003716F9" w:rsidRPr="003716F9">
            <w:rPr>
              <w:rFonts w:ascii="Times New Roman" w:hAnsi="Times New Roman"/>
              <w:noProof/>
              <w:sz w:val="20"/>
            </w:rPr>
            <w:t>[3]</w:t>
          </w:r>
          <w:r w:rsidR="00F307EC">
            <w:rPr>
              <w:rFonts w:ascii="Times New Roman" w:hAnsi="Times New Roman"/>
              <w:sz w:val="20"/>
            </w:rPr>
            <w:fldChar w:fldCharType="end"/>
          </w:r>
        </w:sdtContent>
      </w:sdt>
      <w:r w:rsidR="00CE0279">
        <w:rPr>
          <w:rFonts w:ascii="Times New Roman" w:hAnsi="Times New Roman"/>
          <w:sz w:val="20"/>
        </w:rPr>
        <w:t>:</w:t>
      </w:r>
    </w:p>
    <w:p w14:paraId="0DFA4E60" w14:textId="77777777" w:rsidR="00CE0279" w:rsidRPr="00E952D2" w:rsidRDefault="00CE0279" w:rsidP="00CE78AF">
      <w:pPr>
        <w:pStyle w:val="Doc-text2"/>
        <w:pBdr>
          <w:top w:val="single" w:sz="4" w:space="1" w:color="auto"/>
          <w:left w:val="single" w:sz="4" w:space="4" w:color="auto"/>
          <w:bottom w:val="single" w:sz="4" w:space="1" w:color="auto"/>
          <w:right w:val="single" w:sz="4" w:space="4" w:color="auto"/>
        </w:pBdr>
        <w:ind w:left="1083"/>
        <w:rPr>
          <w:b/>
        </w:rPr>
      </w:pPr>
      <w:r w:rsidRPr="00E952D2">
        <w:rPr>
          <w:b/>
        </w:rPr>
        <w:t>Agreements:</w:t>
      </w:r>
    </w:p>
    <w:p w14:paraId="569D630F" w14:textId="77777777" w:rsidR="00CE0279" w:rsidRDefault="00CE0279" w:rsidP="00CE78AF">
      <w:pPr>
        <w:pStyle w:val="Doc-text2"/>
        <w:numPr>
          <w:ilvl w:val="0"/>
          <w:numId w:val="16"/>
        </w:numPr>
        <w:pBdr>
          <w:top w:val="single" w:sz="4" w:space="1" w:color="auto"/>
          <w:left w:val="single" w:sz="4" w:space="4" w:color="auto"/>
          <w:bottom w:val="single" w:sz="4" w:space="1" w:color="auto"/>
          <w:right w:val="single" w:sz="4" w:space="4" w:color="auto"/>
        </w:pBdr>
        <w:ind w:left="1080"/>
      </w:pPr>
      <w:r>
        <w:rPr>
          <w:noProof/>
          <w:szCs w:val="20"/>
        </w:rPr>
        <w:t xml:space="preserve">For mode4 (connected and idle), </w:t>
      </w:r>
      <w:r w:rsidRPr="00AC6620">
        <w:rPr>
          <w:noProof/>
          <w:szCs w:val="20"/>
        </w:rPr>
        <w:t>UE</w:t>
      </w:r>
      <w:r>
        <w:rPr>
          <w:noProof/>
          <w:szCs w:val="20"/>
        </w:rPr>
        <w:t xml:space="preserve"> autonomous activation of duplication transmission on multiple carriers is allowed based on (pre)configuration. FFS on UE request to NW for duplication transmission.</w:t>
      </w:r>
    </w:p>
    <w:p w14:paraId="3D3D8287" w14:textId="7F07A89F" w:rsidR="00D71B7E" w:rsidRDefault="00CE0279" w:rsidP="00F75925">
      <w:pPr>
        <w:spacing w:before="240"/>
        <w:rPr>
          <w:rFonts w:ascii="Times New Roman" w:hAnsi="Times New Roman"/>
          <w:sz w:val="20"/>
        </w:rPr>
      </w:pPr>
      <w:r>
        <w:rPr>
          <w:rFonts w:ascii="Times New Roman" w:hAnsi="Times New Roman"/>
          <w:sz w:val="20"/>
        </w:rPr>
        <w:t xml:space="preserve">However, there was no agreement on how the activation is performed for mode 3 UEs. We discuss the issue of activation/deactivation of duplication activation for mode 3 and 4 UEs </w:t>
      </w:r>
      <w:r w:rsidR="00F96012">
        <w:rPr>
          <w:rFonts w:ascii="Times New Roman" w:hAnsi="Times New Roman"/>
          <w:sz w:val="20"/>
        </w:rPr>
        <w:t xml:space="preserve">in our companion contribution </w:t>
      </w:r>
      <w:sdt>
        <w:sdtPr>
          <w:rPr>
            <w:rFonts w:ascii="Times New Roman" w:hAnsi="Times New Roman"/>
            <w:sz w:val="20"/>
          </w:rPr>
          <w:id w:val="-175502010"/>
          <w:citation/>
        </w:sdtPr>
        <w:sdtEndPr/>
        <w:sdtContent>
          <w:r w:rsidR="00F96012">
            <w:rPr>
              <w:rFonts w:ascii="Times New Roman" w:hAnsi="Times New Roman"/>
              <w:sz w:val="20"/>
            </w:rPr>
            <w:fldChar w:fldCharType="begin"/>
          </w:r>
          <w:r w:rsidR="00F96012">
            <w:rPr>
              <w:rFonts w:ascii="Times New Roman" w:hAnsi="Times New Roman"/>
              <w:sz w:val="20"/>
            </w:rPr>
            <w:instrText xml:space="preserve"> CITATION PacketDuplicationIntel \l 1033 </w:instrText>
          </w:r>
          <w:r w:rsidR="00F96012">
            <w:rPr>
              <w:rFonts w:ascii="Times New Roman" w:hAnsi="Times New Roman"/>
              <w:sz w:val="20"/>
            </w:rPr>
            <w:fldChar w:fldCharType="separate"/>
          </w:r>
          <w:r w:rsidR="003716F9" w:rsidRPr="003716F9">
            <w:rPr>
              <w:rFonts w:ascii="Times New Roman" w:hAnsi="Times New Roman"/>
              <w:noProof/>
              <w:sz w:val="20"/>
            </w:rPr>
            <w:t>[4]</w:t>
          </w:r>
          <w:r w:rsidR="00F96012">
            <w:rPr>
              <w:rFonts w:ascii="Times New Roman" w:hAnsi="Times New Roman"/>
              <w:sz w:val="20"/>
            </w:rPr>
            <w:fldChar w:fldCharType="end"/>
          </w:r>
        </w:sdtContent>
      </w:sdt>
      <w:r>
        <w:rPr>
          <w:rFonts w:ascii="Times New Roman" w:hAnsi="Times New Roman"/>
          <w:sz w:val="20"/>
        </w:rPr>
        <w:t xml:space="preserve">. Nevertheless, </w:t>
      </w:r>
      <w:r w:rsidR="00270512">
        <w:rPr>
          <w:rFonts w:ascii="Times New Roman" w:hAnsi="Times New Roman"/>
          <w:sz w:val="20"/>
        </w:rPr>
        <w:t>at least for mode 3 UEs in Connected mode</w:t>
      </w:r>
      <w:r>
        <w:rPr>
          <w:rFonts w:ascii="Times New Roman" w:hAnsi="Times New Roman"/>
          <w:sz w:val="20"/>
        </w:rPr>
        <w:t>,</w:t>
      </w:r>
      <w:r w:rsidR="00270512">
        <w:rPr>
          <w:rFonts w:ascii="Times New Roman" w:hAnsi="Times New Roman"/>
          <w:sz w:val="20"/>
        </w:rPr>
        <w:t xml:space="preserve"> we assume some </w:t>
      </w:r>
      <w:r w:rsidR="00A5480B">
        <w:rPr>
          <w:rFonts w:ascii="Times New Roman" w:hAnsi="Times New Roman"/>
          <w:sz w:val="20"/>
        </w:rPr>
        <w:t xml:space="preserve">that </w:t>
      </w:r>
      <w:r w:rsidR="00270512">
        <w:rPr>
          <w:rFonts w:ascii="Times New Roman" w:hAnsi="Times New Roman"/>
          <w:sz w:val="20"/>
        </w:rPr>
        <w:t xml:space="preserve">signaling mechanism (RRC or MAC CE based) for </w:t>
      </w:r>
      <w:r w:rsidR="00270512">
        <w:rPr>
          <w:rFonts w:ascii="Times New Roman" w:hAnsi="Times New Roman"/>
          <w:sz w:val="20"/>
        </w:rPr>
        <w:lastRenderedPageBreak/>
        <w:t xml:space="preserve">activation/deactivation of duplication can be </w:t>
      </w:r>
      <w:r w:rsidR="00A5480B">
        <w:rPr>
          <w:rFonts w:ascii="Times New Roman" w:hAnsi="Times New Roman"/>
          <w:sz w:val="20"/>
        </w:rPr>
        <w:t xml:space="preserve">supported if </w:t>
      </w:r>
      <w:r w:rsidR="00A5480B" w:rsidRPr="00A5480B">
        <w:rPr>
          <w:rFonts w:ascii="Times New Roman" w:hAnsi="Times New Roman"/>
          <w:sz w:val="20"/>
        </w:rPr>
        <w:t>that eNB controls and configures the activation of duplication</w:t>
      </w:r>
      <w:r w:rsidR="00270512">
        <w:rPr>
          <w:rFonts w:ascii="Times New Roman" w:hAnsi="Times New Roman"/>
          <w:sz w:val="20"/>
        </w:rPr>
        <w:t>. Assuming that is the case, the</w:t>
      </w:r>
      <w:r>
        <w:rPr>
          <w:rFonts w:ascii="Times New Roman" w:hAnsi="Times New Roman"/>
          <w:sz w:val="20"/>
        </w:rPr>
        <w:t xml:space="preserve"> </w:t>
      </w:r>
      <w:r w:rsidR="00A5480B">
        <w:rPr>
          <w:rFonts w:ascii="Times New Roman" w:hAnsi="Times New Roman"/>
          <w:sz w:val="20"/>
        </w:rPr>
        <w:t xml:space="preserve">PPPR value can be included in such indication (either implicitly or explicitly) to aid the eNB in scheduling the resources. For instance, if the activation request by the mode 3 UE indicates that it needs to send/receive high priority packets, the eNB can appropriately avoid scheduling resources which are potentially shared with mode 4 UEs (as in the </w:t>
      </w:r>
      <w:r w:rsidR="00F96012">
        <w:rPr>
          <w:rFonts w:ascii="Times New Roman" w:hAnsi="Times New Roman"/>
          <w:sz w:val="20"/>
        </w:rPr>
        <w:t>email</w:t>
      </w:r>
      <w:r w:rsidR="00A5480B">
        <w:rPr>
          <w:rFonts w:ascii="Times New Roman" w:hAnsi="Times New Roman"/>
          <w:sz w:val="20"/>
        </w:rPr>
        <w:t xml:space="preserve"> discussion on sharing resource pools between mode 3 and mode 4 UEs</w:t>
      </w:r>
      <w:r w:rsidR="00D71B7E">
        <w:rPr>
          <w:rFonts w:ascii="Times New Roman" w:hAnsi="Times New Roman"/>
          <w:sz w:val="20"/>
        </w:rPr>
        <w:t xml:space="preserve"> </w:t>
      </w:r>
      <w:sdt>
        <w:sdtPr>
          <w:rPr>
            <w:rFonts w:ascii="Times New Roman" w:hAnsi="Times New Roman"/>
            <w:sz w:val="20"/>
          </w:rPr>
          <w:id w:val="694432949"/>
          <w:citation/>
        </w:sdtPr>
        <w:sdtEndPr/>
        <w:sdtContent>
          <w:r w:rsidR="00F307EC">
            <w:rPr>
              <w:rFonts w:ascii="Times New Roman" w:hAnsi="Times New Roman"/>
              <w:sz w:val="20"/>
            </w:rPr>
            <w:fldChar w:fldCharType="begin"/>
          </w:r>
          <w:r w:rsidR="00BB652B">
            <w:rPr>
              <w:rFonts w:ascii="Times New Roman" w:hAnsi="Times New Roman"/>
              <w:sz w:val="20"/>
            </w:rPr>
            <w:instrText xml:space="preserve">CITATION ResourceSharingemail \l 1033 </w:instrText>
          </w:r>
          <w:r w:rsidR="00F307EC">
            <w:rPr>
              <w:rFonts w:ascii="Times New Roman" w:hAnsi="Times New Roman"/>
              <w:sz w:val="20"/>
            </w:rPr>
            <w:fldChar w:fldCharType="separate"/>
          </w:r>
          <w:r w:rsidR="003716F9" w:rsidRPr="003716F9">
            <w:rPr>
              <w:rFonts w:ascii="Times New Roman" w:hAnsi="Times New Roman"/>
              <w:noProof/>
              <w:sz w:val="20"/>
            </w:rPr>
            <w:t>[5]</w:t>
          </w:r>
          <w:r w:rsidR="00F307EC">
            <w:rPr>
              <w:rFonts w:ascii="Times New Roman" w:hAnsi="Times New Roman"/>
              <w:sz w:val="20"/>
            </w:rPr>
            <w:fldChar w:fldCharType="end"/>
          </w:r>
        </w:sdtContent>
      </w:sdt>
      <w:r w:rsidR="00A5480B">
        <w:rPr>
          <w:rFonts w:ascii="Times New Roman" w:hAnsi="Times New Roman"/>
          <w:sz w:val="20"/>
        </w:rPr>
        <w:t xml:space="preserve">). </w:t>
      </w:r>
      <w:r w:rsidR="00D71B7E">
        <w:rPr>
          <w:rFonts w:ascii="Times New Roman" w:hAnsi="Times New Roman"/>
          <w:sz w:val="20"/>
        </w:rPr>
        <w:t>So, it is proposed that RAN2 should further discuss this issue in the context of eNB controlled activation/deactivation of duplication for mode 3 UEs.</w:t>
      </w:r>
    </w:p>
    <w:p w14:paraId="1EDB885A" w14:textId="301BC28E" w:rsidR="00D71B7E" w:rsidRDefault="00295880" w:rsidP="002C6AE2">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2</w:t>
      </w:r>
      <w:r w:rsidR="00D71B7E" w:rsidRPr="000760CC">
        <w:rPr>
          <w:rFonts w:ascii="Times New Roman" w:eastAsia="Times New Roman" w:hAnsi="Times New Roman"/>
          <w:b/>
          <w:bCs/>
          <w:sz w:val="20"/>
          <w:szCs w:val="20"/>
          <w:u w:val="single"/>
          <w:lang w:val="en-GB" w:eastAsia="zh-CN"/>
        </w:rPr>
        <w:t>:</w:t>
      </w:r>
      <w:r w:rsidR="00D71B7E" w:rsidRPr="000760CC">
        <w:rPr>
          <w:rFonts w:ascii="Times New Roman" w:eastAsia="Times New Roman" w:hAnsi="Times New Roman"/>
          <w:b/>
          <w:bCs/>
          <w:sz w:val="20"/>
          <w:szCs w:val="20"/>
          <w:lang w:val="en-GB" w:eastAsia="zh-CN"/>
        </w:rPr>
        <w:tab/>
      </w:r>
      <w:r w:rsidR="00D71B7E">
        <w:rPr>
          <w:rFonts w:ascii="Times New Roman" w:eastAsia="Times New Roman" w:hAnsi="Times New Roman"/>
          <w:bCs/>
          <w:i/>
          <w:sz w:val="20"/>
          <w:szCs w:val="20"/>
          <w:lang w:eastAsia="zh-CN"/>
        </w:rPr>
        <w:t xml:space="preserve">If eNB controlled activation </w:t>
      </w:r>
      <w:r w:rsidR="002C6AE2">
        <w:rPr>
          <w:rFonts w:ascii="Times New Roman" w:eastAsia="Times New Roman" w:hAnsi="Times New Roman"/>
          <w:bCs/>
          <w:i/>
          <w:sz w:val="20"/>
          <w:szCs w:val="20"/>
          <w:lang w:eastAsia="zh-CN"/>
        </w:rPr>
        <w:t xml:space="preserve">of packet duplication </w:t>
      </w:r>
      <w:r w:rsidR="00D71B7E">
        <w:rPr>
          <w:rFonts w:ascii="Times New Roman" w:eastAsia="Times New Roman" w:hAnsi="Times New Roman"/>
          <w:bCs/>
          <w:i/>
          <w:sz w:val="20"/>
          <w:szCs w:val="20"/>
          <w:lang w:eastAsia="zh-CN"/>
        </w:rPr>
        <w:t>is supported</w:t>
      </w:r>
      <w:r w:rsidR="007E76A3">
        <w:rPr>
          <w:rFonts w:ascii="Times New Roman" w:eastAsia="Times New Roman" w:hAnsi="Times New Roman"/>
          <w:bCs/>
          <w:i/>
          <w:sz w:val="20"/>
          <w:szCs w:val="20"/>
          <w:lang w:eastAsia="zh-CN"/>
        </w:rPr>
        <w:t xml:space="preserve"> for mode 3 UEs</w:t>
      </w:r>
      <w:r w:rsidR="00D71B7E">
        <w:rPr>
          <w:rFonts w:ascii="Times New Roman" w:eastAsia="Times New Roman" w:hAnsi="Times New Roman"/>
          <w:bCs/>
          <w:i/>
          <w:sz w:val="20"/>
          <w:szCs w:val="20"/>
          <w:lang w:eastAsia="zh-CN"/>
        </w:rPr>
        <w:t>, PPPR information should be included in the signaling mechanism utilized for such activation/deactivation.</w:t>
      </w:r>
    </w:p>
    <w:p w14:paraId="1E36294F" w14:textId="52575507" w:rsidR="00D71B7E" w:rsidRPr="00F9599A" w:rsidRDefault="00D71B7E" w:rsidP="00D71B7E">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2.2</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Granularity of PPPR values</w:t>
      </w:r>
    </w:p>
    <w:p w14:paraId="2D32DE84" w14:textId="77777777" w:rsidR="00D71B7E" w:rsidRPr="009A00C0" w:rsidRDefault="00D71B7E" w:rsidP="001C25B2">
      <w:pPr>
        <w:spacing w:before="240"/>
        <w:rPr>
          <w:rFonts w:ascii="Arial" w:hAnsi="Arial" w:cs="Arial"/>
          <w:sz w:val="20"/>
        </w:rPr>
      </w:pPr>
      <w:r w:rsidRPr="009A00C0">
        <w:rPr>
          <w:rFonts w:ascii="Arial" w:hAnsi="Arial" w:cs="Arial"/>
          <w:sz w:val="20"/>
        </w:rPr>
        <w:t>Q2) For PPPR value range, does RAN2 have any preference, e.g. 8 levels like PPPP, or 3 levels (high, medium, or low)?</w:t>
      </w:r>
    </w:p>
    <w:p w14:paraId="5A75F106" w14:textId="7FFC841D" w:rsidR="00D71B7E" w:rsidRDefault="00D71B7E" w:rsidP="00F75925">
      <w:pPr>
        <w:spacing w:before="240"/>
        <w:rPr>
          <w:rFonts w:ascii="Times New Roman" w:hAnsi="Times New Roman"/>
          <w:sz w:val="20"/>
        </w:rPr>
      </w:pPr>
      <w:r>
        <w:rPr>
          <w:rFonts w:ascii="Times New Roman" w:hAnsi="Times New Roman"/>
          <w:sz w:val="20"/>
        </w:rPr>
        <w:t xml:space="preserve">SA2 has also inquired about the granularity of the PPPR values used for indicated reliability related information. In our view, while using 3 levels (high, medium or low) might be barely sufficient for this purpose, in view of the ever-growing number of advanced V2X services and use cases and the corresponding variation in reliability requirements dictates a more granular allocation of PPPR values. Moreover, as we look towards NR based eV2X (Rel-16 and beyond), the situation would be even more complex, requiring more than 3 levels of reliability indications to classify the vast array of V2X application types. Finally, using 8 values </w:t>
      </w:r>
      <w:r w:rsidR="007F05A5">
        <w:rPr>
          <w:rFonts w:ascii="Times New Roman" w:hAnsi="Times New Roman"/>
          <w:sz w:val="20"/>
        </w:rPr>
        <w:t xml:space="preserve">which are the same as PPPP also means that any mechanism we define to utilize </w:t>
      </w:r>
      <w:r w:rsidR="00021BB4">
        <w:rPr>
          <w:rFonts w:ascii="Times New Roman" w:hAnsi="Times New Roman"/>
          <w:sz w:val="20"/>
        </w:rPr>
        <w:t xml:space="preserve">PPPR can organically grow out of existing methods in place that use PPPP values, allowing of a greater degree of flexibility when designing specifications. So, having 8 levels of reliability (like PPPP) </w:t>
      </w:r>
      <w:r w:rsidR="009C4A1F">
        <w:rPr>
          <w:rFonts w:ascii="Times New Roman" w:hAnsi="Times New Roman"/>
          <w:sz w:val="20"/>
        </w:rPr>
        <w:t>should be</w:t>
      </w:r>
      <w:r w:rsidR="00021BB4">
        <w:rPr>
          <w:rFonts w:ascii="Times New Roman" w:hAnsi="Times New Roman"/>
          <w:sz w:val="20"/>
        </w:rPr>
        <w:t xml:space="preserve"> preferred from RAN2 point of view.</w:t>
      </w:r>
    </w:p>
    <w:p w14:paraId="2FBA5892" w14:textId="744E2BD9" w:rsidR="00021BB4" w:rsidRDefault="009F74B6" w:rsidP="00295880">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w:t>
      </w:r>
      <w:r w:rsidR="00295880">
        <w:rPr>
          <w:rFonts w:ascii="Times New Roman" w:eastAsia="Times New Roman" w:hAnsi="Times New Roman"/>
          <w:b/>
          <w:bCs/>
          <w:sz w:val="20"/>
          <w:szCs w:val="20"/>
          <w:u w:val="single"/>
          <w:lang w:val="en-GB" w:eastAsia="zh-CN"/>
        </w:rPr>
        <w:t xml:space="preserve"> 3</w:t>
      </w:r>
      <w:r w:rsidR="00021BB4" w:rsidRPr="000760CC">
        <w:rPr>
          <w:rFonts w:ascii="Times New Roman" w:eastAsia="Times New Roman" w:hAnsi="Times New Roman"/>
          <w:b/>
          <w:bCs/>
          <w:sz w:val="20"/>
          <w:szCs w:val="20"/>
          <w:u w:val="single"/>
          <w:lang w:val="en-GB" w:eastAsia="zh-CN"/>
        </w:rPr>
        <w:t>:</w:t>
      </w:r>
      <w:r w:rsidR="00021BB4" w:rsidRPr="000760CC">
        <w:rPr>
          <w:rFonts w:ascii="Times New Roman" w:eastAsia="Times New Roman" w:hAnsi="Times New Roman"/>
          <w:b/>
          <w:bCs/>
          <w:sz w:val="20"/>
          <w:szCs w:val="20"/>
          <w:lang w:val="en-GB" w:eastAsia="zh-CN"/>
        </w:rPr>
        <w:tab/>
      </w:r>
      <w:r w:rsidR="00021BB4">
        <w:rPr>
          <w:rFonts w:ascii="Times New Roman" w:eastAsia="Times New Roman" w:hAnsi="Times New Roman"/>
          <w:bCs/>
          <w:i/>
          <w:sz w:val="20"/>
          <w:szCs w:val="20"/>
          <w:lang w:eastAsia="zh-CN"/>
        </w:rPr>
        <w:t>8 levels of PPPR values</w:t>
      </w:r>
      <w:r w:rsidR="00BB652B">
        <w:rPr>
          <w:rFonts w:ascii="Times New Roman" w:eastAsia="Times New Roman" w:hAnsi="Times New Roman"/>
          <w:bCs/>
          <w:i/>
          <w:sz w:val="20"/>
          <w:szCs w:val="20"/>
          <w:lang w:eastAsia="zh-CN"/>
        </w:rPr>
        <w:t xml:space="preserve"> should be defined</w:t>
      </w:r>
      <w:r w:rsidR="00021BB4">
        <w:rPr>
          <w:rFonts w:ascii="Times New Roman" w:eastAsia="Times New Roman" w:hAnsi="Times New Roman"/>
          <w:bCs/>
          <w:i/>
          <w:sz w:val="20"/>
          <w:szCs w:val="20"/>
          <w:lang w:eastAsia="zh-CN"/>
        </w:rPr>
        <w:t>, similar to PPPP, to achieve a greater degree of flexibility for classifying the diverse set of eV2X service types.</w:t>
      </w:r>
    </w:p>
    <w:p w14:paraId="09C39867" w14:textId="6AD1E19E" w:rsidR="00021BB4" w:rsidRPr="00F9599A" w:rsidRDefault="00021BB4" w:rsidP="00021BB4">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2.2</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Applicability of PPPR values to V2X messages</w:t>
      </w:r>
    </w:p>
    <w:p w14:paraId="1A534463" w14:textId="77777777" w:rsidR="00021BB4" w:rsidRPr="009A00C0" w:rsidRDefault="00021BB4" w:rsidP="001C25B2">
      <w:pPr>
        <w:spacing w:before="240"/>
        <w:rPr>
          <w:rFonts w:ascii="Arial" w:hAnsi="Arial" w:cs="Arial"/>
          <w:sz w:val="20"/>
        </w:rPr>
      </w:pPr>
      <w:r w:rsidRPr="009A00C0">
        <w:rPr>
          <w:rFonts w:ascii="Arial" w:hAnsi="Arial" w:cs="Arial"/>
          <w:sz w:val="20"/>
        </w:rPr>
        <w:t>Q3) Does RAN2 expect</w:t>
      </w:r>
      <w:r w:rsidRPr="009A00C0">
        <w:rPr>
          <w:rFonts w:ascii="Arial" w:hAnsi="Arial" w:cs="Arial"/>
          <w:sz w:val="20"/>
          <w:lang w:val="en-GB"/>
        </w:rPr>
        <w:t xml:space="preserve"> reliability is applicable to all V2X messages or for specific messages, e.g. only specific applications requiring specific reliability? </w:t>
      </w:r>
      <w:r w:rsidRPr="009A00C0">
        <w:rPr>
          <w:rFonts w:ascii="Arial" w:hAnsi="Arial" w:cs="Arial"/>
          <w:sz w:val="20"/>
        </w:rPr>
        <w:t>If RAN2 finds limiting reliability to specificV2X messages beneficial, SA2 will develop solution to address it.</w:t>
      </w:r>
    </w:p>
    <w:p w14:paraId="5343788D" w14:textId="1D53DCE3" w:rsidR="00D71B7E" w:rsidRDefault="00021BB4" w:rsidP="00F75925">
      <w:pPr>
        <w:spacing w:before="240"/>
        <w:rPr>
          <w:rFonts w:ascii="Times New Roman" w:hAnsi="Times New Roman"/>
          <w:sz w:val="20"/>
        </w:rPr>
      </w:pPr>
      <w:r>
        <w:rPr>
          <w:rFonts w:ascii="Times New Roman" w:hAnsi="Times New Roman"/>
          <w:sz w:val="20"/>
        </w:rPr>
        <w:t xml:space="preserve">Finally, the issue raised pertains to whether the reliability requirement should be applicable to all V2X messages or specific one (e.g. based on certain applications). </w:t>
      </w:r>
      <w:r w:rsidR="004A4E2D">
        <w:rPr>
          <w:rFonts w:ascii="Times New Roman" w:hAnsi="Times New Roman"/>
          <w:sz w:val="20"/>
        </w:rPr>
        <w:t xml:space="preserve">To provide some background to assist in better answering this question, we can consult </w:t>
      </w:r>
      <w:r>
        <w:rPr>
          <w:rFonts w:ascii="Times New Roman" w:hAnsi="Times New Roman"/>
          <w:sz w:val="20"/>
        </w:rPr>
        <w:t xml:space="preserve">the service types </w:t>
      </w:r>
      <w:r w:rsidR="004A4E2D">
        <w:rPr>
          <w:rFonts w:ascii="Times New Roman" w:hAnsi="Times New Roman"/>
          <w:sz w:val="20"/>
        </w:rPr>
        <w:t xml:space="preserve">(and their associated requirements) </w:t>
      </w:r>
      <w:r>
        <w:rPr>
          <w:rFonts w:ascii="Times New Roman" w:hAnsi="Times New Roman"/>
          <w:sz w:val="20"/>
        </w:rPr>
        <w:t xml:space="preserve">defined in </w:t>
      </w:r>
      <w:r w:rsidR="004A4E2D">
        <w:rPr>
          <w:rFonts w:ascii="Times New Roman" w:hAnsi="Times New Roman"/>
          <w:sz w:val="20"/>
        </w:rPr>
        <w:t>TS 22.886 by SA1.</w:t>
      </w:r>
      <w:r>
        <w:rPr>
          <w:rFonts w:ascii="Times New Roman" w:hAnsi="Times New Roman"/>
          <w:sz w:val="20"/>
        </w:rPr>
        <w:t xml:space="preserve"> </w:t>
      </w:r>
      <w:r w:rsidR="004A4E2D">
        <w:rPr>
          <w:rFonts w:ascii="Times New Roman" w:hAnsi="Times New Roman"/>
          <w:sz w:val="20"/>
        </w:rPr>
        <w:t>It can be seen</w:t>
      </w:r>
      <w:r>
        <w:rPr>
          <w:rFonts w:ascii="Times New Roman" w:hAnsi="Times New Roman"/>
          <w:sz w:val="20"/>
        </w:rPr>
        <w:t xml:space="preserve"> that within the main set of use cases, the reliability requirements vary quite wildly. For instance, for remote driving case, the reliability requirement is 99.999% or higher, while for </w:t>
      </w:r>
      <w:r w:rsidR="004A4E2D">
        <w:rPr>
          <w:rFonts w:ascii="Times New Roman" w:hAnsi="Times New Roman"/>
          <w:sz w:val="20"/>
        </w:rPr>
        <w:t xml:space="preserve">the case of platooning, certain cases have much less stringent requirement on reliability (~90%) </w:t>
      </w:r>
      <w:sdt>
        <w:sdtPr>
          <w:rPr>
            <w:rFonts w:ascii="Times New Roman" w:hAnsi="Times New Roman"/>
            <w:sz w:val="20"/>
          </w:rPr>
          <w:id w:val="-639106823"/>
          <w:citation/>
        </w:sdtPr>
        <w:sdtEndPr/>
        <w:sdtContent>
          <w:r w:rsidR="00F307EC">
            <w:rPr>
              <w:rFonts w:ascii="Times New Roman" w:hAnsi="Times New Roman"/>
              <w:sz w:val="20"/>
            </w:rPr>
            <w:fldChar w:fldCharType="begin"/>
          </w:r>
          <w:r w:rsidR="00F307EC">
            <w:rPr>
              <w:rFonts w:ascii="Times New Roman" w:hAnsi="Times New Roman"/>
              <w:sz w:val="20"/>
            </w:rPr>
            <w:instrText xml:space="preserve"> CITATION TR22886 \l 1033 </w:instrText>
          </w:r>
          <w:r w:rsidR="00F307EC">
            <w:rPr>
              <w:rFonts w:ascii="Times New Roman" w:hAnsi="Times New Roman"/>
              <w:sz w:val="20"/>
            </w:rPr>
            <w:fldChar w:fldCharType="separate"/>
          </w:r>
          <w:r w:rsidR="003716F9" w:rsidRPr="003716F9">
            <w:rPr>
              <w:rFonts w:ascii="Times New Roman" w:hAnsi="Times New Roman"/>
              <w:noProof/>
              <w:sz w:val="20"/>
            </w:rPr>
            <w:t>[6]</w:t>
          </w:r>
          <w:r w:rsidR="00F307EC">
            <w:rPr>
              <w:rFonts w:ascii="Times New Roman" w:hAnsi="Times New Roman"/>
              <w:sz w:val="20"/>
            </w:rPr>
            <w:fldChar w:fldCharType="end"/>
          </w:r>
        </w:sdtContent>
      </w:sdt>
      <w:r w:rsidR="004A4E2D">
        <w:rPr>
          <w:rFonts w:ascii="Times New Roman" w:hAnsi="Times New Roman"/>
          <w:sz w:val="20"/>
        </w:rPr>
        <w:t xml:space="preserve">. In any case, from the way the question is phrased, it seems like SA2 would need to develop additional solutions if RAN2 requires that the reliability is only applicable to specific V2X messages or service types. If that is indeed the case and if the evolution of eV2X use cases is any indication, we see reliability as being a vital metric to meet when defining solutions to meet the set of requirements for eV2X use cases. Thus, similar to PPPP, the reliability metric can be </w:t>
      </w:r>
      <w:r w:rsidR="00295880">
        <w:rPr>
          <w:rFonts w:ascii="Times New Roman" w:hAnsi="Times New Roman"/>
          <w:sz w:val="20"/>
        </w:rPr>
        <w:t xml:space="preserve">considered to be </w:t>
      </w:r>
      <w:r w:rsidR="004A4E2D">
        <w:rPr>
          <w:rFonts w:ascii="Times New Roman" w:hAnsi="Times New Roman"/>
          <w:sz w:val="20"/>
        </w:rPr>
        <w:t>applicable to all V2X messages</w:t>
      </w:r>
      <w:r w:rsidR="00112846">
        <w:rPr>
          <w:rFonts w:ascii="Times New Roman" w:hAnsi="Times New Roman"/>
          <w:sz w:val="20"/>
        </w:rPr>
        <w:t xml:space="preserve">. </w:t>
      </w:r>
      <w:r w:rsidR="000F3F52">
        <w:rPr>
          <w:rFonts w:ascii="Times New Roman" w:hAnsi="Times New Roman"/>
          <w:sz w:val="20"/>
        </w:rPr>
        <w:t xml:space="preserve">This also ties in with the previous question, whereby defining 8 levels of granularity for PPPR means that even applications/service types having a no/low reliability requirement can be effectively represented with PPPR, just like PPPP. </w:t>
      </w:r>
      <w:r w:rsidR="00295880">
        <w:rPr>
          <w:rFonts w:ascii="Times New Roman" w:hAnsi="Times New Roman"/>
          <w:sz w:val="20"/>
        </w:rPr>
        <w:t xml:space="preserve">In addition, based on SA2 LS, the absence of PPPR when a packet is passed from the lower layers simply implies that no reliability mechanism is required while transmitting the packet. </w:t>
      </w:r>
      <w:r w:rsidR="000F3F52">
        <w:rPr>
          <w:rFonts w:ascii="Times New Roman" w:hAnsi="Times New Roman"/>
          <w:sz w:val="20"/>
        </w:rPr>
        <w:t xml:space="preserve">So, from </w:t>
      </w:r>
      <w:r w:rsidR="0056745A">
        <w:rPr>
          <w:rFonts w:ascii="Times New Roman" w:hAnsi="Times New Roman"/>
          <w:sz w:val="20"/>
        </w:rPr>
        <w:t xml:space="preserve">RAN2 perspective, we </w:t>
      </w:r>
      <w:r w:rsidR="00295880">
        <w:rPr>
          <w:rFonts w:ascii="Times New Roman" w:hAnsi="Times New Roman"/>
          <w:sz w:val="20"/>
        </w:rPr>
        <w:t>can</w:t>
      </w:r>
      <w:r w:rsidR="0056745A">
        <w:rPr>
          <w:rFonts w:ascii="Times New Roman" w:hAnsi="Times New Roman"/>
          <w:sz w:val="20"/>
        </w:rPr>
        <w:t xml:space="preserve"> expect reliability to be applicable to all V2X messa</w:t>
      </w:r>
      <w:r w:rsidR="00F94953">
        <w:rPr>
          <w:rFonts w:ascii="Times New Roman" w:hAnsi="Times New Roman"/>
          <w:sz w:val="20"/>
        </w:rPr>
        <w:t>ges (just like PPPP), which can</w:t>
      </w:r>
      <w:r w:rsidR="00295880">
        <w:rPr>
          <w:rFonts w:ascii="Times New Roman" w:hAnsi="Times New Roman"/>
          <w:sz w:val="20"/>
        </w:rPr>
        <w:t xml:space="preserve"> be </w:t>
      </w:r>
      <w:r w:rsidR="0056745A">
        <w:rPr>
          <w:rFonts w:ascii="Times New Roman" w:hAnsi="Times New Roman"/>
          <w:sz w:val="20"/>
        </w:rPr>
        <w:t>indicated alongside PPPP when the V2X packet is passed from the higher layers.</w:t>
      </w:r>
    </w:p>
    <w:p w14:paraId="59B60C7C" w14:textId="12DA22EC" w:rsidR="00FC194F" w:rsidRDefault="00FC194F" w:rsidP="00FC194F">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w:t>
      </w:r>
      <w:r w:rsidR="003716F9">
        <w:rPr>
          <w:rFonts w:ascii="Times New Roman" w:eastAsia="Times New Roman" w:hAnsi="Times New Roman"/>
          <w:b/>
          <w:bCs/>
          <w:sz w:val="20"/>
          <w:szCs w:val="20"/>
          <w:u w:val="single"/>
          <w:lang w:val="en-GB" w:eastAsia="zh-CN"/>
        </w:rPr>
        <w:t>roposal 4</w:t>
      </w:r>
      <w:r w:rsidRPr="000760CC">
        <w:rPr>
          <w:rFonts w:ascii="Times New Roman" w:eastAsia="Times New Roman" w:hAnsi="Times New Roman"/>
          <w:b/>
          <w:bCs/>
          <w:sz w:val="20"/>
          <w:szCs w:val="20"/>
          <w:u w:val="single"/>
          <w:lang w:val="en-GB" w:eastAsia="zh-CN"/>
        </w:rPr>
        <w:t>:</w:t>
      </w:r>
      <w:r w:rsidRPr="000760CC">
        <w:rPr>
          <w:rFonts w:ascii="Times New Roman" w:eastAsia="Times New Roman" w:hAnsi="Times New Roman"/>
          <w:b/>
          <w:bCs/>
          <w:sz w:val="20"/>
          <w:szCs w:val="20"/>
          <w:lang w:val="en-GB" w:eastAsia="zh-CN"/>
        </w:rPr>
        <w:tab/>
      </w:r>
      <w:r w:rsidR="0056745A">
        <w:rPr>
          <w:rFonts w:ascii="Times New Roman" w:eastAsia="Times New Roman" w:hAnsi="Times New Roman"/>
          <w:bCs/>
          <w:i/>
          <w:sz w:val="20"/>
          <w:szCs w:val="20"/>
          <w:lang w:eastAsia="zh-CN"/>
        </w:rPr>
        <w:t>Reliability (and hence the PPPR) should be applicable to all V2X messages, similar to PPPP.</w:t>
      </w:r>
    </w:p>
    <w:p w14:paraId="24B3EB5D" w14:textId="5438A47E" w:rsidR="00555440" w:rsidRPr="0056745A" w:rsidRDefault="0056745A" w:rsidP="00392C01">
      <w:pPr>
        <w:overflowPunct w:val="0"/>
        <w:autoSpaceDE w:val="0"/>
        <w:autoSpaceDN w:val="0"/>
        <w:adjustRightInd w:val="0"/>
        <w:spacing w:after="180" w:line="240" w:lineRule="auto"/>
        <w:textAlignment w:val="baseline"/>
        <w:rPr>
          <w:rFonts w:ascii="Times New Roman" w:eastAsia="Times New Roman" w:hAnsi="Times New Roman"/>
          <w:bCs/>
          <w:i/>
          <w:sz w:val="20"/>
          <w:szCs w:val="20"/>
          <w:lang w:eastAsia="zh-CN"/>
        </w:rPr>
      </w:pPr>
      <w:r>
        <w:rPr>
          <w:rFonts w:ascii="Times New Roman" w:eastAsia="Times New Roman" w:hAnsi="Times New Roman"/>
          <w:bCs/>
          <w:sz w:val="20"/>
          <w:szCs w:val="20"/>
          <w:lang w:val="en-GB" w:eastAsia="zh-CN"/>
        </w:rPr>
        <w:t>We can provide feedback on the above issues based on the discussion above and the cor</w:t>
      </w:r>
      <w:r w:rsidR="003716F9">
        <w:rPr>
          <w:rFonts w:ascii="Times New Roman" w:eastAsia="Times New Roman" w:hAnsi="Times New Roman"/>
          <w:bCs/>
          <w:sz w:val="20"/>
          <w:szCs w:val="20"/>
          <w:lang w:val="en-GB" w:eastAsia="zh-CN"/>
        </w:rPr>
        <w:t xml:space="preserve">responding LS is contained in </w:t>
      </w:r>
      <w:sdt>
        <w:sdtPr>
          <w:rPr>
            <w:rFonts w:ascii="Times New Roman" w:eastAsia="Times New Roman" w:hAnsi="Times New Roman"/>
            <w:bCs/>
            <w:sz w:val="20"/>
            <w:szCs w:val="20"/>
            <w:lang w:val="en-GB" w:eastAsia="zh-CN"/>
          </w:rPr>
          <w:id w:val="-1656211697"/>
          <w:citation/>
        </w:sdtPr>
        <w:sdtEndPr/>
        <w:sdtContent>
          <w:r w:rsidR="003716F9">
            <w:rPr>
              <w:rFonts w:ascii="Times New Roman" w:eastAsia="Times New Roman" w:hAnsi="Times New Roman"/>
              <w:bCs/>
              <w:sz w:val="20"/>
              <w:szCs w:val="20"/>
              <w:lang w:val="en-GB" w:eastAsia="zh-CN"/>
            </w:rPr>
            <w:fldChar w:fldCharType="begin"/>
          </w:r>
          <w:r w:rsidR="003716F9">
            <w:rPr>
              <w:rFonts w:ascii="Times New Roman" w:eastAsia="Times New Roman" w:hAnsi="Times New Roman"/>
              <w:bCs/>
              <w:sz w:val="20"/>
              <w:szCs w:val="20"/>
              <w:lang w:eastAsia="zh-CN"/>
            </w:rPr>
            <w:instrText xml:space="preserve"> CITATION R213ReplyLSreliability \l 1033 </w:instrText>
          </w:r>
          <w:r w:rsidR="003716F9">
            <w:rPr>
              <w:rFonts w:ascii="Times New Roman" w:eastAsia="Times New Roman" w:hAnsi="Times New Roman"/>
              <w:bCs/>
              <w:sz w:val="20"/>
              <w:szCs w:val="20"/>
              <w:lang w:val="en-GB" w:eastAsia="zh-CN"/>
            </w:rPr>
            <w:fldChar w:fldCharType="separate"/>
          </w:r>
          <w:r w:rsidR="003716F9" w:rsidRPr="003716F9">
            <w:rPr>
              <w:rFonts w:ascii="Times New Roman" w:eastAsia="Times New Roman" w:hAnsi="Times New Roman"/>
              <w:noProof/>
              <w:sz w:val="20"/>
              <w:szCs w:val="20"/>
              <w:lang w:eastAsia="zh-CN"/>
            </w:rPr>
            <w:t>[7]</w:t>
          </w:r>
          <w:r w:rsidR="003716F9">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w:t>
      </w:r>
    </w:p>
    <w:p w14:paraId="50A28EC3" w14:textId="77777777" w:rsidR="008669B1" w:rsidRPr="00E0063E" w:rsidRDefault="008669B1" w:rsidP="008669B1">
      <w:pPr>
        <w:pStyle w:val="Tdoc"/>
      </w:pPr>
      <w:r w:rsidRPr="00E0063E">
        <w:t>Conclusion</w:t>
      </w:r>
    </w:p>
    <w:p w14:paraId="50A28EC4" w14:textId="1EF52484"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the </w:t>
      </w:r>
      <w:r w:rsidR="0056745A">
        <w:rPr>
          <w:rFonts w:ascii="Times New Roman" w:eastAsia="Times New Roman" w:hAnsi="Times New Roman"/>
          <w:bCs/>
          <w:sz w:val="20"/>
          <w:szCs w:val="20"/>
          <w:lang w:val="en-GB" w:eastAsia="zh-CN"/>
        </w:rPr>
        <w:t>issues raised in the LS from SA2 regarding reliability and PPPR and makes the following proposals</w:t>
      </w:r>
      <w:r>
        <w:rPr>
          <w:rFonts w:ascii="Times New Roman" w:eastAsia="Times New Roman" w:hAnsi="Times New Roman"/>
          <w:bCs/>
          <w:sz w:val="20"/>
          <w:szCs w:val="20"/>
          <w:lang w:val="en-GB" w:eastAsia="zh-CN"/>
        </w:rPr>
        <w:t>:</w:t>
      </w:r>
    </w:p>
    <w:p w14:paraId="37E14139" w14:textId="77777777" w:rsidR="009F74B6" w:rsidRDefault="009F74B6" w:rsidP="009F74B6">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1</w:t>
      </w:r>
      <w:r w:rsidRPr="000760CC">
        <w:rPr>
          <w:rFonts w:ascii="Times New Roman" w:eastAsia="Times New Roman" w:hAnsi="Times New Roman"/>
          <w:b/>
          <w:bCs/>
          <w:sz w:val="20"/>
          <w:szCs w:val="20"/>
          <w:u w:val="single"/>
          <w:lang w:val="en-GB" w:eastAsia="zh-CN"/>
        </w:rPr>
        <w:t>:</w:t>
      </w:r>
      <w:r w:rsidRPr="000760C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RAN2 should confirm that PPPR value reflects the reliability requirement associated with the V2X packet (similar to how PPPP indicates the priority requirement).</w:t>
      </w:r>
    </w:p>
    <w:p w14:paraId="0A31ED7B" w14:textId="77777777" w:rsidR="007E76A3" w:rsidRDefault="007E76A3" w:rsidP="007E76A3">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2</w:t>
      </w:r>
      <w:r w:rsidRPr="000760CC">
        <w:rPr>
          <w:rFonts w:ascii="Times New Roman" w:eastAsia="Times New Roman" w:hAnsi="Times New Roman"/>
          <w:b/>
          <w:bCs/>
          <w:sz w:val="20"/>
          <w:szCs w:val="20"/>
          <w:u w:val="single"/>
          <w:lang w:val="en-GB" w:eastAsia="zh-CN"/>
        </w:rPr>
        <w:t>:</w:t>
      </w:r>
      <w:r w:rsidRPr="000760C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If eNB controlled activation of packet duplication is supported for mode 3 UEs, PPPR information should be included in the signaling mechanism utilized for such activation/deactivation.</w:t>
      </w:r>
    </w:p>
    <w:p w14:paraId="572F6929" w14:textId="77777777" w:rsidR="003716F9" w:rsidRDefault="003716F9" w:rsidP="003716F9">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3</w:t>
      </w:r>
      <w:r w:rsidRPr="000760CC">
        <w:rPr>
          <w:rFonts w:ascii="Times New Roman" w:eastAsia="Times New Roman" w:hAnsi="Times New Roman"/>
          <w:b/>
          <w:bCs/>
          <w:sz w:val="20"/>
          <w:szCs w:val="20"/>
          <w:u w:val="single"/>
          <w:lang w:val="en-GB" w:eastAsia="zh-CN"/>
        </w:rPr>
        <w:t>:</w:t>
      </w:r>
      <w:r w:rsidRPr="000760C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8 levels of PPPR values should be defined, similar to PPPP, to achieve a greater degree of flexibility for classifying the diverse set of eV2X service types.</w:t>
      </w:r>
    </w:p>
    <w:p w14:paraId="30120FE8" w14:textId="2834EAD5" w:rsidR="009F74B6" w:rsidRDefault="003716F9" w:rsidP="009F74B6">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4</w:t>
      </w:r>
      <w:r w:rsidR="009F74B6" w:rsidRPr="000760CC">
        <w:rPr>
          <w:rFonts w:ascii="Times New Roman" w:eastAsia="Times New Roman" w:hAnsi="Times New Roman"/>
          <w:b/>
          <w:bCs/>
          <w:sz w:val="20"/>
          <w:szCs w:val="20"/>
          <w:u w:val="single"/>
          <w:lang w:val="en-GB" w:eastAsia="zh-CN"/>
        </w:rPr>
        <w:t>:</w:t>
      </w:r>
      <w:r w:rsidR="009F74B6" w:rsidRPr="000760CC">
        <w:rPr>
          <w:rFonts w:ascii="Times New Roman" w:eastAsia="Times New Roman" w:hAnsi="Times New Roman"/>
          <w:b/>
          <w:bCs/>
          <w:sz w:val="20"/>
          <w:szCs w:val="20"/>
          <w:lang w:val="en-GB" w:eastAsia="zh-CN"/>
        </w:rPr>
        <w:tab/>
      </w:r>
      <w:r w:rsidR="009F74B6">
        <w:rPr>
          <w:rFonts w:ascii="Times New Roman" w:eastAsia="Times New Roman" w:hAnsi="Times New Roman"/>
          <w:bCs/>
          <w:i/>
          <w:sz w:val="20"/>
          <w:szCs w:val="20"/>
          <w:lang w:eastAsia="zh-CN"/>
        </w:rPr>
        <w:t>Reliability (and hence the PPPR) should be applicable to all V2X messages, similar to PPPP.</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18C74C72" w14:textId="77777777" w:rsidR="003716F9"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3716F9" w14:paraId="5A90A281" w14:textId="77777777">
                <w:trPr>
                  <w:divId w:val="917597946"/>
                  <w:tblCellSpacing w:w="15" w:type="dxa"/>
                </w:trPr>
                <w:tc>
                  <w:tcPr>
                    <w:tcW w:w="50" w:type="pct"/>
                    <w:hideMark/>
                  </w:tcPr>
                  <w:p w14:paraId="0821C42C" w14:textId="77777777" w:rsidR="003716F9" w:rsidRDefault="003716F9">
                    <w:pPr>
                      <w:pStyle w:val="Bibliography"/>
                      <w:rPr>
                        <w:noProof/>
                        <w:sz w:val="24"/>
                        <w:szCs w:val="24"/>
                      </w:rPr>
                    </w:pPr>
                    <w:r>
                      <w:rPr>
                        <w:noProof/>
                      </w:rPr>
                      <w:t xml:space="preserve">[1] </w:t>
                    </w:r>
                  </w:p>
                </w:tc>
                <w:tc>
                  <w:tcPr>
                    <w:tcW w:w="0" w:type="auto"/>
                    <w:hideMark/>
                  </w:tcPr>
                  <w:p w14:paraId="126F8010" w14:textId="77777777" w:rsidR="003716F9" w:rsidRDefault="003716F9">
                    <w:pPr>
                      <w:pStyle w:val="Bibliography"/>
                      <w:rPr>
                        <w:noProof/>
                      </w:rPr>
                    </w:pPr>
                    <w:r>
                      <w:rPr>
                        <w:noProof/>
                      </w:rPr>
                      <w:t xml:space="preserve">"R2-1714187, "LS on Reliability for eV2X, RAN2". </w:t>
                    </w:r>
                  </w:p>
                </w:tc>
              </w:tr>
              <w:tr w:rsidR="003716F9" w14:paraId="786A92FC" w14:textId="77777777">
                <w:trPr>
                  <w:divId w:val="917597946"/>
                  <w:tblCellSpacing w:w="15" w:type="dxa"/>
                </w:trPr>
                <w:tc>
                  <w:tcPr>
                    <w:tcW w:w="50" w:type="pct"/>
                    <w:hideMark/>
                  </w:tcPr>
                  <w:p w14:paraId="79B70DA5" w14:textId="77777777" w:rsidR="003716F9" w:rsidRDefault="003716F9">
                    <w:pPr>
                      <w:pStyle w:val="Bibliography"/>
                      <w:rPr>
                        <w:noProof/>
                      </w:rPr>
                    </w:pPr>
                    <w:r>
                      <w:rPr>
                        <w:noProof/>
                      </w:rPr>
                      <w:t xml:space="preserve">[2] </w:t>
                    </w:r>
                  </w:p>
                </w:tc>
                <w:tc>
                  <w:tcPr>
                    <w:tcW w:w="0" w:type="auto"/>
                    <w:hideMark/>
                  </w:tcPr>
                  <w:p w14:paraId="7E936A86" w14:textId="77777777" w:rsidR="003716F9" w:rsidRDefault="003716F9">
                    <w:pPr>
                      <w:pStyle w:val="Bibliography"/>
                      <w:rPr>
                        <w:noProof/>
                      </w:rPr>
                    </w:pPr>
                    <w:r>
                      <w:rPr>
                        <w:noProof/>
                      </w:rPr>
                      <w:t xml:space="preserve">"S2-181368, "Reply LS on Reliability for eV2X", SA2". </w:t>
                    </w:r>
                  </w:p>
                </w:tc>
              </w:tr>
              <w:tr w:rsidR="003716F9" w14:paraId="2D31BD3C" w14:textId="77777777">
                <w:trPr>
                  <w:divId w:val="917597946"/>
                  <w:tblCellSpacing w:w="15" w:type="dxa"/>
                </w:trPr>
                <w:tc>
                  <w:tcPr>
                    <w:tcW w:w="50" w:type="pct"/>
                    <w:hideMark/>
                  </w:tcPr>
                  <w:p w14:paraId="2B95B493" w14:textId="77777777" w:rsidR="003716F9" w:rsidRDefault="003716F9">
                    <w:pPr>
                      <w:pStyle w:val="Bibliography"/>
                      <w:rPr>
                        <w:noProof/>
                      </w:rPr>
                    </w:pPr>
                    <w:r>
                      <w:rPr>
                        <w:noProof/>
                      </w:rPr>
                      <w:t xml:space="preserve">[3] </w:t>
                    </w:r>
                  </w:p>
                </w:tc>
                <w:tc>
                  <w:tcPr>
                    <w:tcW w:w="0" w:type="auto"/>
                    <w:hideMark/>
                  </w:tcPr>
                  <w:p w14:paraId="293D3BF4" w14:textId="77777777" w:rsidR="003716F9" w:rsidRDefault="003716F9">
                    <w:pPr>
                      <w:pStyle w:val="Bibliography"/>
                      <w:rPr>
                        <w:noProof/>
                      </w:rPr>
                    </w:pPr>
                    <w:r>
                      <w:rPr>
                        <w:noProof/>
                      </w:rPr>
                      <w:t xml:space="preserve">"RAN2#100, "Chairman Notes"". </w:t>
                    </w:r>
                  </w:p>
                </w:tc>
              </w:tr>
              <w:tr w:rsidR="003716F9" w14:paraId="530D768F" w14:textId="77777777">
                <w:trPr>
                  <w:divId w:val="917597946"/>
                  <w:tblCellSpacing w:w="15" w:type="dxa"/>
                </w:trPr>
                <w:tc>
                  <w:tcPr>
                    <w:tcW w:w="50" w:type="pct"/>
                    <w:hideMark/>
                  </w:tcPr>
                  <w:p w14:paraId="6835661C" w14:textId="77777777" w:rsidR="003716F9" w:rsidRDefault="003716F9">
                    <w:pPr>
                      <w:pStyle w:val="Bibliography"/>
                      <w:rPr>
                        <w:noProof/>
                      </w:rPr>
                    </w:pPr>
                    <w:r>
                      <w:rPr>
                        <w:noProof/>
                      </w:rPr>
                      <w:t xml:space="preserve">[4] </w:t>
                    </w:r>
                  </w:p>
                </w:tc>
                <w:tc>
                  <w:tcPr>
                    <w:tcW w:w="0" w:type="auto"/>
                    <w:hideMark/>
                  </w:tcPr>
                  <w:p w14:paraId="639B2CAB" w14:textId="77777777" w:rsidR="003716F9" w:rsidRDefault="003716F9">
                    <w:pPr>
                      <w:pStyle w:val="Bibliography"/>
                      <w:rPr>
                        <w:noProof/>
                      </w:rPr>
                    </w:pPr>
                    <w:r>
                      <w:rPr>
                        <w:noProof/>
                      </w:rPr>
                      <w:t xml:space="preserve">"R2-180xxxx, "Packet duplication aspects for CA based eV2X", Intel Corporation". </w:t>
                    </w:r>
                  </w:p>
                </w:tc>
              </w:tr>
              <w:tr w:rsidR="003716F9" w14:paraId="55BD3B07" w14:textId="77777777">
                <w:trPr>
                  <w:divId w:val="917597946"/>
                  <w:tblCellSpacing w:w="15" w:type="dxa"/>
                </w:trPr>
                <w:tc>
                  <w:tcPr>
                    <w:tcW w:w="50" w:type="pct"/>
                    <w:hideMark/>
                  </w:tcPr>
                  <w:p w14:paraId="468A2F01" w14:textId="77777777" w:rsidR="003716F9" w:rsidRDefault="003716F9">
                    <w:pPr>
                      <w:pStyle w:val="Bibliography"/>
                      <w:rPr>
                        <w:noProof/>
                      </w:rPr>
                    </w:pPr>
                    <w:r>
                      <w:rPr>
                        <w:noProof/>
                      </w:rPr>
                      <w:t xml:space="preserve">[5] </w:t>
                    </w:r>
                  </w:p>
                </w:tc>
                <w:tc>
                  <w:tcPr>
                    <w:tcW w:w="0" w:type="auto"/>
                    <w:hideMark/>
                  </w:tcPr>
                  <w:p w14:paraId="3E3A1826" w14:textId="77777777" w:rsidR="003716F9" w:rsidRDefault="003716F9">
                    <w:pPr>
                      <w:pStyle w:val="Bibliography"/>
                      <w:rPr>
                        <w:noProof/>
                      </w:rPr>
                    </w:pPr>
                    <w:r>
                      <w:rPr>
                        <w:noProof/>
                      </w:rPr>
                      <w:t xml:space="preserve">"R2-1801858, "Summary of [100#42][eV2X] Radio Resource Pool Sharing", OPPO". </w:t>
                    </w:r>
                  </w:p>
                </w:tc>
              </w:tr>
              <w:tr w:rsidR="003716F9" w14:paraId="616F6E81" w14:textId="77777777">
                <w:trPr>
                  <w:divId w:val="917597946"/>
                  <w:tblCellSpacing w:w="15" w:type="dxa"/>
                </w:trPr>
                <w:tc>
                  <w:tcPr>
                    <w:tcW w:w="50" w:type="pct"/>
                    <w:hideMark/>
                  </w:tcPr>
                  <w:p w14:paraId="578E517C" w14:textId="77777777" w:rsidR="003716F9" w:rsidRDefault="003716F9">
                    <w:pPr>
                      <w:pStyle w:val="Bibliography"/>
                      <w:rPr>
                        <w:noProof/>
                      </w:rPr>
                    </w:pPr>
                    <w:r>
                      <w:rPr>
                        <w:noProof/>
                      </w:rPr>
                      <w:t xml:space="preserve">[6] </w:t>
                    </w:r>
                  </w:p>
                </w:tc>
                <w:tc>
                  <w:tcPr>
                    <w:tcW w:w="0" w:type="auto"/>
                    <w:hideMark/>
                  </w:tcPr>
                  <w:p w14:paraId="09D8E901" w14:textId="77777777" w:rsidR="003716F9" w:rsidRDefault="003716F9">
                    <w:pPr>
                      <w:pStyle w:val="Bibliography"/>
                      <w:rPr>
                        <w:noProof/>
                      </w:rPr>
                    </w:pPr>
                    <w:r>
                      <w:rPr>
                        <w:noProof/>
                      </w:rPr>
                      <w:t xml:space="preserve">"TR 22.886, Technical Specification Group Services and System Aspects". </w:t>
                    </w:r>
                  </w:p>
                </w:tc>
              </w:tr>
              <w:tr w:rsidR="003716F9" w14:paraId="28AB6199" w14:textId="77777777">
                <w:trPr>
                  <w:divId w:val="917597946"/>
                  <w:tblCellSpacing w:w="15" w:type="dxa"/>
                </w:trPr>
                <w:tc>
                  <w:tcPr>
                    <w:tcW w:w="50" w:type="pct"/>
                    <w:hideMark/>
                  </w:tcPr>
                  <w:p w14:paraId="0AEF2BF9" w14:textId="77777777" w:rsidR="003716F9" w:rsidRDefault="003716F9">
                    <w:pPr>
                      <w:pStyle w:val="Bibliography"/>
                      <w:rPr>
                        <w:noProof/>
                      </w:rPr>
                    </w:pPr>
                    <w:r>
                      <w:rPr>
                        <w:noProof/>
                      </w:rPr>
                      <w:t xml:space="preserve">[7] </w:t>
                    </w:r>
                  </w:p>
                </w:tc>
                <w:tc>
                  <w:tcPr>
                    <w:tcW w:w="0" w:type="auto"/>
                    <w:hideMark/>
                  </w:tcPr>
                  <w:p w14:paraId="1476B285" w14:textId="77777777" w:rsidR="003716F9" w:rsidRDefault="003716F9">
                    <w:pPr>
                      <w:pStyle w:val="Bibliography"/>
                      <w:rPr>
                        <w:noProof/>
                      </w:rPr>
                    </w:pPr>
                    <w:r>
                      <w:rPr>
                        <w:noProof/>
                      </w:rPr>
                      <w:t xml:space="preserve">"R2-180xxxx, "Response LS on overall reliability franework for eV2X", Intel Corporation". </w:t>
                    </w:r>
                  </w:p>
                </w:tc>
              </w:tr>
            </w:tbl>
            <w:p w14:paraId="51CBF6C9" w14:textId="77777777" w:rsidR="003716F9" w:rsidRDefault="003716F9">
              <w:pPr>
                <w:divId w:val="917597946"/>
                <w:rPr>
                  <w:rFonts w:eastAsia="Times New Roman"/>
                  <w:noProof/>
                </w:rPr>
              </w:pPr>
            </w:p>
            <w:p w14:paraId="4196A02B" w14:textId="23530BA4" w:rsidR="00DF25A3" w:rsidRDefault="003379D6">
              <w:r>
                <w:rPr>
                  <w:b/>
                  <w:bCs/>
                  <w:noProof/>
                </w:rPr>
                <w:fldChar w:fldCharType="end"/>
              </w:r>
            </w:p>
          </w:sdtContent>
        </w:sdt>
      </w:sdtContent>
    </w:sdt>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415F96" w:rsidRDefault="00415F96">
      <w:pPr>
        <w:spacing w:after="0" w:line="240" w:lineRule="auto"/>
      </w:pPr>
      <w:r>
        <w:separator/>
      </w:r>
    </w:p>
  </w:endnote>
  <w:endnote w:type="continuationSeparator" w:id="0">
    <w:p w14:paraId="50A28EF3" w14:textId="77777777" w:rsidR="00415F96" w:rsidRDefault="00415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0063E" w:rsidRDefault="00E006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47D7">
      <w:rPr>
        <w:rFonts w:ascii="Arial" w:hAnsi="Arial" w:cs="Arial"/>
        <w:b/>
        <w:noProof/>
        <w:sz w:val="18"/>
        <w:szCs w:val="18"/>
      </w:rPr>
      <w:t>1</w:t>
    </w:r>
    <w:r>
      <w:rPr>
        <w:rFonts w:ascii="Arial" w:hAnsi="Arial" w:cs="Arial"/>
        <w:b/>
        <w:sz w:val="18"/>
        <w:szCs w:val="18"/>
      </w:rPr>
      <w:fldChar w:fldCharType="end"/>
    </w:r>
  </w:p>
  <w:p w14:paraId="50A28EF5" w14:textId="77777777" w:rsidR="00E0063E" w:rsidRDefault="00E006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415F96" w:rsidRDefault="00415F96">
      <w:pPr>
        <w:spacing w:after="0" w:line="240" w:lineRule="auto"/>
      </w:pPr>
      <w:r>
        <w:separator/>
      </w:r>
    </w:p>
  </w:footnote>
  <w:footnote w:type="continuationSeparator" w:id="0">
    <w:p w14:paraId="50A28EF1" w14:textId="77777777" w:rsidR="00415F96" w:rsidRDefault="00415F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 w15:restartNumberingAfterBreak="0">
    <w:nsid w:val="1457003A"/>
    <w:multiLevelType w:val="hybridMultilevel"/>
    <w:tmpl w:val="E460E8B0"/>
    <w:lvl w:ilvl="0" w:tplc="F17820D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C72F1"/>
    <w:multiLevelType w:val="hybridMultilevel"/>
    <w:tmpl w:val="ACEC5BF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351BF"/>
    <w:multiLevelType w:val="hybridMultilevel"/>
    <w:tmpl w:val="99F869F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50AB001E"/>
    <w:multiLevelType w:val="hybridMultilevel"/>
    <w:tmpl w:val="38E4F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CE46A8"/>
    <w:multiLevelType w:val="multilevel"/>
    <w:tmpl w:val="B8B6C1BE"/>
    <w:lvl w:ilvl="0">
      <w:start w:val="1"/>
      <w:numFmt w:val="decimal"/>
      <w:pStyle w:val="Tdoc"/>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10"/>
  </w:num>
  <w:num w:numId="4">
    <w:abstractNumId w:val="9"/>
  </w:num>
  <w:num w:numId="5">
    <w:abstractNumId w:val="0"/>
    <w:lvlOverride w:ilvl="0">
      <w:startOverride w:val="1"/>
    </w:lvlOverride>
  </w:num>
  <w:num w:numId="6">
    <w:abstractNumId w:val="2"/>
    <w:lvlOverride w:ilvl="0">
      <w:startOverride w:val="2"/>
    </w:lvlOverride>
  </w:num>
  <w:num w:numId="7">
    <w:abstractNumId w:val="15"/>
  </w:num>
  <w:num w:numId="8">
    <w:abstractNumId w:val="6"/>
  </w:num>
  <w:num w:numId="9">
    <w:abstractNumId w:val="3"/>
  </w:num>
  <w:num w:numId="10">
    <w:abstractNumId w:val="13"/>
  </w:num>
  <w:num w:numId="11">
    <w:abstractNumId w:val="16"/>
  </w:num>
  <w:num w:numId="12">
    <w:abstractNumId w:val="1"/>
  </w:num>
  <w:num w:numId="13">
    <w:abstractNumId w:val="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2151A"/>
    <w:rsid w:val="00021BB4"/>
    <w:rsid w:val="00031A47"/>
    <w:rsid w:val="000336C8"/>
    <w:rsid w:val="00034F0E"/>
    <w:rsid w:val="000632AE"/>
    <w:rsid w:val="00066057"/>
    <w:rsid w:val="00071BD0"/>
    <w:rsid w:val="000760CC"/>
    <w:rsid w:val="0007638E"/>
    <w:rsid w:val="00096596"/>
    <w:rsid w:val="000A0DDB"/>
    <w:rsid w:val="000E493C"/>
    <w:rsid w:val="000F1C37"/>
    <w:rsid w:val="000F3F52"/>
    <w:rsid w:val="00100001"/>
    <w:rsid w:val="00112846"/>
    <w:rsid w:val="0011610B"/>
    <w:rsid w:val="001247D7"/>
    <w:rsid w:val="00147C5C"/>
    <w:rsid w:val="00154CC9"/>
    <w:rsid w:val="0016488C"/>
    <w:rsid w:val="00175DCB"/>
    <w:rsid w:val="00195430"/>
    <w:rsid w:val="001A793C"/>
    <w:rsid w:val="001C137C"/>
    <w:rsid w:val="001C25B2"/>
    <w:rsid w:val="001E221E"/>
    <w:rsid w:val="001F73AD"/>
    <w:rsid w:val="002011CD"/>
    <w:rsid w:val="0020567B"/>
    <w:rsid w:val="00230F8F"/>
    <w:rsid w:val="00255F2A"/>
    <w:rsid w:val="00260222"/>
    <w:rsid w:val="00270512"/>
    <w:rsid w:val="00274F99"/>
    <w:rsid w:val="00276574"/>
    <w:rsid w:val="00286C19"/>
    <w:rsid w:val="00291433"/>
    <w:rsid w:val="00291DB2"/>
    <w:rsid w:val="00293F66"/>
    <w:rsid w:val="0029495D"/>
    <w:rsid w:val="00295880"/>
    <w:rsid w:val="002A0A29"/>
    <w:rsid w:val="002A78E6"/>
    <w:rsid w:val="002B17B0"/>
    <w:rsid w:val="002C6AE2"/>
    <w:rsid w:val="002F04F8"/>
    <w:rsid w:val="002F153B"/>
    <w:rsid w:val="002F35C5"/>
    <w:rsid w:val="002F432E"/>
    <w:rsid w:val="0030716D"/>
    <w:rsid w:val="00330823"/>
    <w:rsid w:val="00336D1D"/>
    <w:rsid w:val="003379D6"/>
    <w:rsid w:val="00337A0E"/>
    <w:rsid w:val="00345654"/>
    <w:rsid w:val="0035278E"/>
    <w:rsid w:val="00360F06"/>
    <w:rsid w:val="003716F9"/>
    <w:rsid w:val="003758D9"/>
    <w:rsid w:val="00384CB8"/>
    <w:rsid w:val="00386438"/>
    <w:rsid w:val="00392C01"/>
    <w:rsid w:val="003A766F"/>
    <w:rsid w:val="003B6208"/>
    <w:rsid w:val="003B65C3"/>
    <w:rsid w:val="003C2812"/>
    <w:rsid w:val="003D1D55"/>
    <w:rsid w:val="003F0F74"/>
    <w:rsid w:val="0040117D"/>
    <w:rsid w:val="00415F96"/>
    <w:rsid w:val="00433DA4"/>
    <w:rsid w:val="0043655F"/>
    <w:rsid w:val="00437AB1"/>
    <w:rsid w:val="00440C74"/>
    <w:rsid w:val="00445B7E"/>
    <w:rsid w:val="004500D1"/>
    <w:rsid w:val="0045284C"/>
    <w:rsid w:val="00453DB6"/>
    <w:rsid w:val="00460EBA"/>
    <w:rsid w:val="004873A1"/>
    <w:rsid w:val="0049247B"/>
    <w:rsid w:val="004A4E2D"/>
    <w:rsid w:val="004B2F1A"/>
    <w:rsid w:val="004E3975"/>
    <w:rsid w:val="005067A7"/>
    <w:rsid w:val="005142A4"/>
    <w:rsid w:val="00515C9D"/>
    <w:rsid w:val="005208C7"/>
    <w:rsid w:val="005214C0"/>
    <w:rsid w:val="00523734"/>
    <w:rsid w:val="005279F9"/>
    <w:rsid w:val="00555440"/>
    <w:rsid w:val="0055706A"/>
    <w:rsid w:val="0056745A"/>
    <w:rsid w:val="00593190"/>
    <w:rsid w:val="0059466E"/>
    <w:rsid w:val="005A4656"/>
    <w:rsid w:val="005A7CEA"/>
    <w:rsid w:val="005E3E1B"/>
    <w:rsid w:val="005E4E14"/>
    <w:rsid w:val="00606815"/>
    <w:rsid w:val="00627647"/>
    <w:rsid w:val="00633024"/>
    <w:rsid w:val="006434DA"/>
    <w:rsid w:val="00667231"/>
    <w:rsid w:val="006A27E5"/>
    <w:rsid w:val="006C65A8"/>
    <w:rsid w:val="006D0058"/>
    <w:rsid w:val="006D512C"/>
    <w:rsid w:val="006D7CC2"/>
    <w:rsid w:val="006F631D"/>
    <w:rsid w:val="00705D31"/>
    <w:rsid w:val="00723298"/>
    <w:rsid w:val="00732A41"/>
    <w:rsid w:val="00732CD4"/>
    <w:rsid w:val="007336B5"/>
    <w:rsid w:val="00735F9E"/>
    <w:rsid w:val="00743313"/>
    <w:rsid w:val="00773778"/>
    <w:rsid w:val="00781376"/>
    <w:rsid w:val="00786EC6"/>
    <w:rsid w:val="00792327"/>
    <w:rsid w:val="00792670"/>
    <w:rsid w:val="00797358"/>
    <w:rsid w:val="007A2068"/>
    <w:rsid w:val="007A49CD"/>
    <w:rsid w:val="007D05E3"/>
    <w:rsid w:val="007D32DD"/>
    <w:rsid w:val="007D67A4"/>
    <w:rsid w:val="007E76A3"/>
    <w:rsid w:val="007F05A5"/>
    <w:rsid w:val="007F1D21"/>
    <w:rsid w:val="00827742"/>
    <w:rsid w:val="00835599"/>
    <w:rsid w:val="008669B1"/>
    <w:rsid w:val="00875F14"/>
    <w:rsid w:val="008775ED"/>
    <w:rsid w:val="00883EF2"/>
    <w:rsid w:val="008848AB"/>
    <w:rsid w:val="00896F0F"/>
    <w:rsid w:val="00897CC2"/>
    <w:rsid w:val="008A3B9F"/>
    <w:rsid w:val="008B0017"/>
    <w:rsid w:val="008B7DB0"/>
    <w:rsid w:val="008D2846"/>
    <w:rsid w:val="008E03BE"/>
    <w:rsid w:val="008E5071"/>
    <w:rsid w:val="008F02CA"/>
    <w:rsid w:val="00925869"/>
    <w:rsid w:val="00943FF6"/>
    <w:rsid w:val="0094797B"/>
    <w:rsid w:val="00952743"/>
    <w:rsid w:val="00955F6D"/>
    <w:rsid w:val="009573C2"/>
    <w:rsid w:val="00976CEB"/>
    <w:rsid w:val="009A00C0"/>
    <w:rsid w:val="009A301E"/>
    <w:rsid w:val="009A4353"/>
    <w:rsid w:val="009B6A2D"/>
    <w:rsid w:val="009C4A1F"/>
    <w:rsid w:val="009D1B29"/>
    <w:rsid w:val="009D5BAB"/>
    <w:rsid w:val="009E7171"/>
    <w:rsid w:val="009F74B6"/>
    <w:rsid w:val="009F758B"/>
    <w:rsid w:val="00A44954"/>
    <w:rsid w:val="00A45F0D"/>
    <w:rsid w:val="00A5035B"/>
    <w:rsid w:val="00A5480B"/>
    <w:rsid w:val="00A63B12"/>
    <w:rsid w:val="00A824AF"/>
    <w:rsid w:val="00A86A88"/>
    <w:rsid w:val="00A8759E"/>
    <w:rsid w:val="00AB388C"/>
    <w:rsid w:val="00AC4F72"/>
    <w:rsid w:val="00AD20FE"/>
    <w:rsid w:val="00AD77A5"/>
    <w:rsid w:val="00AE13FE"/>
    <w:rsid w:val="00AE5BAD"/>
    <w:rsid w:val="00AF256D"/>
    <w:rsid w:val="00B14023"/>
    <w:rsid w:val="00B20B32"/>
    <w:rsid w:val="00B329F9"/>
    <w:rsid w:val="00B45EDF"/>
    <w:rsid w:val="00B74D9C"/>
    <w:rsid w:val="00B76EA2"/>
    <w:rsid w:val="00BA2CEB"/>
    <w:rsid w:val="00BB652B"/>
    <w:rsid w:val="00BE0FBB"/>
    <w:rsid w:val="00BF3082"/>
    <w:rsid w:val="00C27475"/>
    <w:rsid w:val="00C348A8"/>
    <w:rsid w:val="00C47BFB"/>
    <w:rsid w:val="00C641CB"/>
    <w:rsid w:val="00C67B49"/>
    <w:rsid w:val="00C72564"/>
    <w:rsid w:val="00C73BA9"/>
    <w:rsid w:val="00C8595C"/>
    <w:rsid w:val="00C90D45"/>
    <w:rsid w:val="00CB6AB5"/>
    <w:rsid w:val="00CE0279"/>
    <w:rsid w:val="00CE1A7A"/>
    <w:rsid w:val="00CE39BF"/>
    <w:rsid w:val="00CE5D88"/>
    <w:rsid w:val="00CE70AB"/>
    <w:rsid w:val="00CE78AF"/>
    <w:rsid w:val="00D30389"/>
    <w:rsid w:val="00D30D35"/>
    <w:rsid w:val="00D4639F"/>
    <w:rsid w:val="00D65AAE"/>
    <w:rsid w:val="00D71B7E"/>
    <w:rsid w:val="00D74365"/>
    <w:rsid w:val="00D75EC2"/>
    <w:rsid w:val="00D94525"/>
    <w:rsid w:val="00D945F5"/>
    <w:rsid w:val="00DA6F64"/>
    <w:rsid w:val="00DC299B"/>
    <w:rsid w:val="00DE207A"/>
    <w:rsid w:val="00DF07FB"/>
    <w:rsid w:val="00DF25A3"/>
    <w:rsid w:val="00E0063E"/>
    <w:rsid w:val="00E10C75"/>
    <w:rsid w:val="00E1454C"/>
    <w:rsid w:val="00E31E41"/>
    <w:rsid w:val="00E32368"/>
    <w:rsid w:val="00E327FA"/>
    <w:rsid w:val="00E42BBE"/>
    <w:rsid w:val="00E53137"/>
    <w:rsid w:val="00E60548"/>
    <w:rsid w:val="00E65894"/>
    <w:rsid w:val="00E6786C"/>
    <w:rsid w:val="00E74E8F"/>
    <w:rsid w:val="00E93113"/>
    <w:rsid w:val="00E936F6"/>
    <w:rsid w:val="00EB0968"/>
    <w:rsid w:val="00EB1319"/>
    <w:rsid w:val="00ED00AF"/>
    <w:rsid w:val="00EE3B7D"/>
    <w:rsid w:val="00F07F83"/>
    <w:rsid w:val="00F14233"/>
    <w:rsid w:val="00F16547"/>
    <w:rsid w:val="00F16840"/>
    <w:rsid w:val="00F2103E"/>
    <w:rsid w:val="00F239D6"/>
    <w:rsid w:val="00F25073"/>
    <w:rsid w:val="00F27189"/>
    <w:rsid w:val="00F307EC"/>
    <w:rsid w:val="00F75925"/>
    <w:rsid w:val="00F83629"/>
    <w:rsid w:val="00F94953"/>
    <w:rsid w:val="00F96012"/>
    <w:rsid w:val="00FA03CA"/>
    <w:rsid w:val="00FC16BC"/>
    <w:rsid w:val="00FC194F"/>
    <w:rsid w:val="00FC5F27"/>
    <w:rsid w:val="00FD039C"/>
    <w:rsid w:val="00FF2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3F0F74"/>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3F0F74"/>
    <w:rPr>
      <w:rFonts w:ascii="Calibri Light" w:eastAsia="Times New Roman" w:hAnsi="Calibri Light"/>
      <w:b/>
      <w:bCs/>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21591673">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8330198">
      <w:bodyDiv w:val="1"/>
      <w:marLeft w:val="0"/>
      <w:marRight w:val="0"/>
      <w:marTop w:val="0"/>
      <w:marBottom w:val="0"/>
      <w:divBdr>
        <w:top w:val="none" w:sz="0" w:space="0" w:color="auto"/>
        <w:left w:val="none" w:sz="0" w:space="0" w:color="auto"/>
        <w:bottom w:val="none" w:sz="0" w:space="0" w:color="auto"/>
        <w:right w:val="none" w:sz="0" w:space="0" w:color="auto"/>
      </w:divBdr>
    </w:div>
    <w:div w:id="58989415">
      <w:bodyDiv w:val="1"/>
      <w:marLeft w:val="0"/>
      <w:marRight w:val="0"/>
      <w:marTop w:val="0"/>
      <w:marBottom w:val="0"/>
      <w:divBdr>
        <w:top w:val="none" w:sz="0" w:space="0" w:color="auto"/>
        <w:left w:val="none" w:sz="0" w:space="0" w:color="auto"/>
        <w:bottom w:val="none" w:sz="0" w:space="0" w:color="auto"/>
        <w:right w:val="none" w:sz="0" w:space="0" w:color="auto"/>
      </w:divBdr>
    </w:div>
    <w:div w:id="62147960">
      <w:bodyDiv w:val="1"/>
      <w:marLeft w:val="0"/>
      <w:marRight w:val="0"/>
      <w:marTop w:val="0"/>
      <w:marBottom w:val="0"/>
      <w:divBdr>
        <w:top w:val="none" w:sz="0" w:space="0" w:color="auto"/>
        <w:left w:val="none" w:sz="0" w:space="0" w:color="auto"/>
        <w:bottom w:val="none" w:sz="0" w:space="0" w:color="auto"/>
        <w:right w:val="none" w:sz="0" w:space="0" w:color="auto"/>
      </w:divBdr>
    </w:div>
    <w:div w:id="85226654">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0709094">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3679910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44147203">
      <w:bodyDiv w:val="1"/>
      <w:marLeft w:val="0"/>
      <w:marRight w:val="0"/>
      <w:marTop w:val="0"/>
      <w:marBottom w:val="0"/>
      <w:divBdr>
        <w:top w:val="none" w:sz="0" w:space="0" w:color="auto"/>
        <w:left w:val="none" w:sz="0" w:space="0" w:color="auto"/>
        <w:bottom w:val="none" w:sz="0" w:space="0" w:color="auto"/>
        <w:right w:val="none" w:sz="0" w:space="0" w:color="auto"/>
      </w:divBdr>
    </w:div>
    <w:div w:id="255679162">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59532569">
      <w:bodyDiv w:val="1"/>
      <w:marLeft w:val="0"/>
      <w:marRight w:val="0"/>
      <w:marTop w:val="0"/>
      <w:marBottom w:val="0"/>
      <w:divBdr>
        <w:top w:val="none" w:sz="0" w:space="0" w:color="auto"/>
        <w:left w:val="none" w:sz="0" w:space="0" w:color="auto"/>
        <w:bottom w:val="none" w:sz="0" w:space="0" w:color="auto"/>
        <w:right w:val="none" w:sz="0" w:space="0" w:color="auto"/>
      </w:divBdr>
    </w:div>
    <w:div w:id="265768938">
      <w:bodyDiv w:val="1"/>
      <w:marLeft w:val="0"/>
      <w:marRight w:val="0"/>
      <w:marTop w:val="0"/>
      <w:marBottom w:val="0"/>
      <w:divBdr>
        <w:top w:val="none" w:sz="0" w:space="0" w:color="auto"/>
        <w:left w:val="none" w:sz="0" w:space="0" w:color="auto"/>
        <w:bottom w:val="none" w:sz="0" w:space="0" w:color="auto"/>
        <w:right w:val="none" w:sz="0" w:space="0" w:color="auto"/>
      </w:divBdr>
    </w:div>
    <w:div w:id="27722043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3553293">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3701132">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92117077">
      <w:bodyDiv w:val="1"/>
      <w:marLeft w:val="0"/>
      <w:marRight w:val="0"/>
      <w:marTop w:val="0"/>
      <w:marBottom w:val="0"/>
      <w:divBdr>
        <w:top w:val="none" w:sz="0" w:space="0" w:color="auto"/>
        <w:left w:val="none" w:sz="0" w:space="0" w:color="auto"/>
        <w:bottom w:val="none" w:sz="0" w:space="0" w:color="auto"/>
        <w:right w:val="none" w:sz="0" w:space="0" w:color="auto"/>
      </w:divBdr>
    </w:div>
    <w:div w:id="405542944">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3597464">
      <w:bodyDiv w:val="1"/>
      <w:marLeft w:val="0"/>
      <w:marRight w:val="0"/>
      <w:marTop w:val="0"/>
      <w:marBottom w:val="0"/>
      <w:divBdr>
        <w:top w:val="none" w:sz="0" w:space="0" w:color="auto"/>
        <w:left w:val="none" w:sz="0" w:space="0" w:color="auto"/>
        <w:bottom w:val="none" w:sz="0" w:space="0" w:color="auto"/>
        <w:right w:val="none" w:sz="0" w:space="0" w:color="auto"/>
      </w:divBdr>
    </w:div>
    <w:div w:id="44165039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051401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436169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6057772">
      <w:bodyDiv w:val="1"/>
      <w:marLeft w:val="0"/>
      <w:marRight w:val="0"/>
      <w:marTop w:val="0"/>
      <w:marBottom w:val="0"/>
      <w:divBdr>
        <w:top w:val="none" w:sz="0" w:space="0" w:color="auto"/>
        <w:left w:val="none" w:sz="0" w:space="0" w:color="auto"/>
        <w:bottom w:val="none" w:sz="0" w:space="0" w:color="auto"/>
        <w:right w:val="none" w:sz="0" w:space="0" w:color="auto"/>
      </w:divBdr>
    </w:div>
    <w:div w:id="607856298">
      <w:bodyDiv w:val="1"/>
      <w:marLeft w:val="0"/>
      <w:marRight w:val="0"/>
      <w:marTop w:val="0"/>
      <w:marBottom w:val="0"/>
      <w:divBdr>
        <w:top w:val="none" w:sz="0" w:space="0" w:color="auto"/>
        <w:left w:val="none" w:sz="0" w:space="0" w:color="auto"/>
        <w:bottom w:val="none" w:sz="0" w:space="0" w:color="auto"/>
        <w:right w:val="none" w:sz="0" w:space="0" w:color="auto"/>
      </w:divBdr>
    </w:div>
    <w:div w:id="619185283">
      <w:bodyDiv w:val="1"/>
      <w:marLeft w:val="0"/>
      <w:marRight w:val="0"/>
      <w:marTop w:val="0"/>
      <w:marBottom w:val="0"/>
      <w:divBdr>
        <w:top w:val="none" w:sz="0" w:space="0" w:color="auto"/>
        <w:left w:val="none" w:sz="0" w:space="0" w:color="auto"/>
        <w:bottom w:val="none" w:sz="0" w:space="0" w:color="auto"/>
        <w:right w:val="none" w:sz="0" w:space="0" w:color="auto"/>
      </w:divBdr>
    </w:div>
    <w:div w:id="62115172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6605188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8480973">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53018267">
      <w:bodyDiv w:val="1"/>
      <w:marLeft w:val="0"/>
      <w:marRight w:val="0"/>
      <w:marTop w:val="0"/>
      <w:marBottom w:val="0"/>
      <w:divBdr>
        <w:top w:val="none" w:sz="0" w:space="0" w:color="auto"/>
        <w:left w:val="none" w:sz="0" w:space="0" w:color="auto"/>
        <w:bottom w:val="none" w:sz="0" w:space="0" w:color="auto"/>
        <w:right w:val="none" w:sz="0" w:space="0" w:color="auto"/>
      </w:divBdr>
    </w:div>
    <w:div w:id="82558590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36921055">
      <w:bodyDiv w:val="1"/>
      <w:marLeft w:val="0"/>
      <w:marRight w:val="0"/>
      <w:marTop w:val="0"/>
      <w:marBottom w:val="0"/>
      <w:divBdr>
        <w:top w:val="none" w:sz="0" w:space="0" w:color="auto"/>
        <w:left w:val="none" w:sz="0" w:space="0" w:color="auto"/>
        <w:bottom w:val="none" w:sz="0" w:space="0" w:color="auto"/>
        <w:right w:val="none" w:sz="0" w:space="0" w:color="auto"/>
      </w:divBdr>
    </w:div>
    <w:div w:id="841892075">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7328547">
      <w:bodyDiv w:val="1"/>
      <w:marLeft w:val="0"/>
      <w:marRight w:val="0"/>
      <w:marTop w:val="0"/>
      <w:marBottom w:val="0"/>
      <w:divBdr>
        <w:top w:val="none" w:sz="0" w:space="0" w:color="auto"/>
        <w:left w:val="none" w:sz="0" w:space="0" w:color="auto"/>
        <w:bottom w:val="none" w:sz="0" w:space="0" w:color="auto"/>
        <w:right w:val="none" w:sz="0" w:space="0" w:color="auto"/>
      </w:divBdr>
    </w:div>
    <w:div w:id="917597946">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4554062">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72907522">
      <w:bodyDiv w:val="1"/>
      <w:marLeft w:val="0"/>
      <w:marRight w:val="0"/>
      <w:marTop w:val="0"/>
      <w:marBottom w:val="0"/>
      <w:divBdr>
        <w:top w:val="none" w:sz="0" w:space="0" w:color="auto"/>
        <w:left w:val="none" w:sz="0" w:space="0" w:color="auto"/>
        <w:bottom w:val="none" w:sz="0" w:space="0" w:color="auto"/>
        <w:right w:val="none" w:sz="0" w:space="0" w:color="auto"/>
      </w:divBdr>
    </w:div>
    <w:div w:id="97544892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37897890">
      <w:bodyDiv w:val="1"/>
      <w:marLeft w:val="0"/>
      <w:marRight w:val="0"/>
      <w:marTop w:val="0"/>
      <w:marBottom w:val="0"/>
      <w:divBdr>
        <w:top w:val="none" w:sz="0" w:space="0" w:color="auto"/>
        <w:left w:val="none" w:sz="0" w:space="0" w:color="auto"/>
        <w:bottom w:val="none" w:sz="0" w:space="0" w:color="auto"/>
        <w:right w:val="none" w:sz="0" w:space="0" w:color="auto"/>
      </w:divBdr>
    </w:div>
    <w:div w:id="1055619312">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1221983">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8715805">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4376597">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27236622">
      <w:bodyDiv w:val="1"/>
      <w:marLeft w:val="0"/>
      <w:marRight w:val="0"/>
      <w:marTop w:val="0"/>
      <w:marBottom w:val="0"/>
      <w:divBdr>
        <w:top w:val="none" w:sz="0" w:space="0" w:color="auto"/>
        <w:left w:val="none" w:sz="0" w:space="0" w:color="auto"/>
        <w:bottom w:val="none" w:sz="0" w:space="0" w:color="auto"/>
        <w:right w:val="none" w:sz="0" w:space="0" w:color="auto"/>
      </w:divBdr>
    </w:div>
    <w:div w:id="1136530977">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72331294">
      <w:bodyDiv w:val="1"/>
      <w:marLeft w:val="0"/>
      <w:marRight w:val="0"/>
      <w:marTop w:val="0"/>
      <w:marBottom w:val="0"/>
      <w:divBdr>
        <w:top w:val="none" w:sz="0" w:space="0" w:color="auto"/>
        <w:left w:val="none" w:sz="0" w:space="0" w:color="auto"/>
        <w:bottom w:val="none" w:sz="0" w:space="0" w:color="auto"/>
        <w:right w:val="none" w:sz="0" w:space="0" w:color="auto"/>
      </w:divBdr>
    </w:div>
    <w:div w:id="1184248015">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91188358">
      <w:bodyDiv w:val="1"/>
      <w:marLeft w:val="0"/>
      <w:marRight w:val="0"/>
      <w:marTop w:val="0"/>
      <w:marBottom w:val="0"/>
      <w:divBdr>
        <w:top w:val="none" w:sz="0" w:space="0" w:color="auto"/>
        <w:left w:val="none" w:sz="0" w:space="0" w:color="auto"/>
        <w:bottom w:val="none" w:sz="0" w:space="0" w:color="auto"/>
        <w:right w:val="none" w:sz="0" w:space="0" w:color="auto"/>
      </w:divBdr>
    </w:div>
    <w:div w:id="1204438623">
      <w:bodyDiv w:val="1"/>
      <w:marLeft w:val="0"/>
      <w:marRight w:val="0"/>
      <w:marTop w:val="0"/>
      <w:marBottom w:val="0"/>
      <w:divBdr>
        <w:top w:val="none" w:sz="0" w:space="0" w:color="auto"/>
        <w:left w:val="none" w:sz="0" w:space="0" w:color="auto"/>
        <w:bottom w:val="none" w:sz="0" w:space="0" w:color="auto"/>
        <w:right w:val="none" w:sz="0" w:space="0" w:color="auto"/>
      </w:divBdr>
    </w:div>
    <w:div w:id="1271857711">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5450298">
      <w:bodyDiv w:val="1"/>
      <w:marLeft w:val="0"/>
      <w:marRight w:val="0"/>
      <w:marTop w:val="0"/>
      <w:marBottom w:val="0"/>
      <w:divBdr>
        <w:top w:val="none" w:sz="0" w:space="0" w:color="auto"/>
        <w:left w:val="none" w:sz="0" w:space="0" w:color="auto"/>
        <w:bottom w:val="none" w:sz="0" w:space="0" w:color="auto"/>
        <w:right w:val="none" w:sz="0" w:space="0" w:color="auto"/>
      </w:divBdr>
    </w:div>
    <w:div w:id="1318342845">
      <w:bodyDiv w:val="1"/>
      <w:marLeft w:val="0"/>
      <w:marRight w:val="0"/>
      <w:marTop w:val="0"/>
      <w:marBottom w:val="0"/>
      <w:divBdr>
        <w:top w:val="none" w:sz="0" w:space="0" w:color="auto"/>
        <w:left w:val="none" w:sz="0" w:space="0" w:color="auto"/>
        <w:bottom w:val="none" w:sz="0" w:space="0" w:color="auto"/>
        <w:right w:val="none" w:sz="0" w:space="0" w:color="auto"/>
      </w:divBdr>
    </w:div>
    <w:div w:id="1321957525">
      <w:bodyDiv w:val="1"/>
      <w:marLeft w:val="0"/>
      <w:marRight w:val="0"/>
      <w:marTop w:val="0"/>
      <w:marBottom w:val="0"/>
      <w:divBdr>
        <w:top w:val="none" w:sz="0" w:space="0" w:color="auto"/>
        <w:left w:val="none" w:sz="0" w:space="0" w:color="auto"/>
        <w:bottom w:val="none" w:sz="0" w:space="0" w:color="auto"/>
        <w:right w:val="none" w:sz="0" w:space="0" w:color="auto"/>
      </w:divBdr>
    </w:div>
    <w:div w:id="1337460072">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41573797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25881474">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389295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3843321">
      <w:bodyDiv w:val="1"/>
      <w:marLeft w:val="0"/>
      <w:marRight w:val="0"/>
      <w:marTop w:val="0"/>
      <w:marBottom w:val="0"/>
      <w:divBdr>
        <w:top w:val="none" w:sz="0" w:space="0" w:color="auto"/>
        <w:left w:val="none" w:sz="0" w:space="0" w:color="auto"/>
        <w:bottom w:val="none" w:sz="0" w:space="0" w:color="auto"/>
        <w:right w:val="none" w:sz="0" w:space="0" w:color="auto"/>
      </w:divBdr>
    </w:div>
    <w:div w:id="144908570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503423821">
      <w:bodyDiv w:val="1"/>
      <w:marLeft w:val="0"/>
      <w:marRight w:val="0"/>
      <w:marTop w:val="0"/>
      <w:marBottom w:val="0"/>
      <w:divBdr>
        <w:top w:val="none" w:sz="0" w:space="0" w:color="auto"/>
        <w:left w:val="none" w:sz="0" w:space="0" w:color="auto"/>
        <w:bottom w:val="none" w:sz="0" w:space="0" w:color="auto"/>
        <w:right w:val="none" w:sz="0" w:space="0" w:color="auto"/>
      </w:divBdr>
    </w:div>
    <w:div w:id="1503474179">
      <w:bodyDiv w:val="1"/>
      <w:marLeft w:val="0"/>
      <w:marRight w:val="0"/>
      <w:marTop w:val="0"/>
      <w:marBottom w:val="0"/>
      <w:divBdr>
        <w:top w:val="none" w:sz="0" w:space="0" w:color="auto"/>
        <w:left w:val="none" w:sz="0" w:space="0" w:color="auto"/>
        <w:bottom w:val="none" w:sz="0" w:space="0" w:color="auto"/>
        <w:right w:val="none" w:sz="0" w:space="0" w:color="auto"/>
      </w:divBdr>
    </w:div>
    <w:div w:id="1503858909">
      <w:bodyDiv w:val="1"/>
      <w:marLeft w:val="0"/>
      <w:marRight w:val="0"/>
      <w:marTop w:val="0"/>
      <w:marBottom w:val="0"/>
      <w:divBdr>
        <w:top w:val="none" w:sz="0" w:space="0" w:color="auto"/>
        <w:left w:val="none" w:sz="0" w:space="0" w:color="auto"/>
        <w:bottom w:val="none" w:sz="0" w:space="0" w:color="auto"/>
        <w:right w:val="none" w:sz="0" w:space="0" w:color="auto"/>
      </w:divBdr>
    </w:div>
    <w:div w:id="150412266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2056481">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268305">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709743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374875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42217407">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6437936">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39998659">
      <w:bodyDiv w:val="1"/>
      <w:marLeft w:val="0"/>
      <w:marRight w:val="0"/>
      <w:marTop w:val="0"/>
      <w:marBottom w:val="0"/>
      <w:divBdr>
        <w:top w:val="none" w:sz="0" w:space="0" w:color="auto"/>
        <w:left w:val="none" w:sz="0" w:space="0" w:color="auto"/>
        <w:bottom w:val="none" w:sz="0" w:space="0" w:color="auto"/>
        <w:right w:val="none" w:sz="0" w:space="0" w:color="auto"/>
      </w:divBdr>
    </w:div>
    <w:div w:id="1848134674">
      <w:bodyDiv w:val="1"/>
      <w:marLeft w:val="0"/>
      <w:marRight w:val="0"/>
      <w:marTop w:val="0"/>
      <w:marBottom w:val="0"/>
      <w:divBdr>
        <w:top w:val="none" w:sz="0" w:space="0" w:color="auto"/>
        <w:left w:val="none" w:sz="0" w:space="0" w:color="auto"/>
        <w:bottom w:val="none" w:sz="0" w:space="0" w:color="auto"/>
        <w:right w:val="none" w:sz="0" w:space="0" w:color="auto"/>
      </w:divBdr>
    </w:div>
    <w:div w:id="1849633836">
      <w:bodyDiv w:val="1"/>
      <w:marLeft w:val="0"/>
      <w:marRight w:val="0"/>
      <w:marTop w:val="0"/>
      <w:marBottom w:val="0"/>
      <w:divBdr>
        <w:top w:val="none" w:sz="0" w:space="0" w:color="auto"/>
        <w:left w:val="none" w:sz="0" w:space="0" w:color="auto"/>
        <w:bottom w:val="none" w:sz="0" w:space="0" w:color="auto"/>
        <w:right w:val="none" w:sz="0" w:space="0" w:color="auto"/>
      </w:divBdr>
    </w:div>
    <w:div w:id="1854218909">
      <w:bodyDiv w:val="1"/>
      <w:marLeft w:val="0"/>
      <w:marRight w:val="0"/>
      <w:marTop w:val="0"/>
      <w:marBottom w:val="0"/>
      <w:divBdr>
        <w:top w:val="none" w:sz="0" w:space="0" w:color="auto"/>
        <w:left w:val="none" w:sz="0" w:space="0" w:color="auto"/>
        <w:bottom w:val="none" w:sz="0" w:space="0" w:color="auto"/>
        <w:right w:val="none" w:sz="0" w:space="0" w:color="auto"/>
      </w:divBdr>
    </w:div>
    <w:div w:id="1856840969">
      <w:bodyDiv w:val="1"/>
      <w:marLeft w:val="0"/>
      <w:marRight w:val="0"/>
      <w:marTop w:val="0"/>
      <w:marBottom w:val="0"/>
      <w:divBdr>
        <w:top w:val="none" w:sz="0" w:space="0" w:color="auto"/>
        <w:left w:val="none" w:sz="0" w:space="0" w:color="auto"/>
        <w:bottom w:val="none" w:sz="0" w:space="0" w:color="auto"/>
        <w:right w:val="none" w:sz="0" w:space="0" w:color="auto"/>
      </w:divBdr>
    </w:div>
    <w:div w:id="1860196498">
      <w:bodyDiv w:val="1"/>
      <w:marLeft w:val="0"/>
      <w:marRight w:val="0"/>
      <w:marTop w:val="0"/>
      <w:marBottom w:val="0"/>
      <w:divBdr>
        <w:top w:val="none" w:sz="0" w:space="0" w:color="auto"/>
        <w:left w:val="none" w:sz="0" w:space="0" w:color="auto"/>
        <w:bottom w:val="none" w:sz="0" w:space="0" w:color="auto"/>
        <w:right w:val="none" w:sz="0" w:space="0" w:color="auto"/>
      </w:divBdr>
    </w:div>
    <w:div w:id="1867793689">
      <w:bodyDiv w:val="1"/>
      <w:marLeft w:val="0"/>
      <w:marRight w:val="0"/>
      <w:marTop w:val="0"/>
      <w:marBottom w:val="0"/>
      <w:divBdr>
        <w:top w:val="none" w:sz="0" w:space="0" w:color="auto"/>
        <w:left w:val="none" w:sz="0" w:space="0" w:color="auto"/>
        <w:bottom w:val="none" w:sz="0" w:space="0" w:color="auto"/>
        <w:right w:val="none" w:sz="0" w:space="0" w:color="auto"/>
      </w:divBdr>
    </w:div>
    <w:div w:id="1897663523">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1885955">
      <w:bodyDiv w:val="1"/>
      <w:marLeft w:val="0"/>
      <w:marRight w:val="0"/>
      <w:marTop w:val="0"/>
      <w:marBottom w:val="0"/>
      <w:divBdr>
        <w:top w:val="none" w:sz="0" w:space="0" w:color="auto"/>
        <w:left w:val="none" w:sz="0" w:space="0" w:color="auto"/>
        <w:bottom w:val="none" w:sz="0" w:space="0" w:color="auto"/>
        <w:right w:val="none" w:sz="0" w:space="0" w:color="auto"/>
      </w:divBdr>
    </w:div>
    <w:div w:id="1914973678">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46382038">
      <w:bodyDiv w:val="1"/>
      <w:marLeft w:val="0"/>
      <w:marRight w:val="0"/>
      <w:marTop w:val="0"/>
      <w:marBottom w:val="0"/>
      <w:divBdr>
        <w:top w:val="none" w:sz="0" w:space="0" w:color="auto"/>
        <w:left w:val="none" w:sz="0" w:space="0" w:color="auto"/>
        <w:bottom w:val="none" w:sz="0" w:space="0" w:color="auto"/>
        <w:right w:val="none" w:sz="0" w:space="0" w:color="auto"/>
      </w:divBdr>
    </w:div>
    <w:div w:id="1951164453">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89286496">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38921866">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76274986">
      <w:bodyDiv w:val="1"/>
      <w:marLeft w:val="0"/>
      <w:marRight w:val="0"/>
      <w:marTop w:val="0"/>
      <w:marBottom w:val="0"/>
      <w:divBdr>
        <w:top w:val="none" w:sz="0" w:space="0" w:color="auto"/>
        <w:left w:val="none" w:sz="0" w:space="0" w:color="auto"/>
        <w:bottom w:val="none" w:sz="0" w:space="0" w:color="auto"/>
        <w:right w:val="none" w:sz="0" w:space="0" w:color="auto"/>
      </w:divBdr>
    </w:div>
    <w:div w:id="2089962795">
      <w:bodyDiv w:val="1"/>
      <w:marLeft w:val="0"/>
      <w:marRight w:val="0"/>
      <w:marTop w:val="0"/>
      <w:marBottom w:val="0"/>
      <w:divBdr>
        <w:top w:val="none" w:sz="0" w:space="0" w:color="auto"/>
        <w:left w:val="none" w:sz="0" w:space="0" w:color="auto"/>
        <w:bottom w:val="none" w:sz="0" w:space="0" w:color="auto"/>
        <w:right w:val="none" w:sz="0" w:space="0" w:color="auto"/>
      </w:divBdr>
    </w:div>
    <w:div w:id="2100910211">
      <w:bodyDiv w:val="1"/>
      <w:marLeft w:val="0"/>
      <w:marRight w:val="0"/>
      <w:marTop w:val="0"/>
      <w:marBottom w:val="0"/>
      <w:divBdr>
        <w:top w:val="none" w:sz="0" w:space="0" w:color="auto"/>
        <w:left w:val="none" w:sz="0" w:space="0" w:color="auto"/>
        <w:bottom w:val="none" w:sz="0" w:space="0" w:color="auto"/>
        <w:right w:val="none" w:sz="0" w:space="0" w:color="auto"/>
      </w:divBdr>
    </w:div>
    <w:div w:id="210672437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216027">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RAN21003</b:Tag>
    <b:SourceType>ConferenceProceedings</b:SourceType>
    <b:Guid>{1C9B9CFA-70A0-473E-9922-111A4F431550}</b:Guid>
    <b:Title>RAN2#100, "Chairman Notes"</b:Title>
    <b:RefOrder>3</b:RefOrder>
  </b:Source>
  <b:Source>
    <b:Tag>RAN2LS</b:Tag>
    <b:SourceType>ConferenceProceedings</b:SourceType>
    <b:Guid>{914038A4-70BA-4E58-86A6-3FE649D4C08A}</b:Guid>
    <b:Title>R2-1714187, "LS on Reliability for eV2X, RAN2</b:Title>
    <b:RefOrder>1</b:RefOrder>
  </b:Source>
  <b:Source>
    <b:Tag>SA2LS</b:Tag>
    <b:SourceType>ConferenceProceedings</b:SourceType>
    <b:Guid>{5845D167-2164-4F80-A82D-D9F18FB8E510}</b:Guid>
    <b:Title>S2-181368, "Reply LS on Reliability for eV2X", SA2</b:Title>
    <b:RefOrder>2</b:RefOrder>
  </b:Source>
  <b:Source>
    <b:Tag>TR22886</b:Tag>
    <b:SourceType>ConferenceProceedings</b:SourceType>
    <b:Guid>{80F46A4E-4378-47F0-B9CE-A67D863509BC}</b:Guid>
    <b:Title>TR 22.886, Technical Specification Group Services and System Aspects</b:Title>
    <b:RefOrder>6</b:RefOrder>
  </b:Source>
  <b:Source>
    <b:Tag>PacketDuplicationIntel</b:Tag>
    <b:SourceType>ConferenceProceedings</b:SourceType>
    <b:Guid>{0BCC3A71-F7AB-42BB-A164-16349C2AD5D5}</b:Guid>
    <b:Title>R2-180xxxx, "Packet duplication aspects for CA based eV2X", Intel Corporation</b:Title>
    <b:RefOrder>4</b:RefOrder>
  </b:Source>
  <b:Source>
    <b:Tag>ResourceSharingemail</b:Tag>
    <b:SourceType>ConferenceProceedings</b:SourceType>
    <b:Guid>{6B501B6D-4A98-4BBA-A5A3-1D4593E550E6}</b:Guid>
    <b:Title>R2-1801858, "Summary of [100#42][eV2X] Radio Resource Pool Sharing", OPPO</b:Title>
    <b:RefOrder>5</b:RefOrder>
  </b:Source>
  <b:Source>
    <b:Tag>R213ReplyLSreliability</b:Tag>
    <b:SourceType>ConferenceProceedings</b:SourceType>
    <b:Guid>{653F060C-D729-4FEF-871F-28DAE43C0730}</b:Guid>
    <b:Title>R2-180xxxx, "Response LS on overall reliability franework for eV2X", Intel Corporation</b:Title>
    <b:RefOrder>7</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4D69657C-909D-4954-AC96-438360CAA01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E70DAFD-2F98-4188-BB9B-E15F960E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3</Pages>
  <Words>1488</Words>
  <Characters>7714</Characters>
  <Application>Microsoft Office Word</Application>
  <DocSecurity>0</DocSecurity>
  <Lines>120</Lines>
  <Paragraphs>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132</cp:revision>
  <dcterms:created xsi:type="dcterms:W3CDTF">2017-08-12T02:26:00Z</dcterms:created>
  <dcterms:modified xsi:type="dcterms:W3CDTF">2018-02-16T01:34:00Z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884ec40a-af31-4b00-a8b8-e8b94ab7651a</vt:lpwstr>
  </property>
  <property fmtid="{D5CDD505-2E9C-101B-9397-08002B2CF9AE}" pid="4" name="CTP_BU">
    <vt:lpwstr>NA</vt:lpwstr>
  </property>
  <property fmtid="{D5CDD505-2E9C-101B-9397-08002B2CF9AE}" pid="5" name="CTP_TimeStamp">
    <vt:lpwstr>2018-02-16 01:34:40Z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