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F9C" w:rsidRPr="00016A78" w:rsidRDefault="008F0F9C" w:rsidP="008F0F9C">
      <w:pPr>
        <w:pStyle w:val="CRCoverPage"/>
        <w:tabs>
          <w:tab w:val="right" w:pos="9639"/>
        </w:tabs>
        <w:spacing w:after="0"/>
        <w:rPr>
          <w:b/>
          <w:i/>
          <w:noProof/>
          <w:sz w:val="28"/>
          <w:lang w:eastAsia="zh-CN"/>
        </w:rPr>
      </w:pPr>
      <w:r w:rsidRPr="005A2DFC">
        <w:rPr>
          <w:b/>
          <w:noProof/>
          <w:sz w:val="24"/>
        </w:rPr>
        <w:t xml:space="preserve">3GPP TSG-RAN WG2 </w:t>
      </w:r>
      <w:r>
        <w:rPr>
          <w:b/>
          <w:noProof/>
          <w:sz w:val="24"/>
        </w:rPr>
        <w:t>Meeting 101</w:t>
      </w:r>
      <w:r>
        <w:rPr>
          <w:b/>
          <w:i/>
          <w:noProof/>
          <w:sz w:val="28"/>
        </w:rPr>
        <w:tab/>
      </w:r>
      <w:r w:rsidRPr="002B51E5">
        <w:rPr>
          <w:b/>
          <w:i/>
          <w:noProof/>
          <w:sz w:val="28"/>
        </w:rPr>
        <w:t>R2-1</w:t>
      </w:r>
      <w:r>
        <w:rPr>
          <w:b/>
          <w:i/>
          <w:noProof/>
          <w:sz w:val="28"/>
        </w:rPr>
        <w:t>8</w:t>
      </w:r>
      <w:r>
        <w:rPr>
          <w:rFonts w:hint="eastAsia"/>
          <w:b/>
          <w:i/>
          <w:noProof/>
          <w:sz w:val="28"/>
          <w:lang w:eastAsia="zh-CN"/>
        </w:rPr>
        <w:t>0</w:t>
      </w:r>
      <w:r w:rsidR="000A2564">
        <w:rPr>
          <w:b/>
          <w:i/>
          <w:noProof/>
          <w:sz w:val="28"/>
          <w:lang w:eastAsia="zh-CN"/>
        </w:rPr>
        <w:t>2833</w:t>
      </w:r>
    </w:p>
    <w:p w:rsidR="008F0F9C" w:rsidRDefault="008F0F9C" w:rsidP="008F0F9C">
      <w:pPr>
        <w:pStyle w:val="CRCoverPage"/>
        <w:outlineLvl w:val="0"/>
        <w:rPr>
          <w:b/>
          <w:noProof/>
          <w:sz w:val="24"/>
        </w:rPr>
      </w:pPr>
      <w:r>
        <w:rPr>
          <w:b/>
          <w:noProof/>
          <w:sz w:val="24"/>
        </w:rPr>
        <w:t>Athens</w:t>
      </w:r>
      <w:r w:rsidRPr="005A2DFC">
        <w:rPr>
          <w:b/>
          <w:noProof/>
          <w:sz w:val="24"/>
        </w:rPr>
        <w:t xml:space="preserve">, </w:t>
      </w:r>
      <w:r>
        <w:rPr>
          <w:b/>
          <w:noProof/>
          <w:sz w:val="24"/>
        </w:rPr>
        <w:t>Greece</w:t>
      </w:r>
      <w:r w:rsidRPr="005A2DFC">
        <w:rPr>
          <w:b/>
          <w:noProof/>
          <w:sz w:val="24"/>
        </w:rPr>
        <w:t xml:space="preserve">, </w:t>
      </w:r>
      <w:r>
        <w:rPr>
          <w:b/>
          <w:noProof/>
          <w:sz w:val="24"/>
        </w:rPr>
        <w:t>26 Febru</w:t>
      </w:r>
      <w:r w:rsidR="00591030">
        <w:rPr>
          <w:b/>
          <w:noProof/>
          <w:sz w:val="24"/>
        </w:rPr>
        <w:t>a</w:t>
      </w:r>
      <w:r>
        <w:rPr>
          <w:b/>
          <w:noProof/>
          <w:sz w:val="24"/>
        </w:rPr>
        <w:t>ry</w:t>
      </w:r>
      <w:r w:rsidR="00591030">
        <w:rPr>
          <w:b/>
          <w:noProof/>
          <w:sz w:val="24"/>
        </w:rPr>
        <w:t>-</w:t>
      </w:r>
      <w:bookmarkStart w:id="0" w:name="_GoBack"/>
      <w:bookmarkEnd w:id="0"/>
      <w:r>
        <w:rPr>
          <w:b/>
          <w:noProof/>
          <w:sz w:val="24"/>
        </w:rPr>
        <w:t>02</w:t>
      </w:r>
      <w:r w:rsidRPr="005A2DFC">
        <w:rPr>
          <w:b/>
          <w:noProof/>
          <w:sz w:val="24"/>
        </w:rPr>
        <w:t xml:space="preserve"> </w:t>
      </w:r>
      <w:r>
        <w:rPr>
          <w:b/>
          <w:noProof/>
          <w:sz w:val="24"/>
        </w:rPr>
        <w:t>March</w:t>
      </w:r>
      <w:r w:rsidRPr="005A2DFC">
        <w:rPr>
          <w:b/>
          <w:noProof/>
          <w:sz w:val="24"/>
        </w:rPr>
        <w:t>, 2018</w:t>
      </w:r>
    </w:p>
    <w:p w:rsidR="008F0F9C" w:rsidRDefault="008F0F9C" w:rsidP="008F0F9C">
      <w:pPr>
        <w:rPr>
          <w:sz w:val="8"/>
          <w:szCs w:val="8"/>
          <w:lang w:eastAsia="zh-CN"/>
        </w:rPr>
      </w:pPr>
    </w:p>
    <w:p w:rsidR="008F0F9C" w:rsidRPr="00A878E3" w:rsidRDefault="008F0F9C" w:rsidP="008F0F9C">
      <w:pPr>
        <w:tabs>
          <w:tab w:val="left" w:pos="1985"/>
        </w:tabs>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Pr="00016587">
        <w:rPr>
          <w:rFonts w:ascii="Arial" w:hAnsi="Arial"/>
          <w:b/>
          <w:sz w:val="24"/>
          <w:lang w:eastAsia="en-GB"/>
        </w:rPr>
        <w:t>10.4.</w:t>
      </w:r>
      <w:r>
        <w:rPr>
          <w:rFonts w:ascii="Arial" w:hAnsi="Arial"/>
          <w:b/>
          <w:sz w:val="24"/>
          <w:lang w:eastAsia="en-GB"/>
        </w:rPr>
        <w:t>3.2</w:t>
      </w:r>
    </w:p>
    <w:p w:rsidR="008F0F9C" w:rsidRPr="005C0CE3" w:rsidRDefault="008F0F9C" w:rsidP="008F0F9C">
      <w:pPr>
        <w:tabs>
          <w:tab w:val="left" w:pos="1985"/>
        </w:tabs>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bookmarkStart w:id="1" w:name="OLE_LINK168"/>
      <w:bookmarkStart w:id="2" w:name="OLE_LINK169"/>
      <w:bookmarkStart w:id="3" w:name="OLE_LINK170"/>
      <w:r w:rsidRPr="005C0CE3">
        <w:rPr>
          <w:rFonts w:ascii="Arial" w:hAnsi="Arial"/>
          <w:b/>
          <w:sz w:val="24"/>
          <w:lang w:eastAsia="en-GB"/>
        </w:rPr>
        <w:t>Huawei, HiSilicon</w:t>
      </w:r>
      <w:bookmarkEnd w:id="1"/>
      <w:bookmarkEnd w:id="2"/>
      <w:bookmarkEnd w:id="3"/>
    </w:p>
    <w:p w:rsidR="008F0F9C" w:rsidRPr="00EB4441" w:rsidRDefault="008F0F9C" w:rsidP="008F0F9C">
      <w:pPr>
        <w:ind w:left="1985" w:hanging="1985"/>
        <w:rPr>
          <w:rFonts w:ascii="Arial" w:eastAsia="SimSun" w:hAnsi="Arial" w:cs="Arial"/>
          <w:b/>
          <w:sz w:val="22"/>
          <w:lang w:eastAsia="zh-CN"/>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Pr>
          <w:rFonts w:ascii="Arial" w:eastAsia="SimSun" w:hAnsi="Arial"/>
          <w:b/>
          <w:sz w:val="24"/>
          <w:lang w:eastAsia="zh-CN"/>
        </w:rPr>
        <w:t>PDSCH and PUSCH UE-specific parameters</w:t>
      </w:r>
    </w:p>
    <w:p w:rsidR="008F0F9C" w:rsidRPr="00001627" w:rsidRDefault="008F0F9C" w:rsidP="008F0F9C">
      <w:pPr>
        <w:tabs>
          <w:tab w:val="left" w:pos="1985"/>
        </w:tabs>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r w:rsidRPr="005C0CE3">
        <w:rPr>
          <w:rFonts w:ascii="Arial" w:hAnsi="Arial"/>
          <w:b/>
          <w:sz w:val="24"/>
          <w:lang w:eastAsia="en-GB"/>
        </w:rPr>
        <w:t>Discussion and decision</w:t>
      </w:r>
    </w:p>
    <w:p w:rsidR="008F0F9C" w:rsidRDefault="008F0F9C" w:rsidP="008F0F9C">
      <w:pPr>
        <w:pStyle w:val="Heading1"/>
      </w:pPr>
      <w:bookmarkStart w:id="4" w:name="OLE_LINK472"/>
      <w:bookmarkStart w:id="5" w:name="OLE_LINK471"/>
      <w:r>
        <w:t>Introduction</w:t>
      </w:r>
    </w:p>
    <w:bookmarkEnd w:id="4"/>
    <w:bookmarkEnd w:id="5"/>
    <w:p w:rsidR="008F0F9C" w:rsidRDefault="008F0F9C" w:rsidP="008F0F9C">
      <w:pPr>
        <w:rPr>
          <w:lang w:eastAsia="zh-CN"/>
        </w:rPr>
      </w:pPr>
      <w:r>
        <w:rPr>
          <w:lang w:eastAsia="zh-CN"/>
        </w:rPr>
        <w:t>This document addresses an ASN.1 issue regarding the handling of some UE-specific parameters in PDSCH-Config and PUSCH-Config.</w:t>
      </w:r>
    </w:p>
    <w:p w:rsidR="008F0F9C" w:rsidRDefault="008F0F9C" w:rsidP="008F0F9C">
      <w:r>
        <w:t>Our understanding of the state of BWP- and UE-specific parameters in PDCCH-Config/PDSCH-Config/PUCCH-Config/PUSCH-Config is provided in Annex A (see also [1]).</w:t>
      </w:r>
    </w:p>
    <w:p w:rsidR="008F0F9C" w:rsidRDefault="008F0F9C" w:rsidP="008F0F9C">
      <w:pPr>
        <w:pStyle w:val="Heading1"/>
      </w:pPr>
      <w:r>
        <w:t>Discussion</w:t>
      </w:r>
    </w:p>
    <w:p w:rsidR="008F0F9C" w:rsidRDefault="008F0F9C" w:rsidP="008F0F9C">
      <w:r>
        <w:t xml:space="preserve">Since PDSCH-Config and PUSCH-Config are included in the downlink and uplink (respectively) BWP structures, they can accommodate signalling of BWP-specific parameters.  However, signalling UE-specific parameters requires some care.  In some cases e.g. </w:t>
      </w:r>
      <w:r>
        <w:rPr>
          <w:i/>
        </w:rPr>
        <w:t>lte-CRS-ToMatchAround</w:t>
      </w:r>
      <w:r>
        <w:t xml:space="preserve"> in PDSCH-Config, delta signalling provides a solution; the parameter is UE-specific, but it can be modified or replaced whenever the PDSCH-Config is signalled, i.e. at downlink BWP configuration or reconfiguration.</w:t>
      </w:r>
    </w:p>
    <w:p w:rsidR="008F0F9C" w:rsidRPr="008F0F9C" w:rsidRDefault="008F0F9C" w:rsidP="008F0F9C">
      <w:r>
        <w:t>The same situation arises with some parameters in PDCCH-Config (</w:t>
      </w:r>
      <w:r>
        <w:rPr>
          <w:i/>
        </w:rPr>
        <w:t>controlResourceSetToAddModList</w:t>
      </w:r>
      <w:r>
        <w:t xml:space="preserve">, </w:t>
      </w:r>
      <w:r>
        <w:rPr>
          <w:i/>
        </w:rPr>
        <w:t>searchSpacesToAddModList</w:t>
      </w:r>
      <w:r>
        <w:t xml:space="preserve">, and </w:t>
      </w:r>
      <w:r>
        <w:rPr>
          <w:i/>
        </w:rPr>
        <w:t>slotFormatIndicator</w:t>
      </w:r>
      <w:r>
        <w:t>) and PUCCH-Config (</w:t>
      </w:r>
      <w:r>
        <w:rPr>
          <w:i/>
        </w:rPr>
        <w:t>scramblingID</w:t>
      </w:r>
      <w:r>
        <w:t xml:space="preserve"> and </w:t>
      </w:r>
      <w:r>
        <w:rPr>
          <w:i/>
        </w:rPr>
        <w:t>pucch-PowerControl</w:t>
      </w:r>
      <w:r>
        <w:t xml:space="preserve">); in these cases delta signalling can be applied (see ASN.1 issues H313 and H314). </w:t>
      </w:r>
    </w:p>
    <w:p w:rsidR="008F0F9C" w:rsidRDefault="008F0F9C" w:rsidP="008F0F9C">
      <w:r>
        <w:t>For smaller parameters with less structure, delta signalling has generally not been specified.  Moreover, certain parameters have default values indicated in the RAN1 spreadsheet, which prevents delta signalling from working.  This issue arises with the following parameters, all of which are supposed to be UE-specific:</w:t>
      </w:r>
    </w:p>
    <w:p w:rsidR="008F0F9C" w:rsidRDefault="008F0F9C" w:rsidP="008F0F9C">
      <w:pPr>
        <w:pStyle w:val="ListParagraph"/>
        <w:numPr>
          <w:ilvl w:val="0"/>
          <w:numId w:val="2"/>
        </w:numPr>
      </w:pPr>
      <w:r w:rsidRPr="00C13D11">
        <w:rPr>
          <w:i/>
        </w:rPr>
        <w:t xml:space="preserve">mcs-Table </w:t>
      </w:r>
      <w:r>
        <w:t>in PDSCH-Config: Currently a mandatory parameter.</w:t>
      </w:r>
    </w:p>
    <w:p w:rsidR="00C13D11" w:rsidRDefault="008F0F9C" w:rsidP="008F0F9C">
      <w:pPr>
        <w:pStyle w:val="ListParagraph"/>
        <w:numPr>
          <w:ilvl w:val="0"/>
          <w:numId w:val="2"/>
        </w:numPr>
      </w:pPr>
      <w:r w:rsidRPr="00C13D11">
        <w:rPr>
          <w:i/>
        </w:rPr>
        <w:t>rateMatching</w:t>
      </w:r>
      <w:r w:rsidR="00C13D11">
        <w:t xml:space="preserve"> in PUSCH-Config: Optional with default value.</w:t>
      </w:r>
    </w:p>
    <w:p w:rsidR="00C13D11" w:rsidRDefault="008F0F9C" w:rsidP="008F0F9C">
      <w:pPr>
        <w:pStyle w:val="ListParagraph"/>
        <w:numPr>
          <w:ilvl w:val="0"/>
          <w:numId w:val="2"/>
        </w:numPr>
      </w:pPr>
      <w:r w:rsidRPr="00C13D11">
        <w:rPr>
          <w:i/>
        </w:rPr>
        <w:t>mcs-Table</w:t>
      </w:r>
      <w:r w:rsidR="00C13D11" w:rsidRPr="00C13D11">
        <w:rPr>
          <w:i/>
        </w:rPr>
        <w:t xml:space="preserve"> </w:t>
      </w:r>
      <w:r w:rsidR="00C13D11">
        <w:t>in PUSCH-Config: Optional with default value.</w:t>
      </w:r>
    </w:p>
    <w:p w:rsidR="00C13D11" w:rsidRDefault="008F0F9C" w:rsidP="008F0F9C">
      <w:pPr>
        <w:pStyle w:val="ListParagraph"/>
        <w:numPr>
          <w:ilvl w:val="0"/>
          <w:numId w:val="2"/>
        </w:numPr>
      </w:pPr>
      <w:r w:rsidRPr="00C13D11">
        <w:rPr>
          <w:i/>
        </w:rPr>
        <w:t>mcs-TableTransformPrecoder</w:t>
      </w:r>
      <w:r w:rsidR="00C13D11" w:rsidRPr="00C13D11">
        <w:rPr>
          <w:i/>
        </w:rPr>
        <w:t xml:space="preserve"> </w:t>
      </w:r>
      <w:r w:rsidR="00C13D11">
        <w:t>in PUSCH-Config: Optional with default value.</w:t>
      </w:r>
    </w:p>
    <w:p w:rsidR="008F0F9C" w:rsidRDefault="008F0F9C" w:rsidP="008F0F9C">
      <w:pPr>
        <w:pStyle w:val="ListParagraph"/>
        <w:numPr>
          <w:ilvl w:val="0"/>
          <w:numId w:val="2"/>
        </w:numPr>
      </w:pPr>
      <w:r w:rsidRPr="00C13D11">
        <w:rPr>
          <w:i/>
        </w:rPr>
        <w:t>transformPrecoder</w:t>
      </w:r>
      <w:r>
        <w:t xml:space="preserve"> in PUSCH-Config: </w:t>
      </w:r>
      <w:r w:rsidR="00C13D11">
        <w:t>Op</w:t>
      </w:r>
      <w:r>
        <w:t>t</w:t>
      </w:r>
      <w:r w:rsidR="00C13D11">
        <w:t>ional with default value</w:t>
      </w:r>
      <w:r>
        <w:t>.</w:t>
      </w:r>
    </w:p>
    <w:p w:rsidR="008F0F9C" w:rsidRDefault="008F0F9C" w:rsidP="008F0F9C">
      <w:r>
        <w:t>In the current format, all these parameters will be updated whenever the PDSCH-Config/PUSCH-Config is sent.  Thus the network implementation is responsible for maintaining consistent settings for the UE.  If we keep this structure, there should be some guidance to the UE, so that it is clear that the received value is applied at the UE-specific level and the UE implementation is not responsible for maintaining separate values per BWP.</w:t>
      </w:r>
    </w:p>
    <w:p w:rsidR="008F0F9C" w:rsidRDefault="008F0F9C" w:rsidP="008F0F9C">
      <w:r>
        <w:t>The alternative would be to disregard the default values, make all the fields OPTIONAL, and allow delta signalling for these parameters.  This approach seems technically feasible but would violate the guidance of the RAN1 spreadsheet regarding default values.</w:t>
      </w:r>
    </w:p>
    <w:p w:rsidR="008F0F9C" w:rsidRDefault="008F0F9C" w:rsidP="008F0F9C">
      <w:r>
        <w:rPr>
          <w:b/>
        </w:rPr>
        <w:t>Proposal 1:</w:t>
      </w:r>
      <w:r>
        <w:t xml:space="preserve"> For the parameters </w:t>
      </w:r>
      <w:r>
        <w:rPr>
          <w:i/>
        </w:rPr>
        <w:t>mcs-Table</w:t>
      </w:r>
      <w:r>
        <w:t xml:space="preserve"> in PDSCH-Config, and </w:t>
      </w:r>
      <w:r>
        <w:rPr>
          <w:i/>
        </w:rPr>
        <w:t>rateMatching</w:t>
      </w:r>
      <w:r>
        <w:t xml:space="preserve">, </w:t>
      </w:r>
      <w:r>
        <w:rPr>
          <w:i/>
        </w:rPr>
        <w:t>mcs-Table</w:t>
      </w:r>
      <w:r>
        <w:t xml:space="preserve">, </w:t>
      </w:r>
      <w:r>
        <w:rPr>
          <w:i/>
        </w:rPr>
        <w:t>mcs-TableTransformPrecoder</w:t>
      </w:r>
      <w:r>
        <w:t xml:space="preserve">, and </w:t>
      </w:r>
      <w:r>
        <w:rPr>
          <w:i/>
        </w:rPr>
        <w:t>transformPrecoder</w:t>
      </w:r>
      <w:r>
        <w:t xml:space="preserve"> in PUSCH-Config, determine which approach to adopt:</w:t>
      </w:r>
    </w:p>
    <w:p w:rsidR="008F0F9C" w:rsidRDefault="008F0F9C" w:rsidP="008F0F9C">
      <w:pPr>
        <w:pStyle w:val="ListParagraph"/>
        <w:numPr>
          <w:ilvl w:val="0"/>
          <w:numId w:val="3"/>
        </w:numPr>
      </w:pPr>
      <w:r>
        <w:t>Make the fields OPTIONAL without default values, and allow delta signalling;</w:t>
      </w:r>
    </w:p>
    <w:p w:rsidR="008F0F9C" w:rsidRPr="008F0F9C" w:rsidRDefault="008F0F9C" w:rsidP="008F0F9C">
      <w:pPr>
        <w:pStyle w:val="ListParagraph"/>
        <w:numPr>
          <w:ilvl w:val="0"/>
          <w:numId w:val="3"/>
        </w:numPr>
      </w:pPr>
      <w:r>
        <w:lastRenderedPageBreak/>
        <w:t>Leave the fields with their current mandatory/optional status including default values, and capture explicitly that the fields are UE-specific.</w:t>
      </w:r>
    </w:p>
    <w:p w:rsidR="008F0F9C" w:rsidRDefault="008F0F9C" w:rsidP="008F0F9C">
      <w:pPr>
        <w:pStyle w:val="Heading1"/>
      </w:pPr>
      <w:bookmarkStart w:id="6" w:name="OLE_LINK14"/>
      <w:r>
        <w:t>Conclusion</w:t>
      </w:r>
    </w:p>
    <w:p w:rsidR="008F0F9C" w:rsidRDefault="008F0F9C" w:rsidP="008F0F9C">
      <w:r>
        <w:rPr>
          <w:b/>
        </w:rPr>
        <w:t>Proposal 1:</w:t>
      </w:r>
      <w:r>
        <w:t xml:space="preserve"> For the parameters </w:t>
      </w:r>
      <w:r>
        <w:rPr>
          <w:i/>
        </w:rPr>
        <w:t>mcs-Table</w:t>
      </w:r>
      <w:r>
        <w:t xml:space="preserve"> in PDSCH-Config, and </w:t>
      </w:r>
      <w:r>
        <w:rPr>
          <w:i/>
        </w:rPr>
        <w:t>rateMatching</w:t>
      </w:r>
      <w:r>
        <w:t xml:space="preserve">, </w:t>
      </w:r>
      <w:r>
        <w:rPr>
          <w:i/>
        </w:rPr>
        <w:t>mcs-Table</w:t>
      </w:r>
      <w:r>
        <w:t xml:space="preserve">, </w:t>
      </w:r>
      <w:r>
        <w:rPr>
          <w:i/>
        </w:rPr>
        <w:t>mcs-TableTransformPrecoder</w:t>
      </w:r>
      <w:r>
        <w:t xml:space="preserve">, and </w:t>
      </w:r>
      <w:r>
        <w:rPr>
          <w:i/>
        </w:rPr>
        <w:t>transformPrecoder</w:t>
      </w:r>
      <w:r>
        <w:t xml:space="preserve"> in PUSCH-Config, determine which approach to adopt:</w:t>
      </w:r>
    </w:p>
    <w:bookmarkEnd w:id="6"/>
    <w:p w:rsidR="008F0F9C" w:rsidRDefault="008F0F9C" w:rsidP="008F0F9C">
      <w:pPr>
        <w:pStyle w:val="ListParagraph"/>
        <w:numPr>
          <w:ilvl w:val="0"/>
          <w:numId w:val="4"/>
        </w:numPr>
      </w:pPr>
      <w:r>
        <w:t>Make the fields OPTIONAL without default values, and allow delta signalling;</w:t>
      </w:r>
    </w:p>
    <w:p w:rsidR="008F0F9C" w:rsidRPr="008F0F9C" w:rsidRDefault="008F0F9C" w:rsidP="008F0F9C">
      <w:pPr>
        <w:pStyle w:val="ListParagraph"/>
        <w:numPr>
          <w:ilvl w:val="0"/>
          <w:numId w:val="4"/>
        </w:numPr>
      </w:pPr>
      <w:r>
        <w:t>Leave the fields with their current mandatory/optional status including default values, and capture explicitly that the fields are UE-specific.</w:t>
      </w:r>
    </w:p>
    <w:p w:rsidR="008F0F9C" w:rsidRDefault="008F0F9C" w:rsidP="008F0F9C">
      <w:pPr>
        <w:pStyle w:val="Heading1"/>
      </w:pPr>
      <w:r>
        <w:t>References</w:t>
      </w:r>
    </w:p>
    <w:p w:rsidR="008F0F9C" w:rsidRPr="008F0F9C" w:rsidRDefault="008F0F9C" w:rsidP="008F0F9C">
      <w:r>
        <w:t>[1] R1-1801347, “Summary of remaining issues on bandwidth part and wideband operation”, Huawei/HiSilicon, RAN1#92</w:t>
      </w:r>
    </w:p>
    <w:p w:rsidR="00C81D7D" w:rsidRDefault="00C81D7D"/>
    <w:p w:rsidR="008F0F9C" w:rsidRDefault="008F0F9C" w:rsidP="008F0F9C">
      <w:pPr>
        <w:pStyle w:val="Heading1"/>
      </w:pPr>
      <w:r>
        <w:t>Annex A: BWP-specific and UE-specific parameters</w:t>
      </w:r>
    </w:p>
    <w:p w:rsidR="008F0F9C" w:rsidRDefault="008F0F9C"/>
    <w:tbl>
      <w:tblPr>
        <w:tblW w:w="0" w:type="auto"/>
        <w:tblCellMar>
          <w:left w:w="0" w:type="dxa"/>
          <w:right w:w="0" w:type="dxa"/>
        </w:tblCellMar>
        <w:tblLook w:val="04A0" w:firstRow="1" w:lastRow="0" w:firstColumn="1" w:lastColumn="0" w:noHBand="0" w:noVBand="1"/>
      </w:tblPr>
      <w:tblGrid>
        <w:gridCol w:w="3262"/>
        <w:gridCol w:w="1965"/>
        <w:gridCol w:w="2231"/>
        <w:gridCol w:w="1882"/>
      </w:tblGrid>
      <w:tr w:rsidR="008F0F9C" w:rsidRPr="008F0F9C" w:rsidTr="008F0F9C">
        <w:tc>
          <w:tcPr>
            <w:tcW w:w="9533" w:type="dxa"/>
            <w:gridSpan w:val="4"/>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PDCCH-Config</w:t>
            </w:r>
          </w:p>
        </w:tc>
      </w:tr>
      <w:tr w:rsidR="008F0F9C" w:rsidRPr="008F0F9C" w:rsidTr="008F0F9C">
        <w:tc>
          <w:tcPr>
            <w:tcW w:w="2943"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RAN2 parameter name</w:t>
            </w:r>
          </w:p>
        </w:tc>
        <w:tc>
          <w:tcPr>
            <w:tcW w:w="2127"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RAN1 parameter name</w:t>
            </w:r>
          </w:p>
        </w:tc>
        <w:tc>
          <w:tcPr>
            <w:tcW w:w="2409"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Spreadsheet guidance</w:t>
            </w:r>
          </w:p>
        </w:tc>
        <w:tc>
          <w:tcPr>
            <w:tcW w:w="2054"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RAN1 guidance</w:t>
            </w:r>
          </w:p>
        </w:tc>
      </w:tr>
      <w:tr w:rsidR="008F0F9C" w:rsidRPr="008F0F9C" w:rsidTr="008F0F9C">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controlResourceSetToAddModList</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CORESET</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searchSpacesToAddModList</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search-space-config</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 – but also talks of the number that are configurable per BWP</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downlinkPreemption</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Multiple DL preemption parameters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 – but DL-preemption-int indicates “monitoring is done per DL BWP”</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Preemp-DL, int-TF-unit is BWP specific</w:t>
            </w:r>
          </w:p>
        </w:tc>
      </w:tr>
      <w:tr w:rsidR="008F0F9C" w:rsidRPr="008F0F9C" w:rsidTr="008F0F9C">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slotFormatIndicator</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SFI-PDCCH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29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timing</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Multiple timing parameters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bl>
    <w:p w:rsidR="008F0F9C" w:rsidRPr="008F0F9C" w:rsidRDefault="008F0F9C" w:rsidP="008F0F9C">
      <w:pPr>
        <w:spacing w:after="0"/>
        <w:rPr>
          <w:rFonts w:ascii="Arial" w:eastAsia="SimSun" w:hAnsi="Arial" w:cs="Arial"/>
          <w:sz w:val="22"/>
          <w:szCs w:val="22"/>
          <w:lang w:val="en-US" w:eastAsia="zh-CN"/>
        </w:rPr>
      </w:pPr>
    </w:p>
    <w:p w:rsidR="008F0F9C" w:rsidRPr="008F0F9C" w:rsidRDefault="008F0F9C" w:rsidP="008F0F9C">
      <w:pPr>
        <w:spacing w:after="0"/>
        <w:rPr>
          <w:rFonts w:ascii="Arial" w:eastAsia="SimSun" w:hAnsi="Arial" w:cs="Arial"/>
          <w:sz w:val="22"/>
          <w:szCs w:val="22"/>
          <w:lang w:val="en-US" w:eastAsia="zh-CN"/>
        </w:rPr>
      </w:pPr>
    </w:p>
    <w:tbl>
      <w:tblPr>
        <w:tblW w:w="0" w:type="dxa"/>
        <w:tblCellMar>
          <w:left w:w="0" w:type="dxa"/>
          <w:right w:w="0" w:type="dxa"/>
        </w:tblCellMar>
        <w:tblLook w:val="04A0" w:firstRow="1" w:lastRow="0" w:firstColumn="1" w:lastColumn="0" w:noHBand="0" w:noVBand="1"/>
      </w:tblPr>
      <w:tblGrid>
        <w:gridCol w:w="3874"/>
        <w:gridCol w:w="1993"/>
        <w:gridCol w:w="1904"/>
        <w:gridCol w:w="1569"/>
      </w:tblGrid>
      <w:tr w:rsidR="008F0F9C" w:rsidRPr="008F0F9C" w:rsidTr="008F0F9C">
        <w:tc>
          <w:tcPr>
            <w:tcW w:w="9548" w:type="dxa"/>
            <w:gridSpan w:val="4"/>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PDSCH-Config</w:t>
            </w:r>
          </w:p>
        </w:tc>
      </w:tr>
      <w:tr w:rsidR="008F0F9C" w:rsidRPr="008F0F9C" w:rsidTr="008F0F9C">
        <w:tc>
          <w:tcPr>
            <w:tcW w:w="3489"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RAN2 parameter name</w:t>
            </w:r>
          </w:p>
        </w:tc>
        <w:tc>
          <w:tcPr>
            <w:tcW w:w="2148"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RAN1 parameter name</w:t>
            </w:r>
          </w:p>
        </w:tc>
        <w:tc>
          <w:tcPr>
            <w:tcW w:w="2126"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Spreadsheet guidance</w:t>
            </w:r>
          </w:p>
        </w:tc>
        <w:tc>
          <w:tcPr>
            <w:tcW w:w="1785"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RAN1 guidance</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codeBlockGroupTransmission</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CBG-DL</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maxCodeBlockGroupsPerTransportBlock</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CBGs-per-TB-DL</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codeBlockGroupFlushIndicator</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CBG-DL-FI</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dmrs-Downlink</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Multiple DMRS parameters</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 xml:space="preserve">BWP specific </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phaseTracking-RS</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Multiple PTRS parameters</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 (DL-PTRS-frequency-density-table, DL-</w:t>
            </w:r>
            <w:r w:rsidRPr="008F0F9C">
              <w:rPr>
                <w:rFonts w:ascii="Arial" w:eastAsia="SimSun" w:hAnsi="Arial" w:cs="Arial"/>
                <w:lang w:val="en-US" w:eastAsia="zh-CN"/>
              </w:rPr>
              <w:lastRenderedPageBreak/>
              <w:t>PTRS-time-density-table)</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 (others)</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lastRenderedPageBreak/>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tci-States</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TCI-States</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xOverhead</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Xoh-PDSCH</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vrb-to-PRB-Interleaver</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VRB-to-PRB-interleaver</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resourceAllocation</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Resouce-allocation-config</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pdsch-SymbolAllocation</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PDSCH-symbol-allocation</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rateMatchPatterns</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rate-match-PDSCH-resource-set</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Cell specific (in Resource-set-cell) and BWP specific (in Resource-set-BWP)</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lte-CRS-ToMatchAround</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Multiple frame structure parameters</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RBG size</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rbg-size-PDSCH</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mcs-Table</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MCS-Table-PDSCH</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maxNrofCodeWordsScheduledByDCI</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Number-MCS-HARQ-DL-DCI</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nrofHARQ-processesForPDSCH</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number-HARQ-process-PDSCH</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Configured per cell for a UE</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harq-ACK-Codebook</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HARQ-ACK-codebook</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pdsch-BundleSize</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PDSCH-bundle-size</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prbBundlingEnabled</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PRB_bundling</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3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zp-CSI-RS-Resources</w:t>
            </w:r>
          </w:p>
        </w:tc>
        <w:tc>
          <w:tcPr>
            <w:tcW w:w="214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ZP-CSI-RS-ResourceConfig</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bl>
    <w:p w:rsidR="008F0F9C" w:rsidRPr="008F0F9C" w:rsidRDefault="008F0F9C" w:rsidP="008F0F9C">
      <w:pPr>
        <w:spacing w:after="0"/>
        <w:rPr>
          <w:rFonts w:ascii="Arial" w:eastAsia="SimSun" w:hAnsi="Arial" w:cs="Arial"/>
          <w:sz w:val="22"/>
          <w:szCs w:val="22"/>
          <w:lang w:val="en-US" w:eastAsia="zh-CN"/>
        </w:rPr>
      </w:pPr>
    </w:p>
    <w:p w:rsidR="008F0F9C" w:rsidRPr="008F0F9C" w:rsidRDefault="008F0F9C" w:rsidP="008F0F9C">
      <w:pPr>
        <w:spacing w:after="0"/>
        <w:rPr>
          <w:rFonts w:ascii="Arial" w:eastAsia="SimSun" w:hAnsi="Arial" w:cs="Arial"/>
          <w:sz w:val="22"/>
          <w:szCs w:val="22"/>
          <w:lang w:val="en-US" w:eastAsia="zh-CN"/>
        </w:rPr>
      </w:pPr>
    </w:p>
    <w:tbl>
      <w:tblPr>
        <w:tblW w:w="0" w:type="auto"/>
        <w:tblCellMar>
          <w:left w:w="0" w:type="dxa"/>
          <w:right w:w="0" w:type="dxa"/>
        </w:tblCellMar>
        <w:tblLook w:val="04A0" w:firstRow="1" w:lastRow="0" w:firstColumn="1" w:lastColumn="0" w:noHBand="0" w:noVBand="1"/>
      </w:tblPr>
      <w:tblGrid>
        <w:gridCol w:w="3129"/>
        <w:gridCol w:w="2824"/>
        <w:gridCol w:w="1547"/>
        <w:gridCol w:w="1840"/>
      </w:tblGrid>
      <w:tr w:rsidR="008F0F9C" w:rsidRPr="008F0F9C" w:rsidTr="008F0F9C">
        <w:tc>
          <w:tcPr>
            <w:tcW w:w="9533" w:type="dxa"/>
            <w:gridSpan w:val="4"/>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PUCCH-Config</w:t>
            </w:r>
          </w:p>
        </w:tc>
      </w:tr>
      <w:tr w:rsidR="008F0F9C" w:rsidRPr="008F0F9C" w:rsidTr="008F0F9C">
        <w:tc>
          <w:tcPr>
            <w:tcW w:w="315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RAN2 parameter name</w:t>
            </w:r>
          </w:p>
        </w:tc>
        <w:tc>
          <w:tcPr>
            <w:tcW w:w="2908"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RAN1 parameter name</w:t>
            </w:r>
          </w:p>
        </w:tc>
        <w:tc>
          <w:tcPr>
            <w:tcW w:w="1559"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Spreadsheet guidance</w:t>
            </w:r>
          </w:p>
        </w:tc>
        <w:tc>
          <w:tcPr>
            <w:tcW w:w="1912"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RAN1 guidance</w:t>
            </w:r>
          </w:p>
        </w:tc>
      </w:tr>
      <w:tr w:rsidR="008F0F9C" w:rsidRPr="008F0F9C" w:rsidTr="008F0F9C">
        <w:tc>
          <w:tcPr>
            <w:tcW w:w="3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resourceSets</w:t>
            </w:r>
          </w:p>
        </w:tc>
        <w:tc>
          <w:tcPr>
            <w:tcW w:w="290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PUCCH-resource-set</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BWP-specific</w:t>
            </w:r>
          </w:p>
        </w:tc>
      </w:tr>
      <w:tr w:rsidR="008F0F9C" w:rsidRPr="008F0F9C" w:rsidTr="008F0F9C">
        <w:tc>
          <w:tcPr>
            <w:tcW w:w="3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format1</w:t>
            </w:r>
          </w:p>
        </w:tc>
        <w:tc>
          <w:tcPr>
            <w:tcW w:w="290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PUCCH-F1-resource-config</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BWP-specific</w:t>
            </w:r>
          </w:p>
        </w:tc>
      </w:tr>
      <w:tr w:rsidR="008F0F9C" w:rsidRPr="008F0F9C" w:rsidTr="008F0F9C">
        <w:tc>
          <w:tcPr>
            <w:tcW w:w="3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format2</w:t>
            </w:r>
          </w:p>
        </w:tc>
        <w:tc>
          <w:tcPr>
            <w:tcW w:w="290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PUCCH-F2-resource-config</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BWP-specific</w:t>
            </w:r>
          </w:p>
        </w:tc>
      </w:tr>
      <w:tr w:rsidR="008F0F9C" w:rsidRPr="008F0F9C" w:rsidTr="008F0F9C">
        <w:tc>
          <w:tcPr>
            <w:tcW w:w="3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format3</w:t>
            </w:r>
          </w:p>
        </w:tc>
        <w:tc>
          <w:tcPr>
            <w:tcW w:w="290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PUCCH-F3-resource-config</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BWP-specific</w:t>
            </w:r>
          </w:p>
        </w:tc>
      </w:tr>
      <w:tr w:rsidR="008F0F9C" w:rsidRPr="008F0F9C" w:rsidTr="008F0F9C">
        <w:tc>
          <w:tcPr>
            <w:tcW w:w="3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format4</w:t>
            </w:r>
          </w:p>
        </w:tc>
        <w:tc>
          <w:tcPr>
            <w:tcW w:w="290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PUCCH-F4-resource-config</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BWP-specific</w:t>
            </w:r>
          </w:p>
        </w:tc>
      </w:tr>
      <w:tr w:rsidR="008F0F9C" w:rsidRPr="008F0F9C" w:rsidTr="008F0F9C">
        <w:tc>
          <w:tcPr>
            <w:tcW w:w="3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schedulingRequestResources</w:t>
            </w:r>
          </w:p>
        </w:tc>
        <w:tc>
          <w:tcPr>
            <w:tcW w:w="290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SR-configurations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BWP-specific</w:t>
            </w:r>
          </w:p>
        </w:tc>
      </w:tr>
      <w:tr w:rsidR="008F0F9C" w:rsidRPr="008F0F9C" w:rsidTr="008F0F9C">
        <w:tc>
          <w:tcPr>
            <w:tcW w:w="3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scramblingID</w:t>
            </w:r>
          </w:p>
        </w:tc>
        <w:tc>
          <w:tcPr>
            <w:tcW w:w="290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ScramblingID</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3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spatialRelationInfo</w:t>
            </w:r>
          </w:p>
        </w:tc>
        <w:tc>
          <w:tcPr>
            <w:tcW w:w="290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PUCCH-SpatialRelationInfo</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BWP-specific</w:t>
            </w:r>
          </w:p>
        </w:tc>
      </w:tr>
      <w:tr w:rsidR="008F0F9C" w:rsidRPr="008F0F9C" w:rsidTr="008F0F9C">
        <w:tc>
          <w:tcPr>
            <w:tcW w:w="31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pucch-PowerControl</w:t>
            </w:r>
          </w:p>
        </w:tc>
        <w:tc>
          <w:tcPr>
            <w:tcW w:w="290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TPC-PUCCH-RNTI</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p0-pucch-set</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pucch-pathlossReference-rs-config</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num-pucch-pcadjustment-states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912"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bl>
    <w:p w:rsidR="008F0F9C" w:rsidRPr="008F0F9C" w:rsidRDefault="008F0F9C" w:rsidP="008F0F9C">
      <w:pPr>
        <w:spacing w:after="0"/>
        <w:rPr>
          <w:rFonts w:ascii="Arial" w:eastAsia="SimSun" w:hAnsi="Arial" w:cs="Arial"/>
          <w:sz w:val="22"/>
          <w:szCs w:val="22"/>
          <w:lang w:val="en-US" w:eastAsia="zh-CN"/>
        </w:rPr>
      </w:pPr>
    </w:p>
    <w:p w:rsidR="008F0F9C" w:rsidRPr="008F0F9C" w:rsidRDefault="008F0F9C" w:rsidP="008F0F9C">
      <w:pPr>
        <w:spacing w:after="0"/>
        <w:rPr>
          <w:rFonts w:ascii="Arial" w:eastAsia="SimSun" w:hAnsi="Arial" w:cs="Arial"/>
          <w:sz w:val="22"/>
          <w:szCs w:val="22"/>
          <w:lang w:val="en-US" w:eastAsia="zh-CN"/>
        </w:rPr>
      </w:pPr>
    </w:p>
    <w:tbl>
      <w:tblPr>
        <w:tblW w:w="0" w:type="dxa"/>
        <w:tblCellMar>
          <w:left w:w="0" w:type="dxa"/>
          <w:right w:w="0" w:type="dxa"/>
        </w:tblCellMar>
        <w:tblLook w:val="04A0" w:firstRow="1" w:lastRow="0" w:firstColumn="1" w:lastColumn="0" w:noHBand="0" w:noVBand="1"/>
      </w:tblPr>
      <w:tblGrid>
        <w:gridCol w:w="3874"/>
        <w:gridCol w:w="2607"/>
        <w:gridCol w:w="1609"/>
        <w:gridCol w:w="1250"/>
      </w:tblGrid>
      <w:tr w:rsidR="008F0F9C" w:rsidRPr="008F0F9C" w:rsidTr="008F0F9C">
        <w:tc>
          <w:tcPr>
            <w:tcW w:w="9548" w:type="dxa"/>
            <w:gridSpan w:val="4"/>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PUSCH-Config</w:t>
            </w:r>
          </w:p>
        </w:tc>
      </w:tr>
      <w:tr w:rsidR="008F0F9C" w:rsidRPr="008F0F9C" w:rsidTr="008F0F9C">
        <w:tc>
          <w:tcPr>
            <w:tcW w:w="2660"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RAN2 parameter name</w:t>
            </w:r>
          </w:p>
        </w:tc>
        <w:tc>
          <w:tcPr>
            <w:tcW w:w="2835"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RAN1 parameter name</w:t>
            </w:r>
          </w:p>
        </w:tc>
        <w:tc>
          <w:tcPr>
            <w:tcW w:w="2268"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Spreadsheet guidance</w:t>
            </w:r>
          </w:p>
        </w:tc>
        <w:tc>
          <w:tcPr>
            <w:tcW w:w="1785"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8F0F9C" w:rsidRPr="008F0F9C" w:rsidRDefault="008F0F9C" w:rsidP="008F0F9C">
            <w:pPr>
              <w:spacing w:after="0"/>
              <w:rPr>
                <w:rFonts w:ascii="Arial" w:eastAsia="SimSun" w:hAnsi="Arial" w:cs="Arial"/>
                <w:b/>
                <w:bCs/>
                <w:lang w:val="en-US" w:eastAsia="zh-CN"/>
              </w:rPr>
            </w:pPr>
            <w:r w:rsidRPr="008F0F9C">
              <w:rPr>
                <w:rFonts w:ascii="Arial" w:eastAsia="SimSun" w:hAnsi="Arial" w:cs="Arial"/>
                <w:b/>
                <w:bCs/>
                <w:lang w:val="en-US" w:eastAsia="zh-CN"/>
              </w:rPr>
              <w:t>RAN1 guidance</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codeBlockGroupTransmission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CBG-UL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maxCodeBlockGroupsPerTransportBlock</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CBGs-per-TB-UL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dmrs-Uplink</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UL-DMRS-config-type</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UL-DMRS-add-pos</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Multiple PTRS parameters</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UL-DMRS-max-len</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UL-DMRS-Scrambling-ID</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nDMRS-CSH-Identity-Transform-precoding</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nPUSCH-Identity-Transform-precoding</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Disable-sequence-group-hopping-Transform-precoding</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Sequence-hopping-enabled-Transform-precoding</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Activate-DMRS-with OCC-Transform-predocing</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CyclicShift-Transform-precoding</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groupAssignmentPUSCH-Transform-precoding</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pusch-PowerControl</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TPC-PUSCH-RNTI</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Accumulation-enabled</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alpha-ue-pusch-msg3</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p0-nominal-pusch-withoutgrant</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p0-push-alpha-setconfig</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pusch-pathlossReference-rs-config</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num-pusch-pcadjustment-states</w:t>
            </w:r>
          </w:p>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deltaMCS-Enabled</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frequencyHopping</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Frequency-hopping-PUSCH</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rateMatching</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LBRM-FBRM-selection</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resourceAllocation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Resouce-allocation-config</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mcs-Table</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MCS-Table-PUSCH</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mcs-TableTransformPrecoder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MCS-Table-PUSCH-transform-precoding</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transformPrecoder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PUSCH-tp</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rbg-Size</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RBG-size-PUSCH</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uci-on-PUSCH</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UCI-on-PUSCH</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lastRenderedPageBreak/>
              <w:t>xOverhead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Xoh-PUSCH</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r w:rsidR="008F0F9C" w:rsidRPr="008F0F9C" w:rsidTr="008F0F9C">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frequencyHoppingOffsets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Frequency-hopping-offsets-set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UE specific</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8F0F9C" w:rsidRPr="008F0F9C" w:rsidRDefault="008F0F9C" w:rsidP="008F0F9C">
            <w:pPr>
              <w:spacing w:after="0"/>
              <w:rPr>
                <w:rFonts w:ascii="Arial" w:eastAsia="SimSun" w:hAnsi="Arial" w:cs="Arial"/>
                <w:lang w:val="en-US" w:eastAsia="zh-CN"/>
              </w:rPr>
            </w:pPr>
            <w:r w:rsidRPr="008F0F9C">
              <w:rPr>
                <w:rFonts w:ascii="Arial" w:eastAsia="SimSun" w:hAnsi="Arial" w:cs="Arial"/>
                <w:lang w:val="en-US" w:eastAsia="zh-CN"/>
              </w:rPr>
              <w:t>BWP specific</w:t>
            </w:r>
          </w:p>
        </w:tc>
      </w:tr>
    </w:tbl>
    <w:p w:rsidR="008F0F9C" w:rsidRPr="008F0F9C" w:rsidRDefault="008F0F9C" w:rsidP="008F0F9C">
      <w:pPr>
        <w:spacing w:after="0"/>
        <w:rPr>
          <w:rFonts w:ascii="Calibri" w:eastAsia="SimSun" w:hAnsi="Calibri" w:cs="SimSun"/>
          <w:color w:val="1F497D"/>
          <w:sz w:val="21"/>
          <w:szCs w:val="21"/>
          <w:lang w:val="en-US" w:eastAsia="zh-CN"/>
        </w:rPr>
      </w:pPr>
    </w:p>
    <w:p w:rsidR="008F0F9C" w:rsidRDefault="008F0F9C"/>
    <w:sectPr w:rsidR="008F0F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E30A8C68"/>
    <w:lvl w:ilvl="0">
      <w:start w:val="1"/>
      <w:numFmt w:val="decimal"/>
      <w:pStyle w:val="Heading1"/>
      <w:lvlText w:val="%1"/>
      <w:lvlJc w:val="left"/>
      <w:pPr>
        <w:tabs>
          <w:tab w:val="num" w:pos="432"/>
        </w:tabs>
        <w:ind w:left="432" w:hanging="432"/>
      </w:pPr>
      <w:rPr>
        <w:rFonts w:ascii="Arial" w:hAnsi="Arial" w:cs="Arial" w:hint="default"/>
        <w:b w:val="0"/>
      </w:rPr>
    </w:lvl>
    <w:lvl w:ilvl="1">
      <w:start w:val="1"/>
      <w:numFmt w:val="decimal"/>
      <w:pStyle w:val="Heading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EE64C9"/>
    <w:multiLevelType w:val="hybridMultilevel"/>
    <w:tmpl w:val="CBFAC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03721"/>
    <w:multiLevelType w:val="hybridMultilevel"/>
    <w:tmpl w:val="B4443AE8"/>
    <w:lvl w:ilvl="0" w:tplc="D1149514">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B8799A"/>
    <w:multiLevelType w:val="hybridMultilevel"/>
    <w:tmpl w:val="CBFAC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F9C"/>
    <w:rsid w:val="00040377"/>
    <w:rsid w:val="00091E34"/>
    <w:rsid w:val="000A2564"/>
    <w:rsid w:val="000B3449"/>
    <w:rsid w:val="000D32BA"/>
    <w:rsid w:val="000E7C5C"/>
    <w:rsid w:val="001300A4"/>
    <w:rsid w:val="002045E1"/>
    <w:rsid w:val="00235A0B"/>
    <w:rsid w:val="0029795A"/>
    <w:rsid w:val="00322A6E"/>
    <w:rsid w:val="003657EB"/>
    <w:rsid w:val="00373A88"/>
    <w:rsid w:val="00474E02"/>
    <w:rsid w:val="004F4727"/>
    <w:rsid w:val="00591030"/>
    <w:rsid w:val="005934F5"/>
    <w:rsid w:val="006528E4"/>
    <w:rsid w:val="006C27D5"/>
    <w:rsid w:val="007279EF"/>
    <w:rsid w:val="00757939"/>
    <w:rsid w:val="007C3958"/>
    <w:rsid w:val="00815771"/>
    <w:rsid w:val="00835E7B"/>
    <w:rsid w:val="00843DE9"/>
    <w:rsid w:val="008F0F9C"/>
    <w:rsid w:val="00996D94"/>
    <w:rsid w:val="00A654D0"/>
    <w:rsid w:val="00A75F27"/>
    <w:rsid w:val="00BD07C1"/>
    <w:rsid w:val="00C13D11"/>
    <w:rsid w:val="00C73978"/>
    <w:rsid w:val="00C81D7D"/>
    <w:rsid w:val="00D01B5D"/>
    <w:rsid w:val="00DC5C66"/>
    <w:rsid w:val="00E4797A"/>
    <w:rsid w:val="00E56A17"/>
    <w:rsid w:val="00EA0DD7"/>
    <w:rsid w:val="00EB01A7"/>
    <w:rsid w:val="00EC73C1"/>
    <w:rsid w:val="00F0688B"/>
    <w:rsid w:val="00F26C48"/>
    <w:rsid w:val="00F54A85"/>
    <w:rsid w:val="00F72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4203F-D9DD-435E-B6E1-99708E41F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F9C"/>
    <w:pPr>
      <w:spacing w:after="180" w:line="240" w:lineRule="auto"/>
    </w:pPr>
    <w:rPr>
      <w:rFonts w:ascii="Times New Roman" w:eastAsia="DengXian" w:hAnsi="Times New Roman" w:cs="Times New Roman"/>
      <w:sz w:val="20"/>
      <w:szCs w:val="20"/>
      <w:lang w:val="en-GB"/>
    </w:rPr>
  </w:style>
  <w:style w:type="paragraph" w:styleId="Heading1">
    <w:name w:val="heading 1"/>
    <w:aliases w:val="H1,h1,Heading 1 3GPP"/>
    <w:next w:val="Normal"/>
    <w:link w:val="Heading1Char"/>
    <w:qFormat/>
    <w:rsid w:val="008F0F9C"/>
    <w:pPr>
      <w:keepNext/>
      <w:keepLines/>
      <w:numPr>
        <w:numId w:val="1"/>
      </w:numPr>
      <w:pBdr>
        <w:top w:val="single" w:sz="12" w:space="3" w:color="auto"/>
      </w:pBdr>
      <w:spacing w:before="240" w:after="180" w:line="240" w:lineRule="auto"/>
      <w:outlineLvl w:val="0"/>
    </w:pPr>
    <w:rPr>
      <w:rFonts w:ascii="Arial" w:eastAsia="DengXian" w:hAnsi="Arial" w:cs="Times New Roman"/>
      <w:sz w:val="36"/>
      <w:szCs w:val="20"/>
      <w:lang w:val="en-GB"/>
    </w:rPr>
  </w:style>
  <w:style w:type="paragraph" w:styleId="Heading2">
    <w:name w:val="heading 2"/>
    <w:basedOn w:val="Heading1"/>
    <w:next w:val="Normal"/>
    <w:link w:val="Heading2Char"/>
    <w:qFormat/>
    <w:rsid w:val="008F0F9C"/>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8F0F9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0F9C"/>
    <w:pPr>
      <w:numPr>
        <w:ilvl w:val="3"/>
        <w:numId w:val="1"/>
      </w:numPr>
      <w:spacing w:before="120" w:after="180"/>
      <w:outlineLvl w:val="3"/>
    </w:pPr>
    <w:rPr>
      <w:rFonts w:ascii="Arial" w:eastAsia="DengXi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F0F9C"/>
    <w:rPr>
      <w:rFonts w:ascii="Arial" w:eastAsia="DengXian" w:hAnsi="Arial" w:cs="Times New Roman"/>
      <w:sz w:val="36"/>
      <w:szCs w:val="20"/>
      <w:lang w:val="en-GB"/>
    </w:rPr>
  </w:style>
  <w:style w:type="character" w:customStyle="1" w:styleId="Heading2Char">
    <w:name w:val="Heading 2 Char"/>
    <w:basedOn w:val="DefaultParagraphFont"/>
    <w:link w:val="Heading2"/>
    <w:rsid w:val="008F0F9C"/>
    <w:rPr>
      <w:rFonts w:ascii="Arial" w:eastAsia="DengXian" w:hAnsi="Arial" w:cs="Times New Roman"/>
      <w:sz w:val="32"/>
      <w:szCs w:val="20"/>
      <w:lang w:val="en-GB"/>
    </w:rPr>
  </w:style>
  <w:style w:type="character" w:customStyle="1" w:styleId="Heading4Char">
    <w:name w:val="Heading 4 Char"/>
    <w:basedOn w:val="DefaultParagraphFont"/>
    <w:link w:val="Heading4"/>
    <w:rsid w:val="008F0F9C"/>
    <w:rPr>
      <w:rFonts w:ascii="Arial" w:eastAsia="DengXian" w:hAnsi="Arial" w:cs="Times New Roman"/>
      <w:sz w:val="24"/>
      <w:szCs w:val="20"/>
      <w:lang w:val="en-GB"/>
    </w:rPr>
  </w:style>
  <w:style w:type="paragraph" w:customStyle="1" w:styleId="CRCoverPage">
    <w:name w:val="CR Cover Page"/>
    <w:link w:val="CRCoverPageZchn"/>
    <w:rsid w:val="008F0F9C"/>
    <w:pPr>
      <w:spacing w:after="120" w:line="240" w:lineRule="auto"/>
    </w:pPr>
    <w:rPr>
      <w:rFonts w:ascii="Arial" w:eastAsia="DengXian" w:hAnsi="Arial" w:cs="Times New Roman"/>
      <w:sz w:val="20"/>
      <w:szCs w:val="20"/>
      <w:lang w:val="en-GB" w:eastAsia="ko-KR"/>
    </w:rPr>
  </w:style>
  <w:style w:type="character" w:customStyle="1" w:styleId="CRCoverPageZchn">
    <w:name w:val="CR Cover Page Zchn"/>
    <w:link w:val="CRCoverPage"/>
    <w:rsid w:val="008F0F9C"/>
    <w:rPr>
      <w:rFonts w:ascii="Arial" w:eastAsia="DengXian" w:hAnsi="Arial" w:cs="Times New Roman"/>
      <w:sz w:val="20"/>
      <w:szCs w:val="20"/>
      <w:lang w:val="en-GB" w:eastAsia="ko-KR"/>
    </w:rPr>
  </w:style>
  <w:style w:type="character" w:customStyle="1" w:styleId="Heading3Char">
    <w:name w:val="Heading 3 Char"/>
    <w:basedOn w:val="DefaultParagraphFont"/>
    <w:link w:val="Heading3"/>
    <w:uiPriority w:val="9"/>
    <w:semiHidden/>
    <w:rsid w:val="008F0F9C"/>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8F0F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461450">
      <w:bodyDiv w:val="1"/>
      <w:marLeft w:val="0"/>
      <w:marRight w:val="0"/>
      <w:marTop w:val="0"/>
      <w:marBottom w:val="0"/>
      <w:divBdr>
        <w:top w:val="none" w:sz="0" w:space="0" w:color="auto"/>
        <w:left w:val="none" w:sz="0" w:space="0" w:color="auto"/>
        <w:bottom w:val="none" w:sz="0" w:space="0" w:color="auto"/>
        <w:right w:val="none" w:sz="0" w:space="0" w:color="auto"/>
      </w:divBdr>
    </w:div>
    <w:div w:id="1133909603">
      <w:bodyDiv w:val="1"/>
      <w:marLeft w:val="0"/>
      <w:marRight w:val="0"/>
      <w:marTop w:val="0"/>
      <w:marBottom w:val="0"/>
      <w:divBdr>
        <w:top w:val="none" w:sz="0" w:space="0" w:color="auto"/>
        <w:left w:val="none" w:sz="0" w:space="0" w:color="auto"/>
        <w:bottom w:val="none" w:sz="0" w:space="0" w:color="auto"/>
        <w:right w:val="none" w:sz="0" w:space="0" w:color="auto"/>
      </w:divBdr>
    </w:div>
    <w:div w:id="152266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1194</Words>
  <Characters>6812</Characters>
  <Application>Microsoft Office Word</Application>
  <DocSecurity>0</DocSecurity>
  <Lines>56</Lines>
  <Paragraphs>15</Paragraphs>
  <ScaleCrop>false</ScaleCrop>
  <Company>Huawei Technologies Co.,Ltd.</Company>
  <LinksUpToDate>false</LinksUpToDate>
  <CharactersWithSpaces>7991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Huawei_Class2</dc:creator>
  <cp:keywords/>
  <dc:description/>
  <cp:lastModifiedBy>Huawei_DiscussionSummary</cp:lastModifiedBy>
  <cp:revision>3</cp:revision>
  <dcterms:created xsi:type="dcterms:W3CDTF">2018-02-20T16:24:00Z</dcterms:created>
  <dcterms:modified xsi:type="dcterms:W3CDTF">2018-02-21T02:12:00Z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1519171242</vt:lpwstr>
  </property>
</Properties>
</file>