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63424DBF" w:rsidR="00584ABE" w:rsidRPr="00C536F2" w:rsidRDefault="00F40C33" w:rsidP="005923F4">
      <w:pPr>
        <w:pStyle w:val="3GPPHeader"/>
        <w:spacing w:after="60"/>
        <w:rPr>
          <w:rFonts w:ascii="Arial" w:hAnsi="Arial" w:cs="Arial"/>
        </w:rPr>
      </w:pPr>
      <w:bookmarkStart w:id="0" w:name="_Ref462817227"/>
      <w:r>
        <w:t>3GPP TSG-RAN WG2 Meeting #101</w:t>
      </w:r>
      <w:r w:rsidR="00B548DA" w:rsidRPr="00C536F2">
        <w:rPr>
          <w:rFonts w:ascii="Arial" w:hAnsi="Arial" w:cs="Arial"/>
        </w:rPr>
        <w:tab/>
      </w:r>
      <w:bookmarkStart w:id="1" w:name="_GoBack"/>
      <w:r w:rsidR="008E1D88">
        <w:rPr>
          <w:rFonts w:ascii="Arial" w:hAnsi="Arial" w:cs="Arial"/>
        </w:rPr>
        <w:t>R2-</w:t>
      </w:r>
      <w:r>
        <w:rPr>
          <w:rFonts w:ascii="Arial" w:hAnsi="Arial" w:cs="Arial"/>
        </w:rPr>
        <w:t>18</w:t>
      </w:r>
      <w:r w:rsidR="002F4796">
        <w:rPr>
          <w:rFonts w:ascii="Arial" w:hAnsi="Arial" w:cs="Arial"/>
        </w:rPr>
        <w:t>02011</w:t>
      </w:r>
      <w:bookmarkEnd w:id="1"/>
    </w:p>
    <w:p w14:paraId="7A9879CD" w14:textId="12D04503" w:rsidR="00584ABE" w:rsidRPr="007A3FE1" w:rsidRDefault="00C86997" w:rsidP="005923F4">
      <w:pPr>
        <w:pStyle w:val="3GPPHeader"/>
        <w:spacing w:after="60"/>
        <w:rPr>
          <w:rFonts w:ascii="Arial" w:hAnsi="Arial" w:cs="Arial"/>
          <w:b w:val="0"/>
          <w:noProof/>
        </w:rPr>
      </w:pPr>
      <w:r>
        <w:t>Athens</w:t>
      </w:r>
      <w:r w:rsidR="008E1D88" w:rsidRPr="0038629C">
        <w:t xml:space="preserve">, </w:t>
      </w:r>
      <w:r>
        <w:t>Greece,</w:t>
      </w:r>
      <w:r w:rsidR="008E1D88" w:rsidRPr="0038629C">
        <w:t xml:space="preserve"> </w:t>
      </w:r>
      <w:r>
        <w:t>26th February</w:t>
      </w:r>
      <w:r w:rsidR="008E1D88" w:rsidRPr="0038629C">
        <w:t xml:space="preserve"> – </w:t>
      </w:r>
      <w:r>
        <w:t>2</w:t>
      </w:r>
      <w:r w:rsidRPr="009C08B0">
        <w:rPr>
          <w:vertAlign w:val="superscript"/>
        </w:rPr>
        <w:t>nd</w:t>
      </w:r>
      <w:r>
        <w:t xml:space="preserve"> March</w:t>
      </w:r>
      <w:r w:rsidR="008E1D88" w:rsidRPr="0038629C">
        <w:t xml:space="preserve"> 2018</w:t>
      </w:r>
      <w:r w:rsidR="00F40C33">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06A4FFD1" w:rsidR="00584ABE" w:rsidRPr="007A3FE1" w:rsidRDefault="00584ABE" w:rsidP="005923F4">
      <w:pPr>
        <w:pStyle w:val="3GPPHeader"/>
        <w:rPr>
          <w:rFonts w:ascii="Arial" w:hAnsi="Arial" w:cs="Arial"/>
          <w:sz w:val="22"/>
        </w:rPr>
      </w:pPr>
      <w:r w:rsidRPr="007A3FE1">
        <w:rPr>
          <w:rFonts w:ascii="Arial" w:hAnsi="Arial" w:cs="Arial"/>
          <w:sz w:val="22"/>
        </w:rPr>
        <w:t>Agenda Item:</w:t>
      </w:r>
      <w:r w:rsidRPr="007A3FE1">
        <w:rPr>
          <w:rFonts w:ascii="Arial" w:hAnsi="Arial" w:cs="Arial"/>
          <w:sz w:val="22"/>
        </w:rPr>
        <w:tab/>
        <w:t>10.</w:t>
      </w:r>
      <w:r w:rsidR="000E5D8D">
        <w:rPr>
          <w:rFonts w:ascii="Arial" w:hAnsi="Arial" w:cs="Arial"/>
          <w:sz w:val="22"/>
        </w:rPr>
        <w:t>4.1.5.3</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06D5EE69"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C50C02">
        <w:rPr>
          <w:rFonts w:ascii="Arial" w:hAnsi="Arial" w:cs="Arial"/>
          <w:sz w:val="22"/>
        </w:rPr>
        <w:t>Bandwidth part operations</w:t>
      </w:r>
      <w:r w:rsidR="00E371BC">
        <w:rPr>
          <w:rFonts w:ascii="Arial" w:hAnsi="Arial" w:cs="Arial"/>
          <w:sz w:val="22"/>
        </w:rPr>
        <w:t xml:space="preserve"> </w:t>
      </w:r>
      <w:r w:rsidR="00C50C02">
        <w:rPr>
          <w:rFonts w:ascii="Arial" w:hAnsi="Arial" w:cs="Arial"/>
          <w:sz w:val="22"/>
        </w:rPr>
        <w:t>during handover</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27B77DD6" w14:textId="0769DE96" w:rsidR="00601ACA" w:rsidRDefault="00CE032F" w:rsidP="005923F4">
      <w:pPr>
        <w:pStyle w:val="Doc-text2"/>
        <w:ind w:left="0" w:firstLine="0"/>
        <w:rPr>
          <w:rFonts w:ascii="Arial" w:hAnsi="Arial" w:cs="Arial"/>
          <w:sz w:val="20"/>
          <w:szCs w:val="20"/>
        </w:rPr>
      </w:pPr>
      <w:r w:rsidRPr="00CE032F">
        <w:rPr>
          <w:rFonts w:ascii="Times New Roman" w:eastAsiaTheme="minorEastAsia" w:hAnsi="Times New Roman" w:cs="Times New Roman"/>
          <w:sz w:val="20"/>
          <w:szCs w:val="20"/>
          <w:lang w:eastAsia="en-US"/>
        </w:rPr>
        <w:t xml:space="preserve">The term “Bandwidth Part (BWP)” was introduced in RAN1#88 and refined in RAN1#88b and #89 meetings. It is referred to a group of contiguous </w:t>
      </w:r>
      <w:r>
        <w:rPr>
          <w:rFonts w:ascii="Times New Roman" w:eastAsiaTheme="minorEastAsia" w:hAnsi="Times New Roman" w:cs="Times New Roman"/>
          <w:sz w:val="20"/>
          <w:szCs w:val="20"/>
          <w:lang w:eastAsia="en-US"/>
        </w:rPr>
        <w:t>physical resource blocks</w:t>
      </w:r>
      <w:r w:rsidRPr="00CE032F">
        <w:rPr>
          <w:rFonts w:ascii="Times New Roman" w:eastAsiaTheme="minorEastAsia" w:hAnsi="Times New Roman" w:cs="Times New Roman"/>
          <w:sz w:val="20"/>
          <w:szCs w:val="20"/>
          <w:lang w:eastAsia="en-US"/>
        </w:rPr>
        <w:t xml:space="preserve"> in frequency domain associated with a specific numerology. The usage scenarios of BWP operation include enabling reduced UE bandwidth capability within a wideband carrier, enabling reduced UE power consumption by bandwidth adaptation, and enabling UE using different numerologies in FDM within a wideband carrier [1].</w:t>
      </w:r>
      <w:r w:rsidRPr="00CE032F">
        <w:rPr>
          <w:rFonts w:ascii="Arial" w:hAnsi="Arial" w:cs="Arial"/>
          <w:sz w:val="20"/>
          <w:szCs w:val="20"/>
        </w:rPr>
        <w:t xml:space="preserve">  </w:t>
      </w:r>
    </w:p>
    <w:p w14:paraId="173EF594" w14:textId="77777777" w:rsidR="00CE032F" w:rsidRPr="007A3FE1" w:rsidRDefault="00CE032F" w:rsidP="005923F4">
      <w:pPr>
        <w:pStyle w:val="Doc-text2"/>
        <w:ind w:left="0" w:firstLine="0"/>
        <w:rPr>
          <w:rFonts w:ascii="Arial" w:hAnsi="Arial" w:cs="Arial"/>
          <w:sz w:val="20"/>
          <w:szCs w:val="20"/>
        </w:rPr>
      </w:pPr>
    </w:p>
    <w:p w14:paraId="65019A00" w14:textId="5E4AA604" w:rsidR="00691F27" w:rsidRDefault="00CE032F" w:rsidP="00691F27">
      <w:pPr>
        <w:pStyle w:val="BodyText"/>
      </w:pPr>
      <w:r>
        <w:rPr>
          <w:rFonts w:ascii="Times New Roman" w:hAnsi="Times New Roman" w:cs="Times New Roman"/>
          <w:sz w:val="20"/>
          <w:szCs w:val="20"/>
          <w:lang w:eastAsia="en-US"/>
        </w:rPr>
        <w:t>RAN2 also discussed the impact of BWP operations</w:t>
      </w:r>
      <w:r w:rsidR="00633833">
        <w:rPr>
          <w:rFonts w:ascii="Times New Roman" w:hAnsi="Times New Roman" w:cs="Times New Roman"/>
          <w:sz w:val="20"/>
          <w:szCs w:val="20"/>
          <w:lang w:eastAsia="en-US"/>
        </w:rPr>
        <w:t>.</w:t>
      </w:r>
      <w:r>
        <w:rPr>
          <w:rFonts w:ascii="Times New Roman" w:hAnsi="Times New Roman" w:cs="Times New Roman"/>
          <w:sz w:val="20"/>
          <w:szCs w:val="20"/>
          <w:lang w:eastAsia="en-US"/>
        </w:rPr>
        <w:t xml:space="preserve"> The latest agreements in RAN2 NR AH1801 meeting are the following:</w:t>
      </w:r>
    </w:p>
    <w:p w14:paraId="097DE000"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Agreements for PCell and PSCell (applicability to SCells depends on offline on BWP signalling structure)</w:t>
      </w:r>
    </w:p>
    <w:p w14:paraId="3D0705FD"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1:</w:t>
      </w:r>
      <w:r w:rsidRPr="00691F27">
        <w:rPr>
          <w:rFonts w:ascii="Times New Roman" w:eastAsiaTheme="minorEastAsia" w:hAnsi="Times New Roman" w:cs="Times New Roman"/>
          <w:sz w:val="20"/>
          <w:szCs w:val="20"/>
          <w:lang w:eastAsia="en-US"/>
        </w:rPr>
        <w:tab/>
        <w:t>RAN2 understand that the SSB of the cell where Idle/inactive UE camps is the cell defining SSB.</w:t>
      </w:r>
    </w:p>
    <w:p w14:paraId="517D9845"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2</w:t>
      </w:r>
      <w:r w:rsidRPr="00691F27">
        <w:rPr>
          <w:rFonts w:ascii="Times New Roman" w:eastAsiaTheme="minorEastAsia" w:hAnsi="Times New Roman" w:cs="Times New Roman"/>
          <w:sz w:val="20"/>
          <w:szCs w:val="20"/>
          <w:lang w:eastAsia="en-US"/>
        </w:rPr>
        <w:tab/>
        <w:t xml:space="preserve">In idle/inactive system information provides the UE with the common configuration that corresponds to the Initial DL and UL BWP (and no other BWPs). </w:t>
      </w:r>
    </w:p>
    <w:p w14:paraId="5A477558"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FFS Whether the Initial BWP provided in SI and the Initial BWP provided in dedicated signalling are defined as 2 types to simply the specification. Stage 3 issue.</w:t>
      </w:r>
    </w:p>
    <w:p w14:paraId="026D887D"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2i</w:t>
      </w:r>
      <w:r w:rsidRPr="00691F27">
        <w:rPr>
          <w:rFonts w:ascii="Times New Roman" w:eastAsiaTheme="minorEastAsia" w:hAnsi="Times New Roman" w:cs="Times New Roman"/>
          <w:sz w:val="20"/>
          <w:szCs w:val="20"/>
          <w:lang w:eastAsia="en-US"/>
        </w:rPr>
        <w:tab/>
        <w:t>Common and dedicated configuration of the Initial BWP can be provided in RRC connected. Common configuration is only provided at synchronous reconfiguration.</w:t>
      </w:r>
    </w:p>
    <w:p w14:paraId="3F19DCE1"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2ii</w:t>
      </w:r>
      <w:r w:rsidRPr="00691F27">
        <w:rPr>
          <w:rFonts w:ascii="Times New Roman" w:eastAsiaTheme="minorEastAsia" w:hAnsi="Times New Roman" w:cs="Times New Roman"/>
          <w:sz w:val="20"/>
          <w:szCs w:val="20"/>
          <w:lang w:eastAsia="en-US"/>
        </w:rPr>
        <w:tab/>
        <w:t>Other BWPs can only be configured in RRC connected.</w:t>
      </w:r>
    </w:p>
    <w:p w14:paraId="5E3B89CB"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3</w:t>
      </w:r>
      <w:r w:rsidRPr="00691F27">
        <w:rPr>
          <w:rFonts w:ascii="Times New Roman" w:eastAsiaTheme="minorEastAsia" w:hAnsi="Times New Roman" w:cs="Times New Roman"/>
          <w:sz w:val="20"/>
          <w:szCs w:val="20"/>
          <w:lang w:eastAsia="en-US"/>
        </w:rPr>
        <w:tab/>
        <w:t>Idle/inactive UE monitors system information and paging information in the initial DL BWP.</w:t>
      </w:r>
    </w:p>
    <w:p w14:paraId="2D220A5D"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4</w:t>
      </w:r>
      <w:r w:rsidRPr="00691F27">
        <w:rPr>
          <w:rFonts w:ascii="Times New Roman" w:eastAsiaTheme="minorEastAsia" w:hAnsi="Times New Roman" w:cs="Times New Roman"/>
          <w:sz w:val="20"/>
          <w:szCs w:val="20"/>
          <w:lang w:eastAsia="en-US"/>
        </w:rPr>
        <w:tab/>
        <w:t>Idle/inactive UE performs random access in the initial UL/DL BWP.</w:t>
      </w:r>
    </w:p>
    <w:p w14:paraId="0DF44E8E"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5</w:t>
      </w:r>
      <w:r w:rsidRPr="00691F27">
        <w:rPr>
          <w:rFonts w:ascii="Times New Roman" w:eastAsiaTheme="minorEastAsia" w:hAnsi="Times New Roman" w:cs="Times New Roman"/>
          <w:sz w:val="20"/>
          <w:szCs w:val="20"/>
          <w:lang w:eastAsia="en-US"/>
        </w:rPr>
        <w:tab/>
        <w:t>Initial BWP configuration as provided in system information should be the same as the common configuration of the Initial BWP configuration provided in RRC connected provided at synchronous reconfiguration.</w:t>
      </w:r>
    </w:p>
    <w:p w14:paraId="70765CF9"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6</w:t>
      </w:r>
      <w:r w:rsidRPr="00691F27">
        <w:rPr>
          <w:rFonts w:ascii="Times New Roman" w:eastAsiaTheme="minorEastAsia" w:hAnsi="Times New Roman" w:cs="Times New Roman"/>
          <w:sz w:val="20"/>
          <w:szCs w:val="20"/>
          <w:lang w:eastAsia="en-US"/>
        </w:rPr>
        <w:tab/>
        <w:t>Upon transition to the idle state, UE releases all dedicated BWP configurations (and therefore UE applies the initial BWP configuration from system information of the cell where the UE is camped)</w:t>
      </w:r>
    </w:p>
    <w:p w14:paraId="07D9AFED"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7</w:t>
      </w:r>
      <w:r w:rsidRPr="00691F27">
        <w:rPr>
          <w:rFonts w:ascii="Times New Roman" w:eastAsiaTheme="minorEastAsia" w:hAnsi="Times New Roman" w:cs="Times New Roman"/>
          <w:sz w:val="20"/>
          <w:szCs w:val="20"/>
          <w:lang w:eastAsia="en-US"/>
        </w:rPr>
        <w:tab/>
        <w:t>Upon transition to the inactive state, UE applies the initial BWP configuration from system information of the cell where the UE is camped.</w:t>
      </w:r>
    </w:p>
    <w:p w14:paraId="453EC720"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8</w:t>
      </w:r>
      <w:r w:rsidRPr="00691F27">
        <w:rPr>
          <w:rFonts w:ascii="Times New Roman" w:eastAsiaTheme="minorEastAsia" w:hAnsi="Times New Roman" w:cs="Times New Roman"/>
          <w:sz w:val="20"/>
          <w:szCs w:val="20"/>
          <w:lang w:eastAsia="en-US"/>
        </w:rPr>
        <w:tab/>
        <w:t>BWPs have no specification impact to cell selection and reselection. Cell selection and reselection is based on SSB.</w:t>
      </w:r>
    </w:p>
    <w:p w14:paraId="146A0107" w14:textId="77777777" w:rsidR="00691F27" w:rsidRDefault="00691F27" w:rsidP="00691F27">
      <w:pPr>
        <w:pStyle w:val="Doc-text2"/>
        <w:pBdr>
          <w:top w:val="single" w:sz="4" w:space="1" w:color="auto"/>
          <w:left w:val="single" w:sz="4" w:space="4" w:color="auto"/>
          <w:bottom w:val="single" w:sz="4" w:space="1" w:color="auto"/>
          <w:right w:val="single" w:sz="4" w:space="4" w:color="auto"/>
        </w:pBdr>
      </w:pPr>
    </w:p>
    <w:p w14:paraId="41B61A52"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 xml:space="preserve">FFS Whether any Phy layer configuration are kept while the UE is in Inactive </w:t>
      </w:r>
    </w:p>
    <w:p w14:paraId="021C9F26" w14:textId="77777777" w:rsidR="00691F27" w:rsidRPr="00321843" w:rsidRDefault="00691F27" w:rsidP="00691F27">
      <w:pPr>
        <w:pStyle w:val="Doc-text2"/>
      </w:pPr>
    </w:p>
    <w:p w14:paraId="787D5325" w14:textId="6EAC2375" w:rsidR="00C97B29" w:rsidRDefault="00764B17" w:rsidP="005923F4">
      <w:pPr>
        <w:pStyle w:val="BodyText"/>
        <w:rPr>
          <w:rFonts w:ascii="Times New Roman" w:hAnsi="Times New Roman" w:cs="Times New Roman"/>
          <w:sz w:val="20"/>
          <w:szCs w:val="20"/>
          <w:lang w:eastAsia="en-US"/>
        </w:rPr>
      </w:pPr>
      <w:bookmarkStart w:id="2" w:name="_Ref462918989"/>
      <w:r>
        <w:rPr>
          <w:rFonts w:ascii="Times New Roman" w:hAnsi="Times New Roman" w:cs="Times New Roman"/>
          <w:sz w:val="20"/>
          <w:szCs w:val="20"/>
          <w:lang w:eastAsia="en-US"/>
        </w:rPr>
        <w:t xml:space="preserve">However, </w:t>
      </w:r>
      <w:r w:rsidRPr="00764B17">
        <w:rPr>
          <w:rFonts w:ascii="Times New Roman" w:hAnsi="Times New Roman" w:cs="Times New Roman"/>
          <w:sz w:val="20"/>
          <w:szCs w:val="20"/>
          <w:lang w:eastAsia="en-US"/>
        </w:rPr>
        <w:t>it remains unclear how to align the BWP usage between source and target cells for the UE to minimize the interruption of ongoing traffic if any, at the same time without increasing the UE power consumption.</w:t>
      </w:r>
    </w:p>
    <w:p w14:paraId="66276C52" w14:textId="77777777" w:rsidR="00633833" w:rsidRPr="00633833" w:rsidRDefault="00633833" w:rsidP="005923F4">
      <w:pPr>
        <w:pStyle w:val="BodyText"/>
        <w:rPr>
          <w:rFonts w:ascii="Times New Roman" w:hAnsi="Times New Roman" w:cs="Times New Roman"/>
          <w:sz w:val="20"/>
          <w:szCs w:val="20"/>
          <w:lang w:eastAsia="en-US"/>
        </w:rPr>
      </w:pPr>
    </w:p>
    <w:p w14:paraId="55141043" w14:textId="77777777" w:rsidR="00D8203B" w:rsidRPr="00DC33E4" w:rsidRDefault="00D8203B" w:rsidP="005923F4">
      <w:pPr>
        <w:pStyle w:val="Heading1"/>
        <w:rPr>
          <w:lang w:val="en-US"/>
        </w:rPr>
      </w:pPr>
      <w:bookmarkStart w:id="3" w:name="_Ref178064866"/>
      <w:r w:rsidRPr="00DC33E4">
        <w:rPr>
          <w:lang w:val="en-US"/>
        </w:rPr>
        <w:lastRenderedPageBreak/>
        <w:t>Discussion</w:t>
      </w:r>
      <w:bookmarkEnd w:id="3"/>
    </w:p>
    <w:p w14:paraId="0270AF5E" w14:textId="12FBBEB0" w:rsidR="00655A53" w:rsidRDefault="0020661F" w:rsidP="00AF53B6">
      <w:pPr>
        <w:pStyle w:val="BodyText"/>
        <w:rPr>
          <w:rFonts w:ascii="Times New Roman" w:hAnsi="Times New Roman" w:cs="Times New Roman"/>
          <w:sz w:val="20"/>
          <w:szCs w:val="20"/>
          <w:lang w:eastAsia="en-US"/>
        </w:rPr>
      </w:pPr>
      <w:r>
        <w:rPr>
          <w:rFonts w:ascii="Times New Roman" w:hAnsi="Times New Roman" w:cs="Times New Roman"/>
          <w:sz w:val="20"/>
          <w:szCs w:val="20"/>
          <w:lang w:val="en-US" w:eastAsia="en-US"/>
        </w:rPr>
        <w:t>One major</w:t>
      </w:r>
      <w:r w:rsidR="00655A53">
        <w:rPr>
          <w:rFonts w:ascii="Times New Roman" w:hAnsi="Times New Roman" w:cs="Times New Roman"/>
          <w:sz w:val="20"/>
          <w:szCs w:val="20"/>
          <w:lang w:eastAsia="en-US"/>
        </w:rPr>
        <w:t xml:space="preserve"> aspect that the target gNB needs to consider when configuring the BWPs for the UE performing handover is the load situation. Take the scenario in Fig 1 as an example. </w:t>
      </w:r>
    </w:p>
    <w:p w14:paraId="57190385" w14:textId="6F5C6765" w:rsidR="00655A53" w:rsidRDefault="00704406" w:rsidP="00655A53">
      <w:pPr>
        <w:pStyle w:val="BodyText"/>
        <w:jc w:val="center"/>
        <w:rPr>
          <w:rFonts w:ascii="Times New Roman" w:hAnsi="Times New Roman" w:cs="Times New Roman"/>
          <w:sz w:val="20"/>
          <w:szCs w:val="20"/>
          <w:lang w:eastAsia="en-US"/>
        </w:rPr>
      </w:pPr>
      <w:r>
        <w:rPr>
          <w:rFonts w:ascii="Times New Roman" w:hAnsi="Times New Roman" w:cs="Times New Roman"/>
          <w:noProof/>
          <w:sz w:val="20"/>
          <w:szCs w:val="20"/>
        </w:rPr>
        <w:drawing>
          <wp:inline distT="0" distB="0" distL="0" distR="0" wp14:anchorId="46F78128" wp14:editId="2D5D7DC8">
            <wp:extent cx="3429000" cy="1895609"/>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 BWP_contribution.jpg"/>
                    <pic:cNvPicPr/>
                  </pic:nvPicPr>
                  <pic:blipFill>
                    <a:blip r:embed="rId13">
                      <a:extLst>
                        <a:ext uri="{28A0092B-C50C-407E-A947-70E740481C1C}">
                          <a14:useLocalDpi xmlns:a14="http://schemas.microsoft.com/office/drawing/2010/main" val="0"/>
                        </a:ext>
                      </a:extLst>
                    </a:blip>
                    <a:stretch>
                      <a:fillRect/>
                    </a:stretch>
                  </pic:blipFill>
                  <pic:spPr>
                    <a:xfrm>
                      <a:off x="0" y="0"/>
                      <a:ext cx="3438586" cy="1900908"/>
                    </a:xfrm>
                    <a:prstGeom prst="rect">
                      <a:avLst/>
                    </a:prstGeom>
                  </pic:spPr>
                </pic:pic>
              </a:graphicData>
            </a:graphic>
          </wp:inline>
        </w:drawing>
      </w:r>
    </w:p>
    <w:p w14:paraId="771BF479" w14:textId="620DAAB9" w:rsidR="00650C8A" w:rsidRDefault="00655A53" w:rsidP="00655A53">
      <w:pPr>
        <w:pStyle w:val="BodyText"/>
        <w:jc w:val="center"/>
        <w:rPr>
          <w:rFonts w:ascii="Times New Roman" w:hAnsi="Times New Roman" w:cs="Times New Roman"/>
          <w:sz w:val="20"/>
          <w:szCs w:val="20"/>
          <w:lang w:eastAsia="en-US"/>
        </w:rPr>
      </w:pPr>
      <w:r>
        <w:rPr>
          <w:rFonts w:ascii="Times New Roman" w:hAnsi="Times New Roman" w:cs="Times New Roman"/>
          <w:sz w:val="20"/>
          <w:szCs w:val="20"/>
          <w:lang w:eastAsia="en-US"/>
        </w:rPr>
        <w:t>Fig. 1</w:t>
      </w:r>
      <w:r w:rsidR="00704406">
        <w:rPr>
          <w:rFonts w:ascii="Times New Roman" w:hAnsi="Times New Roman" w:cs="Times New Roman"/>
          <w:sz w:val="20"/>
          <w:szCs w:val="20"/>
          <w:lang w:eastAsia="en-US"/>
        </w:rPr>
        <w:t xml:space="preserve"> E</w:t>
      </w:r>
      <w:r>
        <w:rPr>
          <w:rFonts w:ascii="Times New Roman" w:hAnsi="Times New Roman" w:cs="Times New Roman"/>
          <w:sz w:val="20"/>
          <w:szCs w:val="20"/>
          <w:lang w:eastAsia="en-US"/>
        </w:rPr>
        <w:t xml:space="preserve">xample of BWP configurations in the source and target cells </w:t>
      </w:r>
    </w:p>
    <w:p w14:paraId="716F8293" w14:textId="090293E8" w:rsidR="003A369D" w:rsidRDefault="0020661F" w:rsidP="00CF7216">
      <w:pPr>
        <w:pStyle w:val="Proposal"/>
        <w:numPr>
          <w:ilvl w:val="0"/>
          <w:numId w:val="0"/>
        </w:numPr>
        <w:rPr>
          <w:rFonts w:ascii="Times New Roman" w:hAnsi="Times New Roman" w:cs="Times New Roman"/>
          <w:b w:val="0"/>
          <w:bCs w:val="0"/>
          <w:sz w:val="20"/>
          <w:szCs w:val="20"/>
          <w:lang w:eastAsia="en-US"/>
        </w:rPr>
      </w:pPr>
      <w:r w:rsidRPr="0020661F">
        <w:rPr>
          <w:rFonts w:ascii="Times New Roman" w:hAnsi="Times New Roman" w:cs="Times New Roman"/>
          <w:b w:val="0"/>
          <w:bCs w:val="0"/>
          <w:sz w:val="20"/>
          <w:szCs w:val="20"/>
          <w:lang w:eastAsia="en-US"/>
        </w:rPr>
        <w:t xml:space="preserve">As shown in Fig. 1, </w:t>
      </w:r>
      <w:r w:rsidR="00B425F8">
        <w:rPr>
          <w:rFonts w:ascii="Times New Roman" w:hAnsi="Times New Roman" w:cs="Times New Roman"/>
          <w:b w:val="0"/>
          <w:bCs w:val="0"/>
          <w:sz w:val="20"/>
          <w:szCs w:val="20"/>
          <w:lang w:eastAsia="en-US"/>
        </w:rPr>
        <w:t>the UE of interest has two BWPs configured in the source cell, both of which are associated with SS block</w:t>
      </w:r>
      <w:r w:rsidR="00096079">
        <w:rPr>
          <w:rFonts w:ascii="Times New Roman" w:hAnsi="Times New Roman" w:cs="Times New Roman"/>
          <w:b w:val="0"/>
          <w:bCs w:val="0"/>
          <w:sz w:val="20"/>
          <w:szCs w:val="20"/>
          <w:lang w:eastAsia="en-US"/>
        </w:rPr>
        <w:t xml:space="preserve"> #0. </w:t>
      </w:r>
      <w:r w:rsidR="003A369D">
        <w:rPr>
          <w:rFonts w:ascii="Times New Roman" w:hAnsi="Times New Roman" w:cs="Times New Roman"/>
          <w:b w:val="0"/>
          <w:bCs w:val="0"/>
          <w:sz w:val="20"/>
          <w:szCs w:val="20"/>
          <w:lang w:eastAsia="en-US"/>
        </w:rPr>
        <w:t>The narrower BWP, BWP#0, is a subset of the wider BWP, BWP#1. Such overlapping BWP configuration provides the merit of simplifying common search space (CSS) monitoring without the need to duplicating CSS, since CSS can be located in the overlapping part of the BWPs.</w:t>
      </w:r>
    </w:p>
    <w:p w14:paraId="1818D042" w14:textId="3DF17A92" w:rsidR="0020661F" w:rsidRDefault="00096079" w:rsidP="00CF7216">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When the target gNB receives the handover request from the source gNB, it needs to configure BWPs for the UE and send such information to the source gNB and then forwarded to UE by handover command. </w:t>
      </w:r>
      <w:r w:rsidR="003A369D">
        <w:rPr>
          <w:rFonts w:ascii="Times New Roman" w:hAnsi="Times New Roman" w:cs="Times New Roman"/>
          <w:b w:val="0"/>
          <w:bCs w:val="0"/>
          <w:sz w:val="20"/>
          <w:szCs w:val="20"/>
          <w:lang w:eastAsia="en-US"/>
        </w:rPr>
        <w:t xml:space="preserve">Consider the case that the number of UEs associated with SSB#0 in the target is already very high, it makes more sense to configure BWPs for the new UE to associate with another SSB, in this example, SSB#1. </w:t>
      </w:r>
      <w:r w:rsidR="00C11B5A">
        <w:rPr>
          <w:rFonts w:ascii="Times New Roman" w:hAnsi="Times New Roman" w:cs="Times New Roman"/>
          <w:b w:val="0"/>
          <w:bCs w:val="0"/>
          <w:sz w:val="20"/>
          <w:szCs w:val="20"/>
          <w:lang w:eastAsia="en-US"/>
        </w:rPr>
        <w:t xml:space="preserve">In this way, the load balancing can be achieved. </w:t>
      </w:r>
    </w:p>
    <w:p w14:paraId="73F817D1" w14:textId="7E4C3158" w:rsidR="006D5D00" w:rsidRDefault="006D5D00" w:rsidP="00CF7216">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In the above configuration method, there is no mechanism to determine the first active DL BWP and first UL BWP in the target cell for the UE to use. In order for UE to perform random access to the target cell, the common understanding regarding the active BWP should be established between UE and target gNB. As a simple fix, we propose this information should be included in the handover request acknowledgement. </w:t>
      </w:r>
      <w:r w:rsidR="00D537D6">
        <w:rPr>
          <w:rFonts w:ascii="Times New Roman" w:hAnsi="Times New Roman" w:cs="Times New Roman"/>
          <w:b w:val="0"/>
          <w:bCs w:val="0"/>
          <w:sz w:val="20"/>
          <w:szCs w:val="20"/>
          <w:lang w:eastAsia="en-US"/>
        </w:rPr>
        <w:t>Although we explained the scenario with overlapped BWPs configuration, non-overlapped BWPs configuration also requires the common understanding regarding the active BWP.</w:t>
      </w:r>
    </w:p>
    <w:p w14:paraId="4C0E0616" w14:textId="7AE2DB27" w:rsidR="0089173C" w:rsidRDefault="0089173C" w:rsidP="00CF7216">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After handover, always to use initial active BWP can allow the common understanding regarding the active BWP between UE and target gNB. </w:t>
      </w:r>
      <w:r w:rsidR="002F4796">
        <w:rPr>
          <w:rFonts w:ascii="Times New Roman" w:hAnsi="Times New Roman" w:cs="Times New Roman"/>
          <w:b w:val="0"/>
          <w:bCs w:val="0"/>
          <w:sz w:val="20"/>
          <w:szCs w:val="20"/>
          <w:lang w:eastAsia="en-US"/>
        </w:rPr>
        <w:t>However</w:t>
      </w:r>
      <w:r>
        <w:rPr>
          <w:rFonts w:ascii="Times New Roman" w:hAnsi="Times New Roman" w:cs="Times New Roman"/>
          <w:b w:val="0"/>
          <w:bCs w:val="0"/>
          <w:sz w:val="20"/>
          <w:szCs w:val="20"/>
          <w:lang w:eastAsia="en-US"/>
        </w:rPr>
        <w:t>, such mechanism increases the load of initial active BWP and</w:t>
      </w:r>
      <w:r w:rsidR="002F4796">
        <w:rPr>
          <w:rFonts w:ascii="Times New Roman" w:hAnsi="Times New Roman" w:cs="Times New Roman"/>
          <w:b w:val="0"/>
          <w:bCs w:val="0"/>
          <w:sz w:val="20"/>
          <w:szCs w:val="20"/>
          <w:lang w:eastAsia="en-US"/>
        </w:rPr>
        <w:t xml:space="preserve"> makes</w:t>
      </w:r>
      <w:r>
        <w:rPr>
          <w:rFonts w:ascii="Times New Roman" w:hAnsi="Times New Roman" w:cs="Times New Roman"/>
          <w:b w:val="0"/>
          <w:bCs w:val="0"/>
          <w:sz w:val="20"/>
          <w:szCs w:val="20"/>
          <w:lang w:eastAsia="en-US"/>
        </w:rPr>
        <w:t xml:space="preserve"> load balancing operation difficult. Therefore, we don't think to </w:t>
      </w:r>
      <w:r w:rsidR="002F4796">
        <w:rPr>
          <w:rFonts w:ascii="Times New Roman" w:hAnsi="Times New Roman" w:cs="Times New Roman"/>
          <w:b w:val="0"/>
          <w:bCs w:val="0"/>
          <w:sz w:val="20"/>
          <w:szCs w:val="20"/>
          <w:lang w:eastAsia="en-US"/>
        </w:rPr>
        <w:t xml:space="preserve">mandate </w:t>
      </w:r>
      <w:r>
        <w:rPr>
          <w:rFonts w:ascii="Times New Roman" w:hAnsi="Times New Roman" w:cs="Times New Roman"/>
          <w:b w:val="0"/>
          <w:bCs w:val="0"/>
          <w:sz w:val="20"/>
          <w:szCs w:val="20"/>
          <w:lang w:eastAsia="en-US"/>
        </w:rPr>
        <w:t>to use</w:t>
      </w:r>
      <w:r w:rsidR="002F4796">
        <w:rPr>
          <w:rFonts w:ascii="Times New Roman" w:hAnsi="Times New Roman" w:cs="Times New Roman"/>
          <w:b w:val="0"/>
          <w:bCs w:val="0"/>
          <w:sz w:val="20"/>
          <w:szCs w:val="20"/>
          <w:lang w:eastAsia="en-US"/>
        </w:rPr>
        <w:t xml:space="preserve"> the</w:t>
      </w:r>
      <w:r>
        <w:rPr>
          <w:rFonts w:ascii="Times New Roman" w:hAnsi="Times New Roman" w:cs="Times New Roman"/>
          <w:b w:val="0"/>
          <w:bCs w:val="0"/>
          <w:sz w:val="20"/>
          <w:szCs w:val="20"/>
          <w:lang w:eastAsia="en-US"/>
        </w:rPr>
        <w:t xml:space="preserve"> initial active BWP </w:t>
      </w:r>
      <w:r w:rsidR="002F4796">
        <w:rPr>
          <w:rFonts w:ascii="Times New Roman" w:hAnsi="Times New Roman" w:cs="Times New Roman"/>
          <w:b w:val="0"/>
          <w:bCs w:val="0"/>
          <w:sz w:val="20"/>
          <w:szCs w:val="20"/>
          <w:lang w:eastAsia="en-US"/>
        </w:rPr>
        <w:t>during</w:t>
      </w:r>
      <w:r w:rsidR="003D2D9C">
        <w:rPr>
          <w:rFonts w:ascii="Times New Roman" w:hAnsi="Times New Roman" w:cs="Times New Roman"/>
          <w:b w:val="0"/>
          <w:bCs w:val="0"/>
          <w:sz w:val="20"/>
          <w:szCs w:val="20"/>
          <w:lang w:eastAsia="en-US"/>
        </w:rPr>
        <w:t xml:space="preserve"> and </w:t>
      </w:r>
      <w:r>
        <w:rPr>
          <w:rFonts w:ascii="Times New Roman" w:hAnsi="Times New Roman" w:cs="Times New Roman"/>
          <w:b w:val="0"/>
          <w:bCs w:val="0"/>
          <w:sz w:val="20"/>
          <w:szCs w:val="20"/>
          <w:lang w:eastAsia="en-US"/>
        </w:rPr>
        <w:t>after handover is reasonable appr</w:t>
      </w:r>
      <w:r w:rsidR="002F4796">
        <w:rPr>
          <w:rFonts w:ascii="Times New Roman" w:hAnsi="Times New Roman" w:cs="Times New Roman"/>
          <w:b w:val="0"/>
          <w:bCs w:val="0"/>
          <w:sz w:val="20"/>
          <w:szCs w:val="20"/>
          <w:lang w:eastAsia="en-US"/>
        </w:rPr>
        <w:t>oa</w:t>
      </w:r>
      <w:r>
        <w:rPr>
          <w:rFonts w:ascii="Times New Roman" w:hAnsi="Times New Roman" w:cs="Times New Roman"/>
          <w:b w:val="0"/>
          <w:bCs w:val="0"/>
          <w:sz w:val="20"/>
          <w:szCs w:val="20"/>
          <w:lang w:eastAsia="en-US"/>
        </w:rPr>
        <w:t xml:space="preserve">ch. </w:t>
      </w:r>
    </w:p>
    <w:p w14:paraId="2B610A8F" w14:textId="0676B82A" w:rsidR="00CF7216" w:rsidRPr="00FF4D74" w:rsidRDefault="00A80BAB" w:rsidP="00CF7216">
      <w:pPr>
        <w:pStyle w:val="Proposal"/>
        <w:numPr>
          <w:ilvl w:val="0"/>
          <w:numId w:val="0"/>
        </w:numPr>
        <w:rPr>
          <w:rFonts w:ascii="Times New Roman" w:hAnsi="Times New Roman" w:cs="Times New Roman"/>
          <w:bCs w:val="0"/>
          <w:sz w:val="20"/>
          <w:szCs w:val="20"/>
          <w:lang w:eastAsia="en-US"/>
        </w:rPr>
      </w:pPr>
      <w:r>
        <w:rPr>
          <w:rFonts w:ascii="Times New Roman" w:hAnsi="Times New Roman" w:cs="Times New Roman"/>
          <w:bCs w:val="0"/>
          <w:sz w:val="20"/>
          <w:szCs w:val="20"/>
          <w:lang w:eastAsia="en-US"/>
        </w:rPr>
        <w:t>Proposal</w:t>
      </w:r>
      <w:r w:rsidR="00CF7216">
        <w:rPr>
          <w:rFonts w:ascii="Times New Roman" w:hAnsi="Times New Roman" w:cs="Times New Roman"/>
          <w:bCs w:val="0"/>
          <w:sz w:val="20"/>
          <w:szCs w:val="20"/>
          <w:lang w:eastAsia="en-US"/>
        </w:rPr>
        <w:t xml:space="preserve"> 1: </w:t>
      </w:r>
      <w:r w:rsidR="00F62119">
        <w:rPr>
          <w:rFonts w:ascii="Times New Roman" w:hAnsi="Times New Roman" w:cs="Times New Roman"/>
          <w:bCs w:val="0"/>
          <w:sz w:val="20"/>
          <w:szCs w:val="20"/>
          <w:lang w:eastAsia="en-US"/>
        </w:rPr>
        <w:t>During handover, the target gNB provides BWP configurations together with the index of the first active BWP for unpaired spectrum (or indices of the first active DL and UL BWPs for paired spectrum)</w:t>
      </w:r>
      <w:r w:rsidR="00A55F73" w:rsidRPr="00A55F73">
        <w:rPr>
          <w:rFonts w:ascii="Times New Roman" w:hAnsi="Times New Roman" w:cs="Times New Roman"/>
          <w:bCs w:val="0"/>
          <w:sz w:val="20"/>
          <w:szCs w:val="20"/>
          <w:lang w:eastAsia="en-US"/>
        </w:rPr>
        <w:t>.</w:t>
      </w:r>
      <w:r w:rsidR="00F62119">
        <w:rPr>
          <w:rFonts w:ascii="Times New Roman" w:hAnsi="Times New Roman" w:cs="Times New Roman"/>
          <w:bCs w:val="0"/>
          <w:sz w:val="20"/>
          <w:szCs w:val="20"/>
          <w:lang w:eastAsia="en-US"/>
        </w:rPr>
        <w:t xml:space="preserve"> This information will be forwarded to UE via handover command. </w:t>
      </w:r>
    </w:p>
    <w:bookmarkEnd w:id="2"/>
    <w:p w14:paraId="183153B4" w14:textId="44E01457" w:rsidR="00E32C7B" w:rsidRDefault="00E32C7B" w:rsidP="001632FD">
      <w:pPr>
        <w:pStyle w:val="BodyText"/>
        <w:rPr>
          <w:rFonts w:ascii="Times New Roman" w:hAnsi="Times New Roman" w:cs="Times New Roman"/>
          <w:b/>
          <w:bCs/>
          <w:sz w:val="20"/>
          <w:szCs w:val="20"/>
          <w:lang w:eastAsia="en-US"/>
        </w:rPr>
      </w:pPr>
    </w:p>
    <w:p w14:paraId="357BA1E3" w14:textId="3E09A0E6" w:rsidR="004B155E" w:rsidRPr="00DC33E4" w:rsidRDefault="004B155E" w:rsidP="004B155E">
      <w:pPr>
        <w:pStyle w:val="Heading1"/>
        <w:rPr>
          <w:lang w:val="en-US"/>
        </w:rPr>
      </w:pPr>
      <w:r>
        <w:rPr>
          <w:lang w:val="en-US"/>
        </w:rPr>
        <w:t>Conclusion</w:t>
      </w:r>
    </w:p>
    <w:p w14:paraId="4B4C258C" w14:textId="65866D96" w:rsidR="004B155E" w:rsidRDefault="004B155E" w:rsidP="004B155E">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Based on the discussion, we propose following. </w:t>
      </w:r>
    </w:p>
    <w:p w14:paraId="43495476" w14:textId="77777777" w:rsidR="004B155E" w:rsidRPr="00FF4D74" w:rsidRDefault="004B155E" w:rsidP="004B155E">
      <w:pPr>
        <w:pStyle w:val="Proposal"/>
        <w:numPr>
          <w:ilvl w:val="0"/>
          <w:numId w:val="0"/>
        </w:numPr>
        <w:rPr>
          <w:rFonts w:ascii="Times New Roman" w:hAnsi="Times New Roman" w:cs="Times New Roman"/>
          <w:bCs w:val="0"/>
          <w:sz w:val="20"/>
          <w:szCs w:val="20"/>
          <w:lang w:eastAsia="en-US"/>
        </w:rPr>
      </w:pPr>
      <w:r>
        <w:rPr>
          <w:rFonts w:ascii="Times New Roman" w:hAnsi="Times New Roman" w:cs="Times New Roman"/>
          <w:bCs w:val="0"/>
          <w:sz w:val="20"/>
          <w:szCs w:val="20"/>
          <w:lang w:eastAsia="en-US"/>
        </w:rPr>
        <w:t>Proposal 1: During handover, the target gNB provides BWP configurations together with the index of the first active BWP for unpaired spectrum (or indices of the first active DL and UL BWPs for paired spectrum)</w:t>
      </w:r>
      <w:r w:rsidRPr="00A55F73">
        <w:rPr>
          <w:rFonts w:ascii="Times New Roman" w:hAnsi="Times New Roman" w:cs="Times New Roman"/>
          <w:bCs w:val="0"/>
          <w:sz w:val="20"/>
          <w:szCs w:val="20"/>
          <w:lang w:eastAsia="en-US"/>
        </w:rPr>
        <w:t>.</w:t>
      </w:r>
      <w:r>
        <w:rPr>
          <w:rFonts w:ascii="Times New Roman" w:hAnsi="Times New Roman" w:cs="Times New Roman"/>
          <w:bCs w:val="0"/>
          <w:sz w:val="20"/>
          <w:szCs w:val="20"/>
          <w:lang w:eastAsia="en-US"/>
        </w:rPr>
        <w:t xml:space="preserve"> This information will be forwarded to UE via handover command. </w:t>
      </w:r>
    </w:p>
    <w:p w14:paraId="42780198" w14:textId="77777777" w:rsidR="00E32C7B" w:rsidRPr="00195520" w:rsidRDefault="00E32C7B" w:rsidP="00D35234">
      <w:pPr>
        <w:pStyle w:val="BodyText"/>
        <w:rPr>
          <w:rFonts w:ascii="Times New Roman" w:hAnsi="Times New Roman" w:cs="Times New Roman"/>
          <w:b/>
          <w:bCs/>
          <w:sz w:val="20"/>
          <w:szCs w:val="20"/>
          <w:lang w:eastAsia="en-US"/>
        </w:rPr>
      </w:pP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7AA6E6A4" w14:textId="2CF7E0A9" w:rsidR="003A7EF3" w:rsidRPr="00CE032F" w:rsidRDefault="00CE032F" w:rsidP="00CE032F">
      <w:pPr>
        <w:pStyle w:val="Reference"/>
        <w:rPr>
          <w:rFonts w:ascii="Times New Roman" w:hAnsi="Times New Roman" w:cs="Times New Roman"/>
          <w:sz w:val="20"/>
          <w:szCs w:val="20"/>
          <w:lang w:eastAsia="en-US"/>
        </w:rPr>
      </w:pPr>
      <w:r w:rsidRPr="00CE032F">
        <w:rPr>
          <w:rFonts w:ascii="Times New Roman" w:hAnsi="Times New Roman" w:cs="Times New Roman"/>
          <w:sz w:val="20"/>
          <w:szCs w:val="20"/>
          <w:lang w:eastAsia="en-US"/>
        </w:rPr>
        <w:t>R1-1711795, “On bandwidth parts and RF requirements”, Ericsson</w:t>
      </w:r>
    </w:p>
    <w:sectPr w:rsidR="003A7EF3" w:rsidRPr="00CE032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7C94E" w14:textId="77777777" w:rsidR="00FD434C" w:rsidRDefault="00FD434C">
      <w:r>
        <w:separator/>
      </w:r>
    </w:p>
  </w:endnote>
  <w:endnote w:type="continuationSeparator" w:id="0">
    <w:p w14:paraId="7E487DC9" w14:textId="77777777" w:rsidR="00FD434C" w:rsidRDefault="00FD434C">
      <w:r>
        <w:continuationSeparator/>
      </w:r>
    </w:p>
  </w:endnote>
  <w:endnote w:type="continuationNotice" w:id="1">
    <w:p w14:paraId="4FD755A8" w14:textId="77777777" w:rsidR="00FD434C" w:rsidRDefault="00FD43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156C9E9"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08B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08B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2793C" w14:textId="77777777" w:rsidR="00FD434C" w:rsidRDefault="00FD434C">
      <w:r>
        <w:separator/>
      </w:r>
    </w:p>
  </w:footnote>
  <w:footnote w:type="continuationSeparator" w:id="0">
    <w:p w14:paraId="788B5E2D" w14:textId="77777777" w:rsidR="00FD434C" w:rsidRDefault="00FD434C">
      <w:r>
        <w:continuationSeparator/>
      </w:r>
    </w:p>
  </w:footnote>
  <w:footnote w:type="continuationNotice" w:id="1">
    <w:p w14:paraId="09803BFA" w14:textId="77777777" w:rsidR="00FD434C" w:rsidRDefault="00FD43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7"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5"/>
  </w:num>
  <w:num w:numId="2">
    <w:abstractNumId w:val="18"/>
  </w:num>
  <w:num w:numId="3">
    <w:abstractNumId w:val="13"/>
  </w:num>
  <w:num w:numId="4">
    <w:abstractNumId w:val="14"/>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15"/>
  </w:num>
  <w:num w:numId="15">
    <w:abstractNumId w:val="24"/>
  </w:num>
  <w:num w:numId="16">
    <w:abstractNumId w:val="20"/>
    <w:lvlOverride w:ilvl="0">
      <w:startOverride w:val="1"/>
    </w:lvlOverride>
  </w:num>
  <w:num w:numId="17">
    <w:abstractNumId w:val="13"/>
    <w:lvlOverride w:ilvl="0">
      <w:startOverride w:val="1"/>
    </w:lvlOverride>
  </w:num>
  <w:num w:numId="18">
    <w:abstractNumId w:val="20"/>
    <w:lvlOverride w:ilvl="0">
      <w:startOverride w:val="1"/>
    </w:lvlOverride>
  </w:num>
  <w:num w:numId="19">
    <w:abstractNumId w:val="23"/>
  </w:num>
  <w:num w:numId="20">
    <w:abstractNumId w:val="20"/>
    <w:lvlOverride w:ilvl="0">
      <w:startOverride w:val="1"/>
    </w:lvlOverride>
  </w:num>
  <w:num w:numId="21">
    <w:abstractNumId w:val="13"/>
    <w:lvlOverride w:ilvl="0">
      <w:startOverride w:val="1"/>
    </w:lvlOverride>
  </w:num>
  <w:num w:numId="22">
    <w:abstractNumId w:val="25"/>
  </w:num>
  <w:num w:numId="23">
    <w:abstractNumId w:val="20"/>
    <w:lvlOverride w:ilvl="0">
      <w:startOverride w:val="1"/>
    </w:lvlOverride>
  </w:num>
  <w:num w:numId="24">
    <w:abstractNumId w:val="13"/>
    <w:lvlOverride w:ilvl="0">
      <w:startOverride w:val="1"/>
    </w:lvlOverride>
  </w:num>
  <w:num w:numId="25">
    <w:abstractNumId w:val="13"/>
  </w:num>
  <w:num w:numId="26">
    <w:abstractNumId w:val="13"/>
  </w:num>
  <w:num w:numId="27">
    <w:abstractNumId w:val="13"/>
  </w:num>
  <w:num w:numId="28">
    <w:abstractNumId w:val="13"/>
  </w:num>
  <w:num w:numId="29">
    <w:abstractNumId w:val="18"/>
  </w:num>
  <w:num w:numId="30">
    <w:abstractNumId w:val="16"/>
  </w:num>
  <w:num w:numId="31">
    <w:abstractNumId w:val="27"/>
  </w:num>
  <w:num w:numId="32">
    <w:abstractNumId w:val="6"/>
  </w:num>
  <w:num w:numId="33">
    <w:abstractNumId w:val="7"/>
  </w:num>
  <w:num w:numId="34">
    <w:abstractNumId w:val="26"/>
  </w:num>
  <w:num w:numId="35">
    <w:abstractNumId w:val="19"/>
  </w:num>
  <w:num w:numId="36">
    <w:abstractNumId w:val="21"/>
  </w:num>
  <w:num w:numId="37">
    <w:abstractNumId w:val="8"/>
  </w:num>
  <w:num w:numId="38">
    <w:abstractNumId w:val="12"/>
  </w:num>
  <w:num w:numId="3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C5B"/>
    <w:rsid w:val="00002A37"/>
    <w:rsid w:val="00006446"/>
    <w:rsid w:val="00006896"/>
    <w:rsid w:val="00006B58"/>
    <w:rsid w:val="00007CDC"/>
    <w:rsid w:val="00011153"/>
    <w:rsid w:val="00011B28"/>
    <w:rsid w:val="0001207F"/>
    <w:rsid w:val="00012D65"/>
    <w:rsid w:val="00014E6A"/>
    <w:rsid w:val="00015D15"/>
    <w:rsid w:val="00016E88"/>
    <w:rsid w:val="000176B2"/>
    <w:rsid w:val="00020538"/>
    <w:rsid w:val="0002564D"/>
    <w:rsid w:val="00025ECA"/>
    <w:rsid w:val="0002609C"/>
    <w:rsid w:val="00027939"/>
    <w:rsid w:val="000302D0"/>
    <w:rsid w:val="000325B8"/>
    <w:rsid w:val="000344F1"/>
    <w:rsid w:val="00034AE9"/>
    <w:rsid w:val="00034C15"/>
    <w:rsid w:val="000364F5"/>
    <w:rsid w:val="00036BA1"/>
    <w:rsid w:val="00042049"/>
    <w:rsid w:val="000422E2"/>
    <w:rsid w:val="00042F22"/>
    <w:rsid w:val="000444EF"/>
    <w:rsid w:val="000455B9"/>
    <w:rsid w:val="00050B9F"/>
    <w:rsid w:val="00051FE1"/>
    <w:rsid w:val="00052A07"/>
    <w:rsid w:val="000534E3"/>
    <w:rsid w:val="0005606A"/>
    <w:rsid w:val="00057117"/>
    <w:rsid w:val="00057E2C"/>
    <w:rsid w:val="00060FD1"/>
    <w:rsid w:val="000616E7"/>
    <w:rsid w:val="0006487E"/>
    <w:rsid w:val="00065E1A"/>
    <w:rsid w:val="00067548"/>
    <w:rsid w:val="00072D36"/>
    <w:rsid w:val="00075168"/>
    <w:rsid w:val="00077E5F"/>
    <w:rsid w:val="0008036A"/>
    <w:rsid w:val="00081AE6"/>
    <w:rsid w:val="000821B8"/>
    <w:rsid w:val="000841B9"/>
    <w:rsid w:val="000841EB"/>
    <w:rsid w:val="0008434E"/>
    <w:rsid w:val="000855EB"/>
    <w:rsid w:val="00085B52"/>
    <w:rsid w:val="000866F2"/>
    <w:rsid w:val="0009009F"/>
    <w:rsid w:val="00090B21"/>
    <w:rsid w:val="00091557"/>
    <w:rsid w:val="000924C1"/>
    <w:rsid w:val="000924F0"/>
    <w:rsid w:val="00093474"/>
    <w:rsid w:val="0009510F"/>
    <w:rsid w:val="00096079"/>
    <w:rsid w:val="000A01BF"/>
    <w:rsid w:val="000A0795"/>
    <w:rsid w:val="000A19D5"/>
    <w:rsid w:val="000A1B7B"/>
    <w:rsid w:val="000A56F2"/>
    <w:rsid w:val="000A7958"/>
    <w:rsid w:val="000B2719"/>
    <w:rsid w:val="000B2793"/>
    <w:rsid w:val="000B3A8F"/>
    <w:rsid w:val="000B4AB9"/>
    <w:rsid w:val="000B4CF7"/>
    <w:rsid w:val="000B58C3"/>
    <w:rsid w:val="000B61E9"/>
    <w:rsid w:val="000B7CF7"/>
    <w:rsid w:val="000C0B03"/>
    <w:rsid w:val="000C165A"/>
    <w:rsid w:val="000C2E19"/>
    <w:rsid w:val="000C302A"/>
    <w:rsid w:val="000C3084"/>
    <w:rsid w:val="000C65B7"/>
    <w:rsid w:val="000D0D07"/>
    <w:rsid w:val="000D1C00"/>
    <w:rsid w:val="000D2ACE"/>
    <w:rsid w:val="000D4797"/>
    <w:rsid w:val="000D4C5E"/>
    <w:rsid w:val="000E0527"/>
    <w:rsid w:val="000E1E92"/>
    <w:rsid w:val="000E58DF"/>
    <w:rsid w:val="000E5D8D"/>
    <w:rsid w:val="000E7C6F"/>
    <w:rsid w:val="000F06D6"/>
    <w:rsid w:val="000F0EB1"/>
    <w:rsid w:val="000F1106"/>
    <w:rsid w:val="000F3AF3"/>
    <w:rsid w:val="000F3BE9"/>
    <w:rsid w:val="000F3F6C"/>
    <w:rsid w:val="000F6DF3"/>
    <w:rsid w:val="001005FF"/>
    <w:rsid w:val="001062FB"/>
    <w:rsid w:val="001063E6"/>
    <w:rsid w:val="00112BC6"/>
    <w:rsid w:val="00113CF4"/>
    <w:rsid w:val="001153EA"/>
    <w:rsid w:val="00115643"/>
    <w:rsid w:val="00116765"/>
    <w:rsid w:val="00117B7E"/>
    <w:rsid w:val="0012078D"/>
    <w:rsid w:val="0012080F"/>
    <w:rsid w:val="001219F5"/>
    <w:rsid w:val="00121A20"/>
    <w:rsid w:val="00122F2E"/>
    <w:rsid w:val="00123610"/>
    <w:rsid w:val="0012377F"/>
    <w:rsid w:val="00124314"/>
    <w:rsid w:val="001254E8"/>
    <w:rsid w:val="00126B4A"/>
    <w:rsid w:val="001272AC"/>
    <w:rsid w:val="00127B88"/>
    <w:rsid w:val="00127E49"/>
    <w:rsid w:val="00131EC3"/>
    <w:rsid w:val="00132FD0"/>
    <w:rsid w:val="00133CEB"/>
    <w:rsid w:val="001344C0"/>
    <w:rsid w:val="001346FA"/>
    <w:rsid w:val="00135252"/>
    <w:rsid w:val="00135588"/>
    <w:rsid w:val="00137AB5"/>
    <w:rsid w:val="00137F0B"/>
    <w:rsid w:val="001416F8"/>
    <w:rsid w:val="00141A7D"/>
    <w:rsid w:val="00145D40"/>
    <w:rsid w:val="00146AD8"/>
    <w:rsid w:val="00151723"/>
    <w:rsid w:val="00151E23"/>
    <w:rsid w:val="001526E0"/>
    <w:rsid w:val="001550E1"/>
    <w:rsid w:val="001551B5"/>
    <w:rsid w:val="0015525E"/>
    <w:rsid w:val="0015531C"/>
    <w:rsid w:val="00155652"/>
    <w:rsid w:val="00155888"/>
    <w:rsid w:val="001608F0"/>
    <w:rsid w:val="00160DD8"/>
    <w:rsid w:val="001632FD"/>
    <w:rsid w:val="001643A8"/>
    <w:rsid w:val="0016465B"/>
    <w:rsid w:val="001659C1"/>
    <w:rsid w:val="00165A59"/>
    <w:rsid w:val="0016607D"/>
    <w:rsid w:val="00171A1F"/>
    <w:rsid w:val="00171D4D"/>
    <w:rsid w:val="00171D60"/>
    <w:rsid w:val="00173A8E"/>
    <w:rsid w:val="0017489D"/>
    <w:rsid w:val="00177795"/>
    <w:rsid w:val="00180D4C"/>
    <w:rsid w:val="0018143F"/>
    <w:rsid w:val="00181887"/>
    <w:rsid w:val="00190AC1"/>
    <w:rsid w:val="001928DE"/>
    <w:rsid w:val="00192C10"/>
    <w:rsid w:val="0019341A"/>
    <w:rsid w:val="00195520"/>
    <w:rsid w:val="001963B6"/>
    <w:rsid w:val="00197DF9"/>
    <w:rsid w:val="001A1987"/>
    <w:rsid w:val="001A2564"/>
    <w:rsid w:val="001A2C49"/>
    <w:rsid w:val="001A45EE"/>
    <w:rsid w:val="001A5E6F"/>
    <w:rsid w:val="001A6173"/>
    <w:rsid w:val="001A6CBA"/>
    <w:rsid w:val="001B0D97"/>
    <w:rsid w:val="001B2E53"/>
    <w:rsid w:val="001B3012"/>
    <w:rsid w:val="001B5A5D"/>
    <w:rsid w:val="001B6CE0"/>
    <w:rsid w:val="001B7DF3"/>
    <w:rsid w:val="001C1CE5"/>
    <w:rsid w:val="001C3D2A"/>
    <w:rsid w:val="001C5950"/>
    <w:rsid w:val="001C6495"/>
    <w:rsid w:val="001C67E3"/>
    <w:rsid w:val="001D02D8"/>
    <w:rsid w:val="001D280D"/>
    <w:rsid w:val="001D3AD3"/>
    <w:rsid w:val="001D4132"/>
    <w:rsid w:val="001D4ABC"/>
    <w:rsid w:val="001D51BA"/>
    <w:rsid w:val="001D6342"/>
    <w:rsid w:val="001D6D53"/>
    <w:rsid w:val="001E58E2"/>
    <w:rsid w:val="001E7AED"/>
    <w:rsid w:val="001F15FB"/>
    <w:rsid w:val="001F3916"/>
    <w:rsid w:val="001F4AB0"/>
    <w:rsid w:val="001F54C5"/>
    <w:rsid w:val="001F662C"/>
    <w:rsid w:val="001F7074"/>
    <w:rsid w:val="00200490"/>
    <w:rsid w:val="00201F3A"/>
    <w:rsid w:val="00203F96"/>
    <w:rsid w:val="0020419A"/>
    <w:rsid w:val="0020661F"/>
    <w:rsid w:val="002069B2"/>
    <w:rsid w:val="00206C08"/>
    <w:rsid w:val="00207F96"/>
    <w:rsid w:val="00207FA3"/>
    <w:rsid w:val="00214DA8"/>
    <w:rsid w:val="00215423"/>
    <w:rsid w:val="002158FA"/>
    <w:rsid w:val="00216564"/>
    <w:rsid w:val="002202E1"/>
    <w:rsid w:val="00220600"/>
    <w:rsid w:val="002224DB"/>
    <w:rsid w:val="00222DEF"/>
    <w:rsid w:val="00223FCB"/>
    <w:rsid w:val="002252C3"/>
    <w:rsid w:val="00225C54"/>
    <w:rsid w:val="0023019F"/>
    <w:rsid w:val="00230568"/>
    <w:rsid w:val="00230765"/>
    <w:rsid w:val="002319E4"/>
    <w:rsid w:val="00233AFC"/>
    <w:rsid w:val="00235562"/>
    <w:rsid w:val="00235632"/>
    <w:rsid w:val="00235872"/>
    <w:rsid w:val="00241559"/>
    <w:rsid w:val="00241B98"/>
    <w:rsid w:val="00242973"/>
    <w:rsid w:val="00242A0A"/>
    <w:rsid w:val="002435B3"/>
    <w:rsid w:val="00244DBD"/>
    <w:rsid w:val="0024547B"/>
    <w:rsid w:val="002454D4"/>
    <w:rsid w:val="002458EB"/>
    <w:rsid w:val="002500C8"/>
    <w:rsid w:val="00250F16"/>
    <w:rsid w:val="0025167F"/>
    <w:rsid w:val="00257543"/>
    <w:rsid w:val="00257F88"/>
    <w:rsid w:val="00261285"/>
    <w:rsid w:val="002617E7"/>
    <w:rsid w:val="00261FC8"/>
    <w:rsid w:val="00264109"/>
    <w:rsid w:val="00264228"/>
    <w:rsid w:val="00264334"/>
    <w:rsid w:val="0026473E"/>
    <w:rsid w:val="00266214"/>
    <w:rsid w:val="00267C58"/>
    <w:rsid w:val="00267C83"/>
    <w:rsid w:val="0027144F"/>
    <w:rsid w:val="00271F3A"/>
    <w:rsid w:val="00273278"/>
    <w:rsid w:val="002737F4"/>
    <w:rsid w:val="0027455E"/>
    <w:rsid w:val="002803F3"/>
    <w:rsid w:val="002805F5"/>
    <w:rsid w:val="00280751"/>
    <w:rsid w:val="0028280A"/>
    <w:rsid w:val="00286ACD"/>
    <w:rsid w:val="00287838"/>
    <w:rsid w:val="00287895"/>
    <w:rsid w:val="002907B5"/>
    <w:rsid w:val="00292E71"/>
    <w:rsid w:val="00292EB7"/>
    <w:rsid w:val="00293B29"/>
    <w:rsid w:val="00293F02"/>
    <w:rsid w:val="00296227"/>
    <w:rsid w:val="00296F44"/>
    <w:rsid w:val="0029774E"/>
    <w:rsid w:val="0029777D"/>
    <w:rsid w:val="002A036D"/>
    <w:rsid w:val="002A055E"/>
    <w:rsid w:val="002A1D4E"/>
    <w:rsid w:val="002A2117"/>
    <w:rsid w:val="002A2869"/>
    <w:rsid w:val="002A50D7"/>
    <w:rsid w:val="002A75FE"/>
    <w:rsid w:val="002B06F0"/>
    <w:rsid w:val="002B0B1F"/>
    <w:rsid w:val="002B24D6"/>
    <w:rsid w:val="002B2CC5"/>
    <w:rsid w:val="002B467E"/>
    <w:rsid w:val="002B47B7"/>
    <w:rsid w:val="002C244C"/>
    <w:rsid w:val="002C31CA"/>
    <w:rsid w:val="002C32A1"/>
    <w:rsid w:val="002C39FD"/>
    <w:rsid w:val="002C40EF"/>
    <w:rsid w:val="002C41E6"/>
    <w:rsid w:val="002D00AE"/>
    <w:rsid w:val="002D022A"/>
    <w:rsid w:val="002D071A"/>
    <w:rsid w:val="002D34B2"/>
    <w:rsid w:val="002D362A"/>
    <w:rsid w:val="002D4ADC"/>
    <w:rsid w:val="002D5976"/>
    <w:rsid w:val="002D7637"/>
    <w:rsid w:val="002E17F2"/>
    <w:rsid w:val="002E3CAE"/>
    <w:rsid w:val="002E3DED"/>
    <w:rsid w:val="002E64DB"/>
    <w:rsid w:val="002E7CAE"/>
    <w:rsid w:val="002F246A"/>
    <w:rsid w:val="002F2771"/>
    <w:rsid w:val="002F37A9"/>
    <w:rsid w:val="002F421A"/>
    <w:rsid w:val="002F4796"/>
    <w:rsid w:val="00300010"/>
    <w:rsid w:val="00301CE6"/>
    <w:rsid w:val="0030256B"/>
    <w:rsid w:val="0030501F"/>
    <w:rsid w:val="00305A9E"/>
    <w:rsid w:val="00307047"/>
    <w:rsid w:val="00307BA1"/>
    <w:rsid w:val="00311702"/>
    <w:rsid w:val="00311E82"/>
    <w:rsid w:val="00313FD6"/>
    <w:rsid w:val="003143BD"/>
    <w:rsid w:val="003177E4"/>
    <w:rsid w:val="00317B01"/>
    <w:rsid w:val="003203ED"/>
    <w:rsid w:val="003207D7"/>
    <w:rsid w:val="00322C9F"/>
    <w:rsid w:val="00322CD7"/>
    <w:rsid w:val="003248B5"/>
    <w:rsid w:val="00324D23"/>
    <w:rsid w:val="003261A9"/>
    <w:rsid w:val="00331751"/>
    <w:rsid w:val="00334579"/>
    <w:rsid w:val="00335858"/>
    <w:rsid w:val="00335A88"/>
    <w:rsid w:val="00336BDA"/>
    <w:rsid w:val="0034033C"/>
    <w:rsid w:val="00342BD7"/>
    <w:rsid w:val="00342D3F"/>
    <w:rsid w:val="00343A07"/>
    <w:rsid w:val="0034436D"/>
    <w:rsid w:val="00344407"/>
    <w:rsid w:val="00344919"/>
    <w:rsid w:val="00344941"/>
    <w:rsid w:val="003453C2"/>
    <w:rsid w:val="003455D2"/>
    <w:rsid w:val="00346DB5"/>
    <w:rsid w:val="003477B1"/>
    <w:rsid w:val="00351A57"/>
    <w:rsid w:val="003526DA"/>
    <w:rsid w:val="0035482C"/>
    <w:rsid w:val="00355135"/>
    <w:rsid w:val="0035709A"/>
    <w:rsid w:val="00357380"/>
    <w:rsid w:val="003602D9"/>
    <w:rsid w:val="003604CE"/>
    <w:rsid w:val="00361478"/>
    <w:rsid w:val="0036161E"/>
    <w:rsid w:val="00365A6D"/>
    <w:rsid w:val="00366717"/>
    <w:rsid w:val="00366D3B"/>
    <w:rsid w:val="003670B6"/>
    <w:rsid w:val="00370E47"/>
    <w:rsid w:val="003714E8"/>
    <w:rsid w:val="003735E5"/>
    <w:rsid w:val="003742AC"/>
    <w:rsid w:val="00374C70"/>
    <w:rsid w:val="00375204"/>
    <w:rsid w:val="003768C5"/>
    <w:rsid w:val="00377CE1"/>
    <w:rsid w:val="00385BF0"/>
    <w:rsid w:val="0038629C"/>
    <w:rsid w:val="00387618"/>
    <w:rsid w:val="00387BA7"/>
    <w:rsid w:val="003939FF"/>
    <w:rsid w:val="003A127C"/>
    <w:rsid w:val="003A2223"/>
    <w:rsid w:val="003A23C7"/>
    <w:rsid w:val="003A2A0F"/>
    <w:rsid w:val="003A369D"/>
    <w:rsid w:val="003A45A1"/>
    <w:rsid w:val="003A5B0A"/>
    <w:rsid w:val="003A6BAC"/>
    <w:rsid w:val="003A7EF3"/>
    <w:rsid w:val="003B159C"/>
    <w:rsid w:val="003B2D90"/>
    <w:rsid w:val="003B369F"/>
    <w:rsid w:val="003B36A3"/>
    <w:rsid w:val="003B4D22"/>
    <w:rsid w:val="003B4F17"/>
    <w:rsid w:val="003B608D"/>
    <w:rsid w:val="003B72A4"/>
    <w:rsid w:val="003B7FE5"/>
    <w:rsid w:val="003C10D1"/>
    <w:rsid w:val="003C11C8"/>
    <w:rsid w:val="003C1869"/>
    <w:rsid w:val="003C2702"/>
    <w:rsid w:val="003C383A"/>
    <w:rsid w:val="003C4788"/>
    <w:rsid w:val="003C7806"/>
    <w:rsid w:val="003D03A4"/>
    <w:rsid w:val="003D109F"/>
    <w:rsid w:val="003D1E65"/>
    <w:rsid w:val="003D2478"/>
    <w:rsid w:val="003D2D9C"/>
    <w:rsid w:val="003D2FC4"/>
    <w:rsid w:val="003D387A"/>
    <w:rsid w:val="003D3C45"/>
    <w:rsid w:val="003D4532"/>
    <w:rsid w:val="003D5B1F"/>
    <w:rsid w:val="003E15FA"/>
    <w:rsid w:val="003E45F5"/>
    <w:rsid w:val="003E4EAD"/>
    <w:rsid w:val="003E55E4"/>
    <w:rsid w:val="003E5613"/>
    <w:rsid w:val="003E6588"/>
    <w:rsid w:val="003E74E3"/>
    <w:rsid w:val="003E75BA"/>
    <w:rsid w:val="003F05C7"/>
    <w:rsid w:val="003F1D11"/>
    <w:rsid w:val="003F1D35"/>
    <w:rsid w:val="003F2CD4"/>
    <w:rsid w:val="003F6BBE"/>
    <w:rsid w:val="004000E8"/>
    <w:rsid w:val="004014F3"/>
    <w:rsid w:val="00402DD0"/>
    <w:rsid w:val="00402E2B"/>
    <w:rsid w:val="00403E95"/>
    <w:rsid w:val="0040512B"/>
    <w:rsid w:val="00405CA5"/>
    <w:rsid w:val="0040715C"/>
    <w:rsid w:val="00407CD3"/>
    <w:rsid w:val="00410134"/>
    <w:rsid w:val="00410B72"/>
    <w:rsid w:val="00410F18"/>
    <w:rsid w:val="0041263E"/>
    <w:rsid w:val="00413AAC"/>
    <w:rsid w:val="00416B1B"/>
    <w:rsid w:val="00420DC3"/>
    <w:rsid w:val="00421105"/>
    <w:rsid w:val="00421755"/>
    <w:rsid w:val="004234D8"/>
    <w:rsid w:val="004242F4"/>
    <w:rsid w:val="00427248"/>
    <w:rsid w:val="00427C68"/>
    <w:rsid w:val="0043123D"/>
    <w:rsid w:val="004332BB"/>
    <w:rsid w:val="004351A3"/>
    <w:rsid w:val="00435CD3"/>
    <w:rsid w:val="00435ECC"/>
    <w:rsid w:val="00437447"/>
    <w:rsid w:val="004374BA"/>
    <w:rsid w:val="00440548"/>
    <w:rsid w:val="00440B16"/>
    <w:rsid w:val="00441A92"/>
    <w:rsid w:val="00444AAD"/>
    <w:rsid w:val="00444F56"/>
    <w:rsid w:val="00446488"/>
    <w:rsid w:val="004517AA"/>
    <w:rsid w:val="00451811"/>
    <w:rsid w:val="004521EC"/>
    <w:rsid w:val="00452CAC"/>
    <w:rsid w:val="00452F5B"/>
    <w:rsid w:val="00453200"/>
    <w:rsid w:val="00453851"/>
    <w:rsid w:val="00453875"/>
    <w:rsid w:val="00457565"/>
    <w:rsid w:val="00457B71"/>
    <w:rsid w:val="00461FDF"/>
    <w:rsid w:val="00462F46"/>
    <w:rsid w:val="0046300D"/>
    <w:rsid w:val="00464200"/>
    <w:rsid w:val="00465F3A"/>
    <w:rsid w:val="004669E2"/>
    <w:rsid w:val="004671E7"/>
    <w:rsid w:val="00470C31"/>
    <w:rsid w:val="004734D0"/>
    <w:rsid w:val="00474804"/>
    <w:rsid w:val="0047556B"/>
    <w:rsid w:val="004759D0"/>
    <w:rsid w:val="004769FA"/>
    <w:rsid w:val="00477768"/>
    <w:rsid w:val="004846D1"/>
    <w:rsid w:val="00492BC5"/>
    <w:rsid w:val="00493F23"/>
    <w:rsid w:val="00494430"/>
    <w:rsid w:val="004961CE"/>
    <w:rsid w:val="004963BF"/>
    <w:rsid w:val="004964F1"/>
    <w:rsid w:val="004970B3"/>
    <w:rsid w:val="004A16BC"/>
    <w:rsid w:val="004A2B94"/>
    <w:rsid w:val="004A7E7F"/>
    <w:rsid w:val="004B155E"/>
    <w:rsid w:val="004B2FD1"/>
    <w:rsid w:val="004B3ACB"/>
    <w:rsid w:val="004B7C0C"/>
    <w:rsid w:val="004C01C8"/>
    <w:rsid w:val="004C2328"/>
    <w:rsid w:val="004C3898"/>
    <w:rsid w:val="004C6EDD"/>
    <w:rsid w:val="004D2237"/>
    <w:rsid w:val="004D36B1"/>
    <w:rsid w:val="004D7EBD"/>
    <w:rsid w:val="004E0BD6"/>
    <w:rsid w:val="004E1A9A"/>
    <w:rsid w:val="004E2680"/>
    <w:rsid w:val="004E2847"/>
    <w:rsid w:val="004E28F9"/>
    <w:rsid w:val="004E2A64"/>
    <w:rsid w:val="004E462E"/>
    <w:rsid w:val="004E4F53"/>
    <w:rsid w:val="004E56DC"/>
    <w:rsid w:val="004E5AC2"/>
    <w:rsid w:val="004E6960"/>
    <w:rsid w:val="004E76F4"/>
    <w:rsid w:val="004E7980"/>
    <w:rsid w:val="004F0B4E"/>
    <w:rsid w:val="004F0B6C"/>
    <w:rsid w:val="004F2078"/>
    <w:rsid w:val="004F4DA3"/>
    <w:rsid w:val="004F7740"/>
    <w:rsid w:val="0050054E"/>
    <w:rsid w:val="00502773"/>
    <w:rsid w:val="0050361D"/>
    <w:rsid w:val="0050462F"/>
    <w:rsid w:val="00504651"/>
    <w:rsid w:val="00506557"/>
    <w:rsid w:val="0050677A"/>
    <w:rsid w:val="00507454"/>
    <w:rsid w:val="005079A0"/>
    <w:rsid w:val="005108D8"/>
    <w:rsid w:val="005111A1"/>
    <w:rsid w:val="005116F9"/>
    <w:rsid w:val="005153A7"/>
    <w:rsid w:val="005154C5"/>
    <w:rsid w:val="005219CF"/>
    <w:rsid w:val="00522D07"/>
    <w:rsid w:val="00525F75"/>
    <w:rsid w:val="005267A6"/>
    <w:rsid w:val="00526C0D"/>
    <w:rsid w:val="00531534"/>
    <w:rsid w:val="00531F1D"/>
    <w:rsid w:val="005336B9"/>
    <w:rsid w:val="005338D0"/>
    <w:rsid w:val="00534B59"/>
    <w:rsid w:val="00536759"/>
    <w:rsid w:val="005369A8"/>
    <w:rsid w:val="00537C62"/>
    <w:rsid w:val="00543336"/>
    <w:rsid w:val="00546970"/>
    <w:rsid w:val="00547A14"/>
    <w:rsid w:val="00553715"/>
    <w:rsid w:val="00554E19"/>
    <w:rsid w:val="00555D73"/>
    <w:rsid w:val="005564FC"/>
    <w:rsid w:val="00561182"/>
    <w:rsid w:val="0056121F"/>
    <w:rsid w:val="00561320"/>
    <w:rsid w:val="00572505"/>
    <w:rsid w:val="00580202"/>
    <w:rsid w:val="00582809"/>
    <w:rsid w:val="00582A4A"/>
    <w:rsid w:val="00584ABE"/>
    <w:rsid w:val="005874C6"/>
    <w:rsid w:val="0058798C"/>
    <w:rsid w:val="005900FA"/>
    <w:rsid w:val="005923F4"/>
    <w:rsid w:val="005935A4"/>
    <w:rsid w:val="005948C2"/>
    <w:rsid w:val="00595DCA"/>
    <w:rsid w:val="0059779B"/>
    <w:rsid w:val="005A0D5F"/>
    <w:rsid w:val="005A209A"/>
    <w:rsid w:val="005A2A38"/>
    <w:rsid w:val="005A3ADD"/>
    <w:rsid w:val="005A4518"/>
    <w:rsid w:val="005A5323"/>
    <w:rsid w:val="005A662D"/>
    <w:rsid w:val="005B35D7"/>
    <w:rsid w:val="005B392A"/>
    <w:rsid w:val="005B3AA3"/>
    <w:rsid w:val="005B41BD"/>
    <w:rsid w:val="005B4E16"/>
    <w:rsid w:val="005B6F83"/>
    <w:rsid w:val="005C2995"/>
    <w:rsid w:val="005C32E7"/>
    <w:rsid w:val="005C493C"/>
    <w:rsid w:val="005C74FB"/>
    <w:rsid w:val="005D1498"/>
    <w:rsid w:val="005D1602"/>
    <w:rsid w:val="005D1A70"/>
    <w:rsid w:val="005D65DE"/>
    <w:rsid w:val="005D6B0B"/>
    <w:rsid w:val="005D7BBD"/>
    <w:rsid w:val="005E30FD"/>
    <w:rsid w:val="005E385F"/>
    <w:rsid w:val="005E3915"/>
    <w:rsid w:val="005E5B81"/>
    <w:rsid w:val="005E5D85"/>
    <w:rsid w:val="005F06E0"/>
    <w:rsid w:val="005F168C"/>
    <w:rsid w:val="005F2CB1"/>
    <w:rsid w:val="005F3025"/>
    <w:rsid w:val="005F3AC1"/>
    <w:rsid w:val="005F4D03"/>
    <w:rsid w:val="005F50BF"/>
    <w:rsid w:val="005F528E"/>
    <w:rsid w:val="005F618C"/>
    <w:rsid w:val="005F70BD"/>
    <w:rsid w:val="00601ACA"/>
    <w:rsid w:val="0060283C"/>
    <w:rsid w:val="00604F14"/>
    <w:rsid w:val="00605F62"/>
    <w:rsid w:val="00610371"/>
    <w:rsid w:val="00611B83"/>
    <w:rsid w:val="00611BEC"/>
    <w:rsid w:val="00613257"/>
    <w:rsid w:val="00620A71"/>
    <w:rsid w:val="00620D80"/>
    <w:rsid w:val="006234A6"/>
    <w:rsid w:val="00624D23"/>
    <w:rsid w:val="00624F8F"/>
    <w:rsid w:val="006276C5"/>
    <w:rsid w:val="00630001"/>
    <w:rsid w:val="006311B3"/>
    <w:rsid w:val="0063284C"/>
    <w:rsid w:val="00633833"/>
    <w:rsid w:val="0063397D"/>
    <w:rsid w:val="00635F6F"/>
    <w:rsid w:val="00636046"/>
    <w:rsid w:val="00636398"/>
    <w:rsid w:val="006368D3"/>
    <w:rsid w:val="00636A5D"/>
    <w:rsid w:val="006377EC"/>
    <w:rsid w:val="0064151F"/>
    <w:rsid w:val="00641533"/>
    <w:rsid w:val="0064208D"/>
    <w:rsid w:val="0064304C"/>
    <w:rsid w:val="00643475"/>
    <w:rsid w:val="0064396A"/>
    <w:rsid w:val="0064624E"/>
    <w:rsid w:val="00650AB9"/>
    <w:rsid w:val="00650C8A"/>
    <w:rsid w:val="00651393"/>
    <w:rsid w:val="006528F9"/>
    <w:rsid w:val="00652DCB"/>
    <w:rsid w:val="00654D99"/>
    <w:rsid w:val="00655733"/>
    <w:rsid w:val="00655A53"/>
    <w:rsid w:val="00655ACD"/>
    <w:rsid w:val="00656A92"/>
    <w:rsid w:val="00656DDE"/>
    <w:rsid w:val="0066011D"/>
    <w:rsid w:val="006607C0"/>
    <w:rsid w:val="006613A6"/>
    <w:rsid w:val="006627A2"/>
    <w:rsid w:val="006634E6"/>
    <w:rsid w:val="00663BE6"/>
    <w:rsid w:val="0066547A"/>
    <w:rsid w:val="006655EE"/>
    <w:rsid w:val="00667EE7"/>
    <w:rsid w:val="00670051"/>
    <w:rsid w:val="00670922"/>
    <w:rsid w:val="00670BE1"/>
    <w:rsid w:val="00670E0F"/>
    <w:rsid w:val="0067218F"/>
    <w:rsid w:val="00673C16"/>
    <w:rsid w:val="006741F2"/>
    <w:rsid w:val="00674CC3"/>
    <w:rsid w:val="00675C72"/>
    <w:rsid w:val="00676012"/>
    <w:rsid w:val="00676AF2"/>
    <w:rsid w:val="006771F9"/>
    <w:rsid w:val="006776D7"/>
    <w:rsid w:val="00681003"/>
    <w:rsid w:val="006817C9"/>
    <w:rsid w:val="00681D82"/>
    <w:rsid w:val="00682BA6"/>
    <w:rsid w:val="00683ECE"/>
    <w:rsid w:val="00690B70"/>
    <w:rsid w:val="006913A9"/>
    <w:rsid w:val="00691F27"/>
    <w:rsid w:val="00692B16"/>
    <w:rsid w:val="00695FC2"/>
    <w:rsid w:val="00696949"/>
    <w:rsid w:val="00697052"/>
    <w:rsid w:val="00697220"/>
    <w:rsid w:val="006A30AF"/>
    <w:rsid w:val="006A46FB"/>
    <w:rsid w:val="006A5E28"/>
    <w:rsid w:val="006A6086"/>
    <w:rsid w:val="006A697B"/>
    <w:rsid w:val="006A7988"/>
    <w:rsid w:val="006A7AFF"/>
    <w:rsid w:val="006B1816"/>
    <w:rsid w:val="006B2099"/>
    <w:rsid w:val="006B2FD3"/>
    <w:rsid w:val="006B50CF"/>
    <w:rsid w:val="006B5C2B"/>
    <w:rsid w:val="006B5EE4"/>
    <w:rsid w:val="006B67CF"/>
    <w:rsid w:val="006B6BC3"/>
    <w:rsid w:val="006C03B8"/>
    <w:rsid w:val="006C44C2"/>
    <w:rsid w:val="006C5EC9"/>
    <w:rsid w:val="006C6059"/>
    <w:rsid w:val="006C6BE1"/>
    <w:rsid w:val="006C7522"/>
    <w:rsid w:val="006D0580"/>
    <w:rsid w:val="006D2A46"/>
    <w:rsid w:val="006D56C8"/>
    <w:rsid w:val="006D571C"/>
    <w:rsid w:val="006D5D00"/>
    <w:rsid w:val="006D666D"/>
    <w:rsid w:val="006D6F08"/>
    <w:rsid w:val="006E062C"/>
    <w:rsid w:val="006E28B7"/>
    <w:rsid w:val="006E3310"/>
    <w:rsid w:val="006E4E39"/>
    <w:rsid w:val="006E565E"/>
    <w:rsid w:val="006E64B5"/>
    <w:rsid w:val="006E673D"/>
    <w:rsid w:val="006E7D3B"/>
    <w:rsid w:val="006F0B65"/>
    <w:rsid w:val="006F0CAD"/>
    <w:rsid w:val="006F1B70"/>
    <w:rsid w:val="006F341D"/>
    <w:rsid w:val="006F3CDE"/>
    <w:rsid w:val="006F58D4"/>
    <w:rsid w:val="006F6D56"/>
    <w:rsid w:val="006F7626"/>
    <w:rsid w:val="0070346E"/>
    <w:rsid w:val="00704406"/>
    <w:rsid w:val="00704EDB"/>
    <w:rsid w:val="0070537F"/>
    <w:rsid w:val="00706028"/>
    <w:rsid w:val="00706101"/>
    <w:rsid w:val="00707072"/>
    <w:rsid w:val="00707706"/>
    <w:rsid w:val="00707D61"/>
    <w:rsid w:val="00712287"/>
    <w:rsid w:val="00712772"/>
    <w:rsid w:val="007146AF"/>
    <w:rsid w:val="007148D3"/>
    <w:rsid w:val="00715B9A"/>
    <w:rsid w:val="0071798B"/>
    <w:rsid w:val="00720376"/>
    <w:rsid w:val="007205B8"/>
    <w:rsid w:val="00721593"/>
    <w:rsid w:val="00726EA6"/>
    <w:rsid w:val="00726ED5"/>
    <w:rsid w:val="00727208"/>
    <w:rsid w:val="00727680"/>
    <w:rsid w:val="007348B1"/>
    <w:rsid w:val="00734B23"/>
    <w:rsid w:val="007362A6"/>
    <w:rsid w:val="00736D7D"/>
    <w:rsid w:val="00740344"/>
    <w:rsid w:val="00740E58"/>
    <w:rsid w:val="00742E3D"/>
    <w:rsid w:val="0074405B"/>
    <w:rsid w:val="00744142"/>
    <w:rsid w:val="007445A0"/>
    <w:rsid w:val="00744ECC"/>
    <w:rsid w:val="0074524B"/>
    <w:rsid w:val="007460A0"/>
    <w:rsid w:val="00747D8B"/>
    <w:rsid w:val="00751228"/>
    <w:rsid w:val="007535D6"/>
    <w:rsid w:val="00753CAE"/>
    <w:rsid w:val="007571E1"/>
    <w:rsid w:val="007604B2"/>
    <w:rsid w:val="00763989"/>
    <w:rsid w:val="00764B17"/>
    <w:rsid w:val="00765281"/>
    <w:rsid w:val="00765787"/>
    <w:rsid w:val="00766BAD"/>
    <w:rsid w:val="00767A0C"/>
    <w:rsid w:val="007716C3"/>
    <w:rsid w:val="007730BD"/>
    <w:rsid w:val="007755F2"/>
    <w:rsid w:val="00775BC4"/>
    <w:rsid w:val="00775C76"/>
    <w:rsid w:val="00776971"/>
    <w:rsid w:val="00777025"/>
    <w:rsid w:val="007804ED"/>
    <w:rsid w:val="0078177E"/>
    <w:rsid w:val="0078304C"/>
    <w:rsid w:val="00783673"/>
    <w:rsid w:val="00785490"/>
    <w:rsid w:val="00790829"/>
    <w:rsid w:val="007925EA"/>
    <w:rsid w:val="00793CD8"/>
    <w:rsid w:val="00795C92"/>
    <w:rsid w:val="00796231"/>
    <w:rsid w:val="007A000A"/>
    <w:rsid w:val="007A18AB"/>
    <w:rsid w:val="007A1CB3"/>
    <w:rsid w:val="007A306F"/>
    <w:rsid w:val="007A3A3A"/>
    <w:rsid w:val="007A3FE1"/>
    <w:rsid w:val="007A43A6"/>
    <w:rsid w:val="007A554B"/>
    <w:rsid w:val="007A58A6"/>
    <w:rsid w:val="007B3D2D"/>
    <w:rsid w:val="007B50AE"/>
    <w:rsid w:val="007B51DF"/>
    <w:rsid w:val="007B5ACB"/>
    <w:rsid w:val="007C05DD"/>
    <w:rsid w:val="007C0A75"/>
    <w:rsid w:val="007C2F4B"/>
    <w:rsid w:val="007C342A"/>
    <w:rsid w:val="007C3D18"/>
    <w:rsid w:val="007C40D0"/>
    <w:rsid w:val="007C60BF"/>
    <w:rsid w:val="007C6A07"/>
    <w:rsid w:val="007C75A1"/>
    <w:rsid w:val="007C77A5"/>
    <w:rsid w:val="007D04E5"/>
    <w:rsid w:val="007D3941"/>
    <w:rsid w:val="007D3FDF"/>
    <w:rsid w:val="007D5901"/>
    <w:rsid w:val="007D7526"/>
    <w:rsid w:val="007E1DCF"/>
    <w:rsid w:val="007E28CE"/>
    <w:rsid w:val="007E324C"/>
    <w:rsid w:val="007E3ED6"/>
    <w:rsid w:val="007E4610"/>
    <w:rsid w:val="007E4715"/>
    <w:rsid w:val="007E505B"/>
    <w:rsid w:val="007E55D7"/>
    <w:rsid w:val="007E5FE8"/>
    <w:rsid w:val="007E7091"/>
    <w:rsid w:val="007F0115"/>
    <w:rsid w:val="007F03C3"/>
    <w:rsid w:val="007F0A6C"/>
    <w:rsid w:val="007F0C73"/>
    <w:rsid w:val="007F1359"/>
    <w:rsid w:val="007F26F1"/>
    <w:rsid w:val="0080049D"/>
    <w:rsid w:val="008036DF"/>
    <w:rsid w:val="00803B8A"/>
    <w:rsid w:val="00803FAE"/>
    <w:rsid w:val="0080605F"/>
    <w:rsid w:val="00807786"/>
    <w:rsid w:val="0081055B"/>
    <w:rsid w:val="00811505"/>
    <w:rsid w:val="00811FCB"/>
    <w:rsid w:val="008144B9"/>
    <w:rsid w:val="008158D6"/>
    <w:rsid w:val="0081606D"/>
    <w:rsid w:val="00817196"/>
    <w:rsid w:val="00817EDE"/>
    <w:rsid w:val="00823081"/>
    <w:rsid w:val="008235DB"/>
    <w:rsid w:val="00824AB4"/>
    <w:rsid w:val="00824B72"/>
    <w:rsid w:val="00825C42"/>
    <w:rsid w:val="00825D25"/>
    <w:rsid w:val="00827D6F"/>
    <w:rsid w:val="00827E1A"/>
    <w:rsid w:val="008311F3"/>
    <w:rsid w:val="00831210"/>
    <w:rsid w:val="0083765F"/>
    <w:rsid w:val="008376AC"/>
    <w:rsid w:val="0084116C"/>
    <w:rsid w:val="00841CB3"/>
    <w:rsid w:val="008444E8"/>
    <w:rsid w:val="00844E80"/>
    <w:rsid w:val="00846FE7"/>
    <w:rsid w:val="00847403"/>
    <w:rsid w:val="00847FC4"/>
    <w:rsid w:val="00850CEC"/>
    <w:rsid w:val="00850E9E"/>
    <w:rsid w:val="00854B3A"/>
    <w:rsid w:val="00856911"/>
    <w:rsid w:val="00860458"/>
    <w:rsid w:val="008628C0"/>
    <w:rsid w:val="00865044"/>
    <w:rsid w:val="00865151"/>
    <w:rsid w:val="00865698"/>
    <w:rsid w:val="0086758D"/>
    <w:rsid w:val="008677FD"/>
    <w:rsid w:val="008706D4"/>
    <w:rsid w:val="00870F8A"/>
    <w:rsid w:val="008719A4"/>
    <w:rsid w:val="00871D23"/>
    <w:rsid w:val="00874312"/>
    <w:rsid w:val="0087437C"/>
    <w:rsid w:val="00875CD7"/>
    <w:rsid w:val="0087646B"/>
    <w:rsid w:val="00876B4D"/>
    <w:rsid w:val="00877F18"/>
    <w:rsid w:val="0088016B"/>
    <w:rsid w:val="00884366"/>
    <w:rsid w:val="008864B9"/>
    <w:rsid w:val="0089173C"/>
    <w:rsid w:val="00893C6A"/>
    <w:rsid w:val="00894A88"/>
    <w:rsid w:val="00895386"/>
    <w:rsid w:val="00895660"/>
    <w:rsid w:val="00897036"/>
    <w:rsid w:val="008A0628"/>
    <w:rsid w:val="008A21FF"/>
    <w:rsid w:val="008A2CE2"/>
    <w:rsid w:val="008A30AC"/>
    <w:rsid w:val="008A44B8"/>
    <w:rsid w:val="008A4CCF"/>
    <w:rsid w:val="008A4CE0"/>
    <w:rsid w:val="008A51A8"/>
    <w:rsid w:val="008A54C7"/>
    <w:rsid w:val="008A77D8"/>
    <w:rsid w:val="008B0483"/>
    <w:rsid w:val="008B120C"/>
    <w:rsid w:val="008B40D0"/>
    <w:rsid w:val="008B51A0"/>
    <w:rsid w:val="008B592A"/>
    <w:rsid w:val="008B63B8"/>
    <w:rsid w:val="008B7B5C"/>
    <w:rsid w:val="008C0C99"/>
    <w:rsid w:val="008C2017"/>
    <w:rsid w:val="008C4958"/>
    <w:rsid w:val="008C4BAA"/>
    <w:rsid w:val="008C68D0"/>
    <w:rsid w:val="008C6AE8"/>
    <w:rsid w:val="008C7573"/>
    <w:rsid w:val="008D0655"/>
    <w:rsid w:val="008D0BFB"/>
    <w:rsid w:val="008D0CE9"/>
    <w:rsid w:val="008D0EFD"/>
    <w:rsid w:val="008D27D3"/>
    <w:rsid w:val="008D34F1"/>
    <w:rsid w:val="008D39D8"/>
    <w:rsid w:val="008D4336"/>
    <w:rsid w:val="008D6AF5"/>
    <w:rsid w:val="008D6CCC"/>
    <w:rsid w:val="008D6D1A"/>
    <w:rsid w:val="008E065E"/>
    <w:rsid w:val="008E0927"/>
    <w:rsid w:val="008E1909"/>
    <w:rsid w:val="008E1B93"/>
    <w:rsid w:val="008E1D88"/>
    <w:rsid w:val="008E3445"/>
    <w:rsid w:val="008E6DB3"/>
    <w:rsid w:val="008E76FD"/>
    <w:rsid w:val="008F0B25"/>
    <w:rsid w:val="008F109D"/>
    <w:rsid w:val="008F1EAB"/>
    <w:rsid w:val="008F33DC"/>
    <w:rsid w:val="008F477F"/>
    <w:rsid w:val="008F55FE"/>
    <w:rsid w:val="008F6C3F"/>
    <w:rsid w:val="00902350"/>
    <w:rsid w:val="0090336B"/>
    <w:rsid w:val="009053AA"/>
    <w:rsid w:val="00906939"/>
    <w:rsid w:val="00910B7D"/>
    <w:rsid w:val="00911DFB"/>
    <w:rsid w:val="00912944"/>
    <w:rsid w:val="009139D9"/>
    <w:rsid w:val="0091445A"/>
    <w:rsid w:val="00914AD8"/>
    <w:rsid w:val="00915240"/>
    <w:rsid w:val="00915E3A"/>
    <w:rsid w:val="00916079"/>
    <w:rsid w:val="0091703B"/>
    <w:rsid w:val="00917641"/>
    <w:rsid w:val="0091778E"/>
    <w:rsid w:val="00917CE9"/>
    <w:rsid w:val="00920BF2"/>
    <w:rsid w:val="00922010"/>
    <w:rsid w:val="00922A69"/>
    <w:rsid w:val="009270E9"/>
    <w:rsid w:val="00927F40"/>
    <w:rsid w:val="0093103F"/>
    <w:rsid w:val="00931BD9"/>
    <w:rsid w:val="00934DF8"/>
    <w:rsid w:val="0093601A"/>
    <w:rsid w:val="00936851"/>
    <w:rsid w:val="009368F3"/>
    <w:rsid w:val="009414FD"/>
    <w:rsid w:val="00941636"/>
    <w:rsid w:val="0094346C"/>
    <w:rsid w:val="00943742"/>
    <w:rsid w:val="00945C05"/>
    <w:rsid w:val="00946945"/>
    <w:rsid w:val="00947179"/>
    <w:rsid w:val="00947713"/>
    <w:rsid w:val="00947B01"/>
    <w:rsid w:val="009506F9"/>
    <w:rsid w:val="00950DE7"/>
    <w:rsid w:val="00950FBF"/>
    <w:rsid w:val="00953920"/>
    <w:rsid w:val="00953D47"/>
    <w:rsid w:val="00956711"/>
    <w:rsid w:val="0095681E"/>
    <w:rsid w:val="009572D4"/>
    <w:rsid w:val="00957337"/>
    <w:rsid w:val="009579C0"/>
    <w:rsid w:val="00960FEA"/>
    <w:rsid w:val="00961921"/>
    <w:rsid w:val="00961DF7"/>
    <w:rsid w:val="0096430A"/>
    <w:rsid w:val="00964C30"/>
    <w:rsid w:val="0096554B"/>
    <w:rsid w:val="0096584A"/>
    <w:rsid w:val="00965C53"/>
    <w:rsid w:val="00967A33"/>
    <w:rsid w:val="00970523"/>
    <w:rsid w:val="00971F08"/>
    <w:rsid w:val="009739E6"/>
    <w:rsid w:val="00975997"/>
    <w:rsid w:val="0097603D"/>
    <w:rsid w:val="00976949"/>
    <w:rsid w:val="00980477"/>
    <w:rsid w:val="00984217"/>
    <w:rsid w:val="00985253"/>
    <w:rsid w:val="009853B3"/>
    <w:rsid w:val="00985CBE"/>
    <w:rsid w:val="00990630"/>
    <w:rsid w:val="00991761"/>
    <w:rsid w:val="00993727"/>
    <w:rsid w:val="00994DCA"/>
    <w:rsid w:val="00995585"/>
    <w:rsid w:val="009960EC"/>
    <w:rsid w:val="00996D46"/>
    <w:rsid w:val="009970DD"/>
    <w:rsid w:val="00997687"/>
    <w:rsid w:val="009A0FBA"/>
    <w:rsid w:val="009A1601"/>
    <w:rsid w:val="009A330C"/>
    <w:rsid w:val="009A41F8"/>
    <w:rsid w:val="009A462D"/>
    <w:rsid w:val="009A5CBA"/>
    <w:rsid w:val="009A72AE"/>
    <w:rsid w:val="009B1F30"/>
    <w:rsid w:val="009B3AC2"/>
    <w:rsid w:val="009B4DF4"/>
    <w:rsid w:val="009B564E"/>
    <w:rsid w:val="009B7E87"/>
    <w:rsid w:val="009C08B0"/>
    <w:rsid w:val="009C2A60"/>
    <w:rsid w:val="009C403E"/>
    <w:rsid w:val="009C4EDC"/>
    <w:rsid w:val="009C527F"/>
    <w:rsid w:val="009C748E"/>
    <w:rsid w:val="009D0B72"/>
    <w:rsid w:val="009D1618"/>
    <w:rsid w:val="009D28C4"/>
    <w:rsid w:val="009D4FF0"/>
    <w:rsid w:val="009D5983"/>
    <w:rsid w:val="009D5E2A"/>
    <w:rsid w:val="009D703C"/>
    <w:rsid w:val="009D718F"/>
    <w:rsid w:val="009E068F"/>
    <w:rsid w:val="009E14E0"/>
    <w:rsid w:val="009E35DB"/>
    <w:rsid w:val="009E47A3"/>
    <w:rsid w:val="009E537B"/>
    <w:rsid w:val="009E5902"/>
    <w:rsid w:val="009E6AA6"/>
    <w:rsid w:val="009E6AC2"/>
    <w:rsid w:val="009E6F0C"/>
    <w:rsid w:val="009F08F3"/>
    <w:rsid w:val="009F1ECE"/>
    <w:rsid w:val="009F344F"/>
    <w:rsid w:val="009F3D98"/>
    <w:rsid w:val="009F4360"/>
    <w:rsid w:val="009F47FE"/>
    <w:rsid w:val="00A00F1F"/>
    <w:rsid w:val="00A048A8"/>
    <w:rsid w:val="00A04F49"/>
    <w:rsid w:val="00A0651F"/>
    <w:rsid w:val="00A07855"/>
    <w:rsid w:val="00A11AB7"/>
    <w:rsid w:val="00A1305E"/>
    <w:rsid w:val="00A13991"/>
    <w:rsid w:val="00A13E54"/>
    <w:rsid w:val="00A1595C"/>
    <w:rsid w:val="00A17F63"/>
    <w:rsid w:val="00A2193B"/>
    <w:rsid w:val="00A2351A"/>
    <w:rsid w:val="00A23945"/>
    <w:rsid w:val="00A24365"/>
    <w:rsid w:val="00A249D6"/>
    <w:rsid w:val="00A264A9"/>
    <w:rsid w:val="00A27785"/>
    <w:rsid w:val="00A30187"/>
    <w:rsid w:val="00A31044"/>
    <w:rsid w:val="00A3448A"/>
    <w:rsid w:val="00A35099"/>
    <w:rsid w:val="00A36297"/>
    <w:rsid w:val="00A3751A"/>
    <w:rsid w:val="00A4191F"/>
    <w:rsid w:val="00A41E2B"/>
    <w:rsid w:val="00A44B11"/>
    <w:rsid w:val="00A45B74"/>
    <w:rsid w:val="00A50F35"/>
    <w:rsid w:val="00A50FA9"/>
    <w:rsid w:val="00A521B4"/>
    <w:rsid w:val="00A52E1D"/>
    <w:rsid w:val="00A55F73"/>
    <w:rsid w:val="00A56D3F"/>
    <w:rsid w:val="00A571A6"/>
    <w:rsid w:val="00A60917"/>
    <w:rsid w:val="00A61499"/>
    <w:rsid w:val="00A622C6"/>
    <w:rsid w:val="00A62A77"/>
    <w:rsid w:val="00A631EF"/>
    <w:rsid w:val="00A63483"/>
    <w:rsid w:val="00A657D7"/>
    <w:rsid w:val="00A65935"/>
    <w:rsid w:val="00A660AC"/>
    <w:rsid w:val="00A670A6"/>
    <w:rsid w:val="00A67E6C"/>
    <w:rsid w:val="00A71B99"/>
    <w:rsid w:val="00A739D0"/>
    <w:rsid w:val="00A74E64"/>
    <w:rsid w:val="00A758C5"/>
    <w:rsid w:val="00A761D4"/>
    <w:rsid w:val="00A77EC4"/>
    <w:rsid w:val="00A80BAB"/>
    <w:rsid w:val="00A9043E"/>
    <w:rsid w:val="00A92879"/>
    <w:rsid w:val="00A93F17"/>
    <w:rsid w:val="00A9442A"/>
    <w:rsid w:val="00A96CC6"/>
    <w:rsid w:val="00AA016F"/>
    <w:rsid w:val="00AA18D0"/>
    <w:rsid w:val="00AA1ED6"/>
    <w:rsid w:val="00AA2677"/>
    <w:rsid w:val="00AA51D6"/>
    <w:rsid w:val="00AA56AA"/>
    <w:rsid w:val="00AB0BC8"/>
    <w:rsid w:val="00AB11CA"/>
    <w:rsid w:val="00AB14D9"/>
    <w:rsid w:val="00AB1EAE"/>
    <w:rsid w:val="00AB2AA4"/>
    <w:rsid w:val="00AB3A11"/>
    <w:rsid w:val="00AB4AB8"/>
    <w:rsid w:val="00AB655E"/>
    <w:rsid w:val="00AB7AE6"/>
    <w:rsid w:val="00AC007F"/>
    <w:rsid w:val="00AC2ECD"/>
    <w:rsid w:val="00AC3119"/>
    <w:rsid w:val="00AC49FB"/>
    <w:rsid w:val="00AC5A10"/>
    <w:rsid w:val="00AD0348"/>
    <w:rsid w:val="00AD0AA3"/>
    <w:rsid w:val="00AD3168"/>
    <w:rsid w:val="00AD3F94"/>
    <w:rsid w:val="00AD4A5A"/>
    <w:rsid w:val="00AD7F95"/>
    <w:rsid w:val="00AE0905"/>
    <w:rsid w:val="00AE27AC"/>
    <w:rsid w:val="00AE40E0"/>
    <w:rsid w:val="00AE4DBA"/>
    <w:rsid w:val="00AE4F07"/>
    <w:rsid w:val="00AE62E2"/>
    <w:rsid w:val="00AE7446"/>
    <w:rsid w:val="00AF1C5D"/>
    <w:rsid w:val="00AF2026"/>
    <w:rsid w:val="00AF42D7"/>
    <w:rsid w:val="00AF43AB"/>
    <w:rsid w:val="00AF53B6"/>
    <w:rsid w:val="00B006FE"/>
    <w:rsid w:val="00B007CB"/>
    <w:rsid w:val="00B010BF"/>
    <w:rsid w:val="00B02AA9"/>
    <w:rsid w:val="00B02FA3"/>
    <w:rsid w:val="00B03C4C"/>
    <w:rsid w:val="00B05084"/>
    <w:rsid w:val="00B05BA5"/>
    <w:rsid w:val="00B0611B"/>
    <w:rsid w:val="00B136CA"/>
    <w:rsid w:val="00B157F9"/>
    <w:rsid w:val="00B167F1"/>
    <w:rsid w:val="00B20256"/>
    <w:rsid w:val="00B20D09"/>
    <w:rsid w:val="00B211B2"/>
    <w:rsid w:val="00B21BE8"/>
    <w:rsid w:val="00B2763F"/>
    <w:rsid w:val="00B27AAC"/>
    <w:rsid w:val="00B30929"/>
    <w:rsid w:val="00B31239"/>
    <w:rsid w:val="00B34AC3"/>
    <w:rsid w:val="00B372AA"/>
    <w:rsid w:val="00B40445"/>
    <w:rsid w:val="00B40ECB"/>
    <w:rsid w:val="00B41888"/>
    <w:rsid w:val="00B41DF0"/>
    <w:rsid w:val="00B425F8"/>
    <w:rsid w:val="00B42BDB"/>
    <w:rsid w:val="00B45A52"/>
    <w:rsid w:val="00B46175"/>
    <w:rsid w:val="00B474B4"/>
    <w:rsid w:val="00B51BFF"/>
    <w:rsid w:val="00B51F19"/>
    <w:rsid w:val="00B548DA"/>
    <w:rsid w:val="00B5748F"/>
    <w:rsid w:val="00B6145A"/>
    <w:rsid w:val="00B61615"/>
    <w:rsid w:val="00B61BB1"/>
    <w:rsid w:val="00B61E56"/>
    <w:rsid w:val="00B62AAA"/>
    <w:rsid w:val="00B650C1"/>
    <w:rsid w:val="00B664C7"/>
    <w:rsid w:val="00B666BC"/>
    <w:rsid w:val="00B669AD"/>
    <w:rsid w:val="00B67691"/>
    <w:rsid w:val="00B706A1"/>
    <w:rsid w:val="00B70D90"/>
    <w:rsid w:val="00B739F6"/>
    <w:rsid w:val="00B74B6C"/>
    <w:rsid w:val="00B81A6C"/>
    <w:rsid w:val="00B81FDF"/>
    <w:rsid w:val="00B837ED"/>
    <w:rsid w:val="00B85DE5"/>
    <w:rsid w:val="00B90580"/>
    <w:rsid w:val="00B907EA"/>
    <w:rsid w:val="00B90F73"/>
    <w:rsid w:val="00B93B59"/>
    <w:rsid w:val="00B9406A"/>
    <w:rsid w:val="00B959EC"/>
    <w:rsid w:val="00B97D9D"/>
    <w:rsid w:val="00BA04E2"/>
    <w:rsid w:val="00BA1FE5"/>
    <w:rsid w:val="00BA2280"/>
    <w:rsid w:val="00BA2A08"/>
    <w:rsid w:val="00BA5641"/>
    <w:rsid w:val="00BA56D2"/>
    <w:rsid w:val="00BA76E0"/>
    <w:rsid w:val="00BB2A25"/>
    <w:rsid w:val="00BB346D"/>
    <w:rsid w:val="00BB40A1"/>
    <w:rsid w:val="00BB51BB"/>
    <w:rsid w:val="00BB51E9"/>
    <w:rsid w:val="00BC0C69"/>
    <w:rsid w:val="00BC0E6A"/>
    <w:rsid w:val="00BC0FDC"/>
    <w:rsid w:val="00BC1DEE"/>
    <w:rsid w:val="00BC29AB"/>
    <w:rsid w:val="00BC3053"/>
    <w:rsid w:val="00BC4D2E"/>
    <w:rsid w:val="00BC6412"/>
    <w:rsid w:val="00BD48AC"/>
    <w:rsid w:val="00BD5F1A"/>
    <w:rsid w:val="00BE00AA"/>
    <w:rsid w:val="00BE0792"/>
    <w:rsid w:val="00BE1234"/>
    <w:rsid w:val="00BE2FA6"/>
    <w:rsid w:val="00BE32F5"/>
    <w:rsid w:val="00BE333F"/>
    <w:rsid w:val="00BE7406"/>
    <w:rsid w:val="00BE7603"/>
    <w:rsid w:val="00BF058E"/>
    <w:rsid w:val="00BF16CF"/>
    <w:rsid w:val="00BF20C7"/>
    <w:rsid w:val="00BF3279"/>
    <w:rsid w:val="00BF74C7"/>
    <w:rsid w:val="00C00DEB"/>
    <w:rsid w:val="00C015F1"/>
    <w:rsid w:val="00C0173E"/>
    <w:rsid w:val="00C01973"/>
    <w:rsid w:val="00C01F33"/>
    <w:rsid w:val="00C02CC6"/>
    <w:rsid w:val="00C040F7"/>
    <w:rsid w:val="00C041B0"/>
    <w:rsid w:val="00C044AB"/>
    <w:rsid w:val="00C055AB"/>
    <w:rsid w:val="00C05706"/>
    <w:rsid w:val="00C07377"/>
    <w:rsid w:val="00C10478"/>
    <w:rsid w:val="00C1189B"/>
    <w:rsid w:val="00C11B5A"/>
    <w:rsid w:val="00C12107"/>
    <w:rsid w:val="00C12C66"/>
    <w:rsid w:val="00C145B6"/>
    <w:rsid w:val="00C14D4B"/>
    <w:rsid w:val="00C154BB"/>
    <w:rsid w:val="00C20190"/>
    <w:rsid w:val="00C223E6"/>
    <w:rsid w:val="00C24DFB"/>
    <w:rsid w:val="00C26FAA"/>
    <w:rsid w:val="00C279B5"/>
    <w:rsid w:val="00C27C45"/>
    <w:rsid w:val="00C27E0C"/>
    <w:rsid w:val="00C30437"/>
    <w:rsid w:val="00C34167"/>
    <w:rsid w:val="00C3719D"/>
    <w:rsid w:val="00C372D0"/>
    <w:rsid w:val="00C41A9D"/>
    <w:rsid w:val="00C44AE7"/>
    <w:rsid w:val="00C4791A"/>
    <w:rsid w:val="00C47A84"/>
    <w:rsid w:val="00C50C02"/>
    <w:rsid w:val="00C536F2"/>
    <w:rsid w:val="00C54995"/>
    <w:rsid w:val="00C54D41"/>
    <w:rsid w:val="00C5639D"/>
    <w:rsid w:val="00C56496"/>
    <w:rsid w:val="00C60783"/>
    <w:rsid w:val="00C60E2B"/>
    <w:rsid w:val="00C644F7"/>
    <w:rsid w:val="00C64672"/>
    <w:rsid w:val="00C70697"/>
    <w:rsid w:val="00C72EF4"/>
    <w:rsid w:val="00C73B76"/>
    <w:rsid w:val="00C75608"/>
    <w:rsid w:val="00C75D2F"/>
    <w:rsid w:val="00C767BE"/>
    <w:rsid w:val="00C76963"/>
    <w:rsid w:val="00C76E3C"/>
    <w:rsid w:val="00C76E76"/>
    <w:rsid w:val="00C81568"/>
    <w:rsid w:val="00C82B92"/>
    <w:rsid w:val="00C856D5"/>
    <w:rsid w:val="00C86997"/>
    <w:rsid w:val="00C87CDD"/>
    <w:rsid w:val="00C9027A"/>
    <w:rsid w:val="00C9068E"/>
    <w:rsid w:val="00C9363F"/>
    <w:rsid w:val="00C93C4B"/>
    <w:rsid w:val="00C944AB"/>
    <w:rsid w:val="00C95B40"/>
    <w:rsid w:val="00C968EC"/>
    <w:rsid w:val="00C9793A"/>
    <w:rsid w:val="00C97B29"/>
    <w:rsid w:val="00CA0805"/>
    <w:rsid w:val="00CA0A10"/>
    <w:rsid w:val="00CA1ED8"/>
    <w:rsid w:val="00CA6CFD"/>
    <w:rsid w:val="00CB0DE9"/>
    <w:rsid w:val="00CB1F63"/>
    <w:rsid w:val="00CB585C"/>
    <w:rsid w:val="00CB7170"/>
    <w:rsid w:val="00CC040E"/>
    <w:rsid w:val="00CC0818"/>
    <w:rsid w:val="00CC1083"/>
    <w:rsid w:val="00CC111F"/>
    <w:rsid w:val="00CC2011"/>
    <w:rsid w:val="00CC3879"/>
    <w:rsid w:val="00CC3EA0"/>
    <w:rsid w:val="00CC4FF9"/>
    <w:rsid w:val="00CC594A"/>
    <w:rsid w:val="00CC7B45"/>
    <w:rsid w:val="00CD0835"/>
    <w:rsid w:val="00CD1188"/>
    <w:rsid w:val="00CD1D2E"/>
    <w:rsid w:val="00CD2ED1"/>
    <w:rsid w:val="00CD337B"/>
    <w:rsid w:val="00CD3F6B"/>
    <w:rsid w:val="00CD5A07"/>
    <w:rsid w:val="00CD5C14"/>
    <w:rsid w:val="00CE032F"/>
    <w:rsid w:val="00CE0424"/>
    <w:rsid w:val="00CE077B"/>
    <w:rsid w:val="00CE2300"/>
    <w:rsid w:val="00CE3DF2"/>
    <w:rsid w:val="00CE5905"/>
    <w:rsid w:val="00CE7561"/>
    <w:rsid w:val="00CF1354"/>
    <w:rsid w:val="00CF3332"/>
    <w:rsid w:val="00CF3B1F"/>
    <w:rsid w:val="00CF3BF6"/>
    <w:rsid w:val="00CF46BC"/>
    <w:rsid w:val="00CF4E77"/>
    <w:rsid w:val="00CF50AB"/>
    <w:rsid w:val="00CF625B"/>
    <w:rsid w:val="00CF687E"/>
    <w:rsid w:val="00CF7216"/>
    <w:rsid w:val="00CF7673"/>
    <w:rsid w:val="00D00339"/>
    <w:rsid w:val="00D0194F"/>
    <w:rsid w:val="00D0252F"/>
    <w:rsid w:val="00D0339E"/>
    <w:rsid w:val="00D0349B"/>
    <w:rsid w:val="00D03CBF"/>
    <w:rsid w:val="00D04434"/>
    <w:rsid w:val="00D1001F"/>
    <w:rsid w:val="00D10249"/>
    <w:rsid w:val="00D115C3"/>
    <w:rsid w:val="00D11897"/>
    <w:rsid w:val="00D13135"/>
    <w:rsid w:val="00D13ABF"/>
    <w:rsid w:val="00D13E4E"/>
    <w:rsid w:val="00D15089"/>
    <w:rsid w:val="00D1723B"/>
    <w:rsid w:val="00D22874"/>
    <w:rsid w:val="00D239A7"/>
    <w:rsid w:val="00D23F47"/>
    <w:rsid w:val="00D2503E"/>
    <w:rsid w:val="00D25B3F"/>
    <w:rsid w:val="00D3005B"/>
    <w:rsid w:val="00D3101D"/>
    <w:rsid w:val="00D32166"/>
    <w:rsid w:val="00D35234"/>
    <w:rsid w:val="00D36E71"/>
    <w:rsid w:val="00D37D87"/>
    <w:rsid w:val="00D40B33"/>
    <w:rsid w:val="00D4318F"/>
    <w:rsid w:val="00D438BF"/>
    <w:rsid w:val="00D440F8"/>
    <w:rsid w:val="00D45637"/>
    <w:rsid w:val="00D46FA5"/>
    <w:rsid w:val="00D51446"/>
    <w:rsid w:val="00D537D6"/>
    <w:rsid w:val="00D546FF"/>
    <w:rsid w:val="00D55AD5"/>
    <w:rsid w:val="00D55B51"/>
    <w:rsid w:val="00D55C96"/>
    <w:rsid w:val="00D576CA"/>
    <w:rsid w:val="00D601A6"/>
    <w:rsid w:val="00D60E13"/>
    <w:rsid w:val="00D61AF5"/>
    <w:rsid w:val="00D62CD5"/>
    <w:rsid w:val="00D63268"/>
    <w:rsid w:val="00D63C72"/>
    <w:rsid w:val="00D6435F"/>
    <w:rsid w:val="00D64A1D"/>
    <w:rsid w:val="00D652B5"/>
    <w:rsid w:val="00D66155"/>
    <w:rsid w:val="00D708B0"/>
    <w:rsid w:val="00D70E73"/>
    <w:rsid w:val="00D76F86"/>
    <w:rsid w:val="00D77B1D"/>
    <w:rsid w:val="00D8021F"/>
    <w:rsid w:val="00D80383"/>
    <w:rsid w:val="00D815D6"/>
    <w:rsid w:val="00D8203B"/>
    <w:rsid w:val="00D823C6"/>
    <w:rsid w:val="00D85EF7"/>
    <w:rsid w:val="00D86CA3"/>
    <w:rsid w:val="00D871CE"/>
    <w:rsid w:val="00D9196D"/>
    <w:rsid w:val="00D920A7"/>
    <w:rsid w:val="00D92982"/>
    <w:rsid w:val="00D95A22"/>
    <w:rsid w:val="00D965C0"/>
    <w:rsid w:val="00DA0701"/>
    <w:rsid w:val="00DA305E"/>
    <w:rsid w:val="00DA5007"/>
    <w:rsid w:val="00DA5417"/>
    <w:rsid w:val="00DA56E8"/>
    <w:rsid w:val="00DA67A6"/>
    <w:rsid w:val="00DB06D8"/>
    <w:rsid w:val="00DB0A9F"/>
    <w:rsid w:val="00DB377D"/>
    <w:rsid w:val="00DB7182"/>
    <w:rsid w:val="00DC21E1"/>
    <w:rsid w:val="00DC2D36"/>
    <w:rsid w:val="00DC33E4"/>
    <w:rsid w:val="00DC3DD8"/>
    <w:rsid w:val="00DC53EF"/>
    <w:rsid w:val="00DC6D71"/>
    <w:rsid w:val="00DC7FEA"/>
    <w:rsid w:val="00DD7867"/>
    <w:rsid w:val="00DE3A33"/>
    <w:rsid w:val="00DE5608"/>
    <w:rsid w:val="00DE58D0"/>
    <w:rsid w:val="00DE654F"/>
    <w:rsid w:val="00DF0B6E"/>
    <w:rsid w:val="00DF15E0"/>
    <w:rsid w:val="00DF20A7"/>
    <w:rsid w:val="00DF37A0"/>
    <w:rsid w:val="00DF5C56"/>
    <w:rsid w:val="00E008FB"/>
    <w:rsid w:val="00E02CFE"/>
    <w:rsid w:val="00E05B34"/>
    <w:rsid w:val="00E110E7"/>
    <w:rsid w:val="00E11B20"/>
    <w:rsid w:val="00E156FA"/>
    <w:rsid w:val="00E174CA"/>
    <w:rsid w:val="00E17970"/>
    <w:rsid w:val="00E17B45"/>
    <w:rsid w:val="00E17FA2"/>
    <w:rsid w:val="00E22330"/>
    <w:rsid w:val="00E25B80"/>
    <w:rsid w:val="00E30B5A"/>
    <w:rsid w:val="00E3123D"/>
    <w:rsid w:val="00E31461"/>
    <w:rsid w:val="00E31C0F"/>
    <w:rsid w:val="00E31D43"/>
    <w:rsid w:val="00E32608"/>
    <w:rsid w:val="00E32C7B"/>
    <w:rsid w:val="00E33E4A"/>
    <w:rsid w:val="00E34188"/>
    <w:rsid w:val="00E345CD"/>
    <w:rsid w:val="00E34B6E"/>
    <w:rsid w:val="00E35559"/>
    <w:rsid w:val="00E36156"/>
    <w:rsid w:val="00E371BC"/>
    <w:rsid w:val="00E3723A"/>
    <w:rsid w:val="00E37860"/>
    <w:rsid w:val="00E446F1"/>
    <w:rsid w:val="00E44B94"/>
    <w:rsid w:val="00E46886"/>
    <w:rsid w:val="00E47AEF"/>
    <w:rsid w:val="00E53B29"/>
    <w:rsid w:val="00E53B75"/>
    <w:rsid w:val="00E54E3B"/>
    <w:rsid w:val="00E557CC"/>
    <w:rsid w:val="00E57565"/>
    <w:rsid w:val="00E57A1C"/>
    <w:rsid w:val="00E604AE"/>
    <w:rsid w:val="00E63838"/>
    <w:rsid w:val="00E64434"/>
    <w:rsid w:val="00E67C51"/>
    <w:rsid w:val="00E70D86"/>
    <w:rsid w:val="00E72EFC"/>
    <w:rsid w:val="00E758EC"/>
    <w:rsid w:val="00E8234C"/>
    <w:rsid w:val="00E83AA9"/>
    <w:rsid w:val="00E85928"/>
    <w:rsid w:val="00E87822"/>
    <w:rsid w:val="00E90395"/>
    <w:rsid w:val="00E90E49"/>
    <w:rsid w:val="00E91756"/>
    <w:rsid w:val="00E917F9"/>
    <w:rsid w:val="00E91E36"/>
    <w:rsid w:val="00E9291C"/>
    <w:rsid w:val="00E93FFE"/>
    <w:rsid w:val="00E94B98"/>
    <w:rsid w:val="00E94F8A"/>
    <w:rsid w:val="00E9719C"/>
    <w:rsid w:val="00EA5B73"/>
    <w:rsid w:val="00EA6E0E"/>
    <w:rsid w:val="00EA7A41"/>
    <w:rsid w:val="00EB077B"/>
    <w:rsid w:val="00EB4EA2"/>
    <w:rsid w:val="00EB62EC"/>
    <w:rsid w:val="00EB6361"/>
    <w:rsid w:val="00EC27C6"/>
    <w:rsid w:val="00EC38A0"/>
    <w:rsid w:val="00EC4207"/>
    <w:rsid w:val="00EC4A0B"/>
    <w:rsid w:val="00EC4A1E"/>
    <w:rsid w:val="00EC4C96"/>
    <w:rsid w:val="00EC5653"/>
    <w:rsid w:val="00EC60B5"/>
    <w:rsid w:val="00EC66B4"/>
    <w:rsid w:val="00EC71CE"/>
    <w:rsid w:val="00EC7304"/>
    <w:rsid w:val="00ED1006"/>
    <w:rsid w:val="00ED5DF4"/>
    <w:rsid w:val="00ED6E06"/>
    <w:rsid w:val="00EE0956"/>
    <w:rsid w:val="00EE25E7"/>
    <w:rsid w:val="00EE57B6"/>
    <w:rsid w:val="00EE6379"/>
    <w:rsid w:val="00EE6561"/>
    <w:rsid w:val="00EF0038"/>
    <w:rsid w:val="00EF10BC"/>
    <w:rsid w:val="00EF18FE"/>
    <w:rsid w:val="00EF2E6C"/>
    <w:rsid w:val="00EF5787"/>
    <w:rsid w:val="00EF60D0"/>
    <w:rsid w:val="00EF7136"/>
    <w:rsid w:val="00F0201B"/>
    <w:rsid w:val="00F0528D"/>
    <w:rsid w:val="00F06C67"/>
    <w:rsid w:val="00F06DFD"/>
    <w:rsid w:val="00F071D1"/>
    <w:rsid w:val="00F07533"/>
    <w:rsid w:val="00F10629"/>
    <w:rsid w:val="00F15FA5"/>
    <w:rsid w:val="00F1625B"/>
    <w:rsid w:val="00F209B7"/>
    <w:rsid w:val="00F21C47"/>
    <w:rsid w:val="00F2376F"/>
    <w:rsid w:val="00F243D8"/>
    <w:rsid w:val="00F24E55"/>
    <w:rsid w:val="00F30828"/>
    <w:rsid w:val="00F30E66"/>
    <w:rsid w:val="00F313D6"/>
    <w:rsid w:val="00F31E10"/>
    <w:rsid w:val="00F33DF2"/>
    <w:rsid w:val="00F34D6D"/>
    <w:rsid w:val="00F40806"/>
    <w:rsid w:val="00F40C33"/>
    <w:rsid w:val="00F40F0C"/>
    <w:rsid w:val="00F4350D"/>
    <w:rsid w:val="00F4352A"/>
    <w:rsid w:val="00F4766C"/>
    <w:rsid w:val="00F47D9C"/>
    <w:rsid w:val="00F507D1"/>
    <w:rsid w:val="00F519CE"/>
    <w:rsid w:val="00F51ADA"/>
    <w:rsid w:val="00F51CB3"/>
    <w:rsid w:val="00F54C67"/>
    <w:rsid w:val="00F56734"/>
    <w:rsid w:val="00F607C5"/>
    <w:rsid w:val="00F60931"/>
    <w:rsid w:val="00F60DEA"/>
    <w:rsid w:val="00F61E9C"/>
    <w:rsid w:val="00F62119"/>
    <w:rsid w:val="00F6302A"/>
    <w:rsid w:val="00F64295"/>
    <w:rsid w:val="00F64C2B"/>
    <w:rsid w:val="00F651BE"/>
    <w:rsid w:val="00F65DAC"/>
    <w:rsid w:val="00F668D2"/>
    <w:rsid w:val="00F67F53"/>
    <w:rsid w:val="00F703BE"/>
    <w:rsid w:val="00F71F69"/>
    <w:rsid w:val="00F72052"/>
    <w:rsid w:val="00F72A1E"/>
    <w:rsid w:val="00F72A83"/>
    <w:rsid w:val="00F72B72"/>
    <w:rsid w:val="00F74BB9"/>
    <w:rsid w:val="00F75582"/>
    <w:rsid w:val="00F75A7F"/>
    <w:rsid w:val="00F76EFA"/>
    <w:rsid w:val="00F804BE"/>
    <w:rsid w:val="00F817CE"/>
    <w:rsid w:val="00F8456C"/>
    <w:rsid w:val="00F859D8"/>
    <w:rsid w:val="00F868F5"/>
    <w:rsid w:val="00F9056A"/>
    <w:rsid w:val="00F9083B"/>
    <w:rsid w:val="00F90F8D"/>
    <w:rsid w:val="00F92782"/>
    <w:rsid w:val="00F93AA9"/>
    <w:rsid w:val="00F96985"/>
    <w:rsid w:val="00F96EFF"/>
    <w:rsid w:val="00F97838"/>
    <w:rsid w:val="00F97BE1"/>
    <w:rsid w:val="00FA05D5"/>
    <w:rsid w:val="00FA0C03"/>
    <w:rsid w:val="00FA2BB3"/>
    <w:rsid w:val="00FA5D49"/>
    <w:rsid w:val="00FA7B90"/>
    <w:rsid w:val="00FB3D52"/>
    <w:rsid w:val="00FB46E6"/>
    <w:rsid w:val="00FB4C80"/>
    <w:rsid w:val="00FB6A6A"/>
    <w:rsid w:val="00FB6ACF"/>
    <w:rsid w:val="00FC0206"/>
    <w:rsid w:val="00FC076D"/>
    <w:rsid w:val="00FC4767"/>
    <w:rsid w:val="00FC4AD0"/>
    <w:rsid w:val="00FC7429"/>
    <w:rsid w:val="00FD07F6"/>
    <w:rsid w:val="00FD14F7"/>
    <w:rsid w:val="00FD1D12"/>
    <w:rsid w:val="00FD1EC8"/>
    <w:rsid w:val="00FD20E5"/>
    <w:rsid w:val="00FD3FB3"/>
    <w:rsid w:val="00FD434C"/>
    <w:rsid w:val="00FD47ED"/>
    <w:rsid w:val="00FD74DB"/>
    <w:rsid w:val="00FD7660"/>
    <w:rsid w:val="00FE0655"/>
    <w:rsid w:val="00FE20DB"/>
    <w:rsid w:val="00FE2365"/>
    <w:rsid w:val="00FE2927"/>
    <w:rsid w:val="00FE4C7B"/>
    <w:rsid w:val="00FE7336"/>
    <w:rsid w:val="00FE787C"/>
    <w:rsid w:val="00FF05B7"/>
    <w:rsid w:val="00FF1E31"/>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BF08365B-4715-4D8F-9A7C-46ED2FDB0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08B0"/>
    <w:pPr>
      <w:spacing w:after="200" w:line="276" w:lineRule="auto"/>
    </w:pPr>
    <w:rPr>
      <w:rFonts w:asciiTheme="minorHAnsi" w:eastAsiaTheme="minorEastAsia" w:hAnsiTheme="minorHAnsi" w:cstheme="minorBidi"/>
      <w:sz w:val="22"/>
      <w:szCs w:val="22"/>
      <w:lang w:val="en-GB"/>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9C08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08B0"/>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purl.org/dc/terms/"/>
    <ds:schemaRef ds:uri="http://schemas.microsoft.com/office/2006/documentManagement/types"/>
    <ds:schemaRef ds:uri="7789c8df-cd92-43c1-8a83-195dbc0f0a0a"/>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schemas.microsoft.com/sharepoint/v4"/>
    <ds:schemaRef ds:uri="08b2df90-05d3-4030-90d4-c9feeb4a1cd9"/>
    <ds:schemaRef ds:uri="http://www.w3.org/XML/1998/namespace"/>
    <ds:schemaRef ds:uri="http://purl.org/dc/dcmitype/"/>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FF457BF4-5F42-46AC-89A5-46BE3F9CD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880</Words>
  <Characters>4561</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Quan Kuang</cp:lastModifiedBy>
  <cp:revision>2</cp:revision>
  <cp:lastPrinted>2008-01-31T06:09:00Z</cp:lastPrinted>
  <dcterms:created xsi:type="dcterms:W3CDTF">2018-02-15T12:48:00Z</dcterms:created>
  <dcterms:modified xsi:type="dcterms:W3CDTF">2018-02-15T12:48:00Z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