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7BDC8" w14:textId="667021CA"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003110B2">
        <w:rPr>
          <w:rFonts w:ascii="Arial" w:hAnsi="Arial" w:cs="Arial"/>
          <w:b/>
          <w:bCs/>
          <w:noProof/>
          <w:snapToGrid w:val="0"/>
          <w:kern w:val="0"/>
          <w:sz w:val="28"/>
          <w:szCs w:val="28"/>
          <w:lang w:val="en-GB"/>
        </w:rPr>
        <w:t>100</w:t>
      </w:r>
      <w:r w:rsidR="00940533">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sidR="00DE1B4A">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001F31F0">
        <w:rPr>
          <w:rFonts w:ascii="Arial" w:hAnsi="Arial" w:cs="Arial"/>
          <w:b/>
          <w:bCs/>
          <w:noProof/>
          <w:snapToGrid w:val="0"/>
          <w:kern w:val="0"/>
          <w:sz w:val="28"/>
          <w:szCs w:val="28"/>
        </w:rPr>
        <w:t>R2-17</w:t>
      </w:r>
      <w:r w:rsidR="00AC3CD3">
        <w:rPr>
          <w:rFonts w:ascii="Arial" w:hAnsi="Arial" w:cs="Arial"/>
          <w:b/>
          <w:bCs/>
          <w:noProof/>
          <w:snapToGrid w:val="0"/>
          <w:kern w:val="0"/>
          <w:sz w:val="28"/>
          <w:szCs w:val="28"/>
        </w:rPr>
        <w:t>12610</w:t>
      </w:r>
    </w:p>
    <w:p w14:paraId="36F8761A" w14:textId="1D7738BC" w:rsidR="00402985" w:rsidRPr="00402985" w:rsidRDefault="003110B2"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Reno</w:t>
      </w:r>
      <w:r w:rsidR="008A4FE1"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USA</w:t>
      </w:r>
      <w:r w:rsidR="008A4FE1"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27 Nov – 1 Dec</w:t>
      </w:r>
      <w:r w:rsidR="008A4FE1" w:rsidRPr="008A4FE1">
        <w:rPr>
          <w:rFonts w:ascii="Arial" w:hAnsi="Arial" w:cs="Arial"/>
          <w:b/>
          <w:bCs/>
          <w:noProof/>
          <w:kern w:val="0"/>
          <w:sz w:val="28"/>
          <w:szCs w:val="28"/>
          <w:lang w:val="en-GB"/>
        </w:rPr>
        <w:t xml:space="preserve"> 2017</w:t>
      </w:r>
      <w:r w:rsidR="00670351">
        <w:rPr>
          <w:rFonts w:ascii="Arial" w:hAnsi="Arial" w:cs="Arial"/>
          <w:b/>
          <w:bCs/>
          <w:noProof/>
          <w:kern w:val="0"/>
          <w:sz w:val="28"/>
          <w:szCs w:val="28"/>
        </w:rPr>
        <w:t xml:space="preserve"> </w:t>
      </w:r>
      <w:r w:rsidR="00DE1B4A">
        <w:rPr>
          <w:rFonts w:ascii="Arial" w:hAnsi="Arial" w:cs="Arial"/>
          <w:b/>
          <w:bCs/>
          <w:noProof/>
          <w:kern w:val="0"/>
          <w:sz w:val="28"/>
          <w:szCs w:val="28"/>
          <w:lang w:val="en-GB"/>
        </w:rPr>
        <w:tab/>
      </w:r>
      <w:r w:rsidR="00DE1B4A">
        <w:rPr>
          <w:rFonts w:ascii="Arial" w:hAnsi="Arial" w:cs="Arial"/>
          <w:b/>
          <w:bCs/>
          <w:noProof/>
          <w:kern w:val="0"/>
          <w:sz w:val="28"/>
          <w:szCs w:val="28"/>
          <w:lang w:val="en-GB"/>
        </w:rPr>
        <w:tab/>
        <w:t xml:space="preserve">  </w:t>
      </w:r>
    </w:p>
    <w:p w14:paraId="74D7921E" w14:textId="77777777" w:rsidR="003436BE" w:rsidRPr="00402985"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p>
    <w:p w14:paraId="0D0D7E77" w14:textId="3FC5C02C"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AC3CD3">
        <w:rPr>
          <w:rFonts w:ascii="Arial" w:hAnsi="Arial" w:cs="Arial"/>
          <w:b/>
          <w:bCs/>
          <w:noProof/>
          <w:snapToGrid w:val="0"/>
          <w:kern w:val="0"/>
          <w:sz w:val="28"/>
          <w:szCs w:val="28"/>
        </w:rPr>
        <w:t>, Sane</w:t>
      </w:r>
      <w:r w:rsidR="001806A8">
        <w:rPr>
          <w:rFonts w:ascii="Arial" w:hAnsi="Arial" w:cs="Arial"/>
          <w:b/>
          <w:bCs/>
          <w:noProof/>
          <w:snapToGrid w:val="0"/>
          <w:kern w:val="0"/>
          <w:sz w:val="28"/>
          <w:szCs w:val="28"/>
        </w:rPr>
        <w:t>chips</w:t>
      </w:r>
    </w:p>
    <w:p w14:paraId="59B94E8E" w14:textId="34D5513F"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3110B2">
        <w:rPr>
          <w:rFonts w:ascii="Arial" w:hAnsi="Arial" w:cs="Arial"/>
          <w:b/>
          <w:bCs/>
          <w:noProof/>
          <w:snapToGrid w:val="0"/>
          <w:kern w:val="0"/>
          <w:sz w:val="28"/>
          <w:szCs w:val="28"/>
        </w:rPr>
        <w:t xml:space="preserve">PDCP type change for </w:t>
      </w:r>
      <w:r w:rsidR="00AC3CD3">
        <w:rPr>
          <w:rFonts w:ascii="Arial" w:hAnsi="Arial" w:cs="Arial"/>
          <w:b/>
          <w:bCs/>
          <w:noProof/>
          <w:snapToGrid w:val="0"/>
          <w:kern w:val="0"/>
          <w:sz w:val="28"/>
          <w:szCs w:val="28"/>
        </w:rPr>
        <w:t>eLTE</w:t>
      </w:r>
      <w:r w:rsidR="001806A8">
        <w:rPr>
          <w:rFonts w:ascii="Arial" w:hAnsi="Arial" w:cs="Arial"/>
          <w:b/>
          <w:bCs/>
          <w:noProof/>
          <w:snapToGrid w:val="0"/>
          <w:kern w:val="0"/>
          <w:sz w:val="28"/>
          <w:szCs w:val="28"/>
        </w:rPr>
        <w:t xml:space="preserve"> </w:t>
      </w:r>
    </w:p>
    <w:p w14:paraId="350787AF" w14:textId="0711994D"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AC3CD3">
        <w:rPr>
          <w:rFonts w:ascii="Arial" w:hAnsi="Arial" w:cs="Arial"/>
          <w:b/>
          <w:bCs/>
          <w:noProof/>
          <w:snapToGrid w:val="0"/>
          <w:kern w:val="0"/>
          <w:sz w:val="28"/>
          <w:szCs w:val="28"/>
        </w:rPr>
        <w:t>9.7.2</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5C0BE9B9" w14:textId="1E6BBCCB" w:rsidR="0019547D" w:rsidRDefault="00ED19D2" w:rsidP="006F2252">
      <w:pPr>
        <w:rPr>
          <w:rFonts w:ascii="Arial" w:hAnsi="Arial" w:cs="Arial"/>
          <w:b/>
          <w:bCs/>
          <w:kern w:val="0"/>
          <w:sz w:val="32"/>
          <w:szCs w:val="36"/>
        </w:rPr>
      </w:pPr>
      <w:r>
        <w:t xml:space="preserve">At RAN2#99-bis it was agreed that for eNB will initially configure SRB1 with LTE PDCP and only upon receiving the CN type selection in Msg5, the eLTE eNB may reconfigure the SRB1 with NR-PDCP (if 5G CN is selected). One open question is whether this change of PDCP type can be performed before or after SMC and the implications with both approaches. In this contribution we discuss these aspects and propose a way forward. </w:t>
      </w:r>
    </w:p>
    <w:p w14:paraId="36B65BB2" w14:textId="530D0EFC"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26B2A8A1" w14:textId="1421A0DE" w:rsidR="00F94D96" w:rsidRDefault="0000394D" w:rsidP="00F94D96">
      <w:r>
        <w:fldChar w:fldCharType="begin"/>
      </w:r>
      <w:r>
        <w:instrText xml:space="preserve"> REF _Ref497304625 \h </w:instrText>
      </w:r>
      <w:r>
        <w:fldChar w:fldCharType="separate"/>
      </w:r>
      <w:r>
        <w:t xml:space="preserve">Figure </w:t>
      </w:r>
      <w:r>
        <w:rPr>
          <w:noProof/>
        </w:rPr>
        <w:t>1</w:t>
      </w:r>
      <w:r>
        <w:fldChar w:fldCharType="end"/>
      </w:r>
      <w:r w:rsidR="003645A1">
        <w:t xml:space="preserve"> below shows the </w:t>
      </w:r>
      <w:r w:rsidR="00F94D96">
        <w:t>typical</w:t>
      </w:r>
      <w:r w:rsidR="003645A1">
        <w:t xml:space="preserve"> phases in connection setup in LTE (taking the example of a UE</w:t>
      </w:r>
      <w:r w:rsidR="00B716F8">
        <w:t xml:space="preserve"> in detached state</w:t>
      </w:r>
      <w:r w:rsidR="003645A1">
        <w:t>)</w:t>
      </w:r>
      <w:r w:rsidR="00F94D96">
        <w:t xml:space="preserve">. Based on the agreement at last meeting that the CN type is indicated in Msg5, it is clear that the CN type is known to the eNB after phase 1 in </w:t>
      </w:r>
      <w:r>
        <w:fldChar w:fldCharType="begin"/>
      </w:r>
      <w:r>
        <w:instrText xml:space="preserve"> REF _Ref497304625 \h </w:instrText>
      </w:r>
      <w:r>
        <w:fldChar w:fldCharType="separate"/>
      </w:r>
      <w:r>
        <w:t xml:space="preserve">Figure </w:t>
      </w:r>
      <w:r>
        <w:rPr>
          <w:noProof/>
        </w:rPr>
        <w:t>1</w:t>
      </w:r>
      <w:r>
        <w:fldChar w:fldCharType="end"/>
      </w:r>
      <w:r w:rsidR="00F94D96">
        <w:t xml:space="preserve">. </w:t>
      </w:r>
    </w:p>
    <w:p w14:paraId="07D11B3E" w14:textId="7C0EDDA1" w:rsidR="003F39E3" w:rsidRDefault="003F39E3" w:rsidP="00F94D96"/>
    <w:p w14:paraId="25CCC99E" w14:textId="3334141F" w:rsidR="003F39E3" w:rsidRDefault="00AC3CD3" w:rsidP="003F39E3">
      <w:pPr>
        <w:keepNext/>
        <w:jc w:val="center"/>
      </w:pPr>
      <w:r w:rsidRPr="00AC3CD3">
        <w:rPr>
          <w:noProof/>
        </w:rPr>
        <w:lastRenderedPageBreak/>
        <w:drawing>
          <wp:inline distT="0" distB="0" distL="0" distR="0" wp14:anchorId="6A7282A9" wp14:editId="25727660">
            <wp:extent cx="5000625" cy="6334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0625" cy="6334125"/>
                    </a:xfrm>
                    <a:prstGeom prst="rect">
                      <a:avLst/>
                    </a:prstGeom>
                    <a:noFill/>
                    <a:ln>
                      <a:noFill/>
                    </a:ln>
                  </pic:spPr>
                </pic:pic>
              </a:graphicData>
            </a:graphic>
          </wp:inline>
        </w:drawing>
      </w:r>
    </w:p>
    <w:p w14:paraId="3C5F6F9E" w14:textId="07A804FD" w:rsidR="003F39E3" w:rsidRDefault="003F39E3" w:rsidP="003F39E3">
      <w:pPr>
        <w:pStyle w:val="Caption"/>
        <w:jc w:val="center"/>
      </w:pPr>
      <w:bookmarkStart w:id="2" w:name="_Ref497304625"/>
      <w:r>
        <w:t xml:space="preserve">Figure </w:t>
      </w:r>
      <w:fldSimple w:instr=" SEQ Figure \* ARABIC ">
        <w:r w:rsidR="00027D57">
          <w:rPr>
            <w:noProof/>
          </w:rPr>
          <w:t>1</w:t>
        </w:r>
      </w:fldSimple>
      <w:bookmarkEnd w:id="2"/>
      <w:r>
        <w:t>: LTE connection establishment procedure</w:t>
      </w:r>
    </w:p>
    <w:p w14:paraId="61596DF6" w14:textId="77777777" w:rsidR="003F39E3" w:rsidRDefault="003F39E3" w:rsidP="00F94D96"/>
    <w:p w14:paraId="4337ED68" w14:textId="5F71F871" w:rsidR="00F94D96" w:rsidRDefault="00F94D96" w:rsidP="00F94D96">
      <w:r>
        <w:t xml:space="preserve">Now the question is when exactly after </w:t>
      </w:r>
      <w:r w:rsidR="00485B0D">
        <w:t>Msg5</w:t>
      </w:r>
      <w:r>
        <w:t xml:space="preserve"> will the PDCP type for SRB1 be changed to the NR PDCP. There are multiple options for this</w:t>
      </w:r>
      <w:r w:rsidR="00887F76">
        <w:t xml:space="preserve"> as </w:t>
      </w:r>
      <w:r w:rsidR="00485B0D">
        <w:t xml:space="preserve">depicted in </w:t>
      </w:r>
      <w:r w:rsidR="00485B0D">
        <w:fldChar w:fldCharType="begin"/>
      </w:r>
      <w:r w:rsidR="00485B0D">
        <w:instrText xml:space="preserve"> REF _Ref497304625 \h </w:instrText>
      </w:r>
      <w:r w:rsidR="00485B0D">
        <w:fldChar w:fldCharType="separate"/>
      </w:r>
      <w:r w:rsidR="00485B0D">
        <w:t xml:space="preserve">Figure </w:t>
      </w:r>
      <w:r w:rsidR="00485B0D">
        <w:rPr>
          <w:noProof/>
        </w:rPr>
        <w:t>1</w:t>
      </w:r>
      <w:r w:rsidR="00485B0D">
        <w:fldChar w:fldCharType="end"/>
      </w:r>
      <w:r w:rsidR="00887F76">
        <w:t>:</w:t>
      </w:r>
      <w:r>
        <w:t xml:space="preserve"> </w:t>
      </w:r>
    </w:p>
    <w:p w14:paraId="539B83F9" w14:textId="7299FAA5" w:rsidR="00F94D96" w:rsidRPr="00046E3D" w:rsidRDefault="00F94D96" w:rsidP="00F94D96">
      <w:pPr>
        <w:rPr>
          <w:b/>
          <w:u w:val="single"/>
        </w:rPr>
      </w:pPr>
      <w:r w:rsidRPr="00046E3D">
        <w:rPr>
          <w:b/>
          <w:u w:val="single"/>
        </w:rPr>
        <w:t>Option 1 – After phase1 (after initial connection setup)</w:t>
      </w:r>
      <w:r w:rsidR="003B774C">
        <w:rPr>
          <w:b/>
          <w:u w:val="single"/>
        </w:rPr>
        <w:t>:</w:t>
      </w:r>
    </w:p>
    <w:p w14:paraId="7D0D9A4A" w14:textId="1ACB3B2F" w:rsidR="008170EC" w:rsidRDefault="00887F76" w:rsidP="00F94D96">
      <w:r>
        <w:t xml:space="preserve">In this option, as soon as Msg5 is received, the eNB sends an additional Reconfiguration message to reconfigure the SRB1 to use NR PDCP. Since security is not yet setup, this additional reconfiguration message shall preferably be only used to reconfigure the SRB1 PDCP type and no other configuration parameters shall be </w:t>
      </w:r>
      <w:r w:rsidR="006D0533">
        <w:t>included</w:t>
      </w:r>
      <w:r>
        <w:t xml:space="preserve"> </w:t>
      </w:r>
      <w:r w:rsidR="006D0533">
        <w:t>in</w:t>
      </w:r>
      <w:r>
        <w:t xml:space="preserve"> this message at this stage (e.g. measurement configuration shall not be included – to prevent the measurements prior to establishment of security and no NAS messages shall be included yet in this case</w:t>
      </w:r>
      <w:r w:rsidR="00B716F8">
        <w:t xml:space="preserve"> – neither in UL, nor in DL</w:t>
      </w:r>
      <w:r>
        <w:t xml:space="preserve">). </w:t>
      </w:r>
      <w:r w:rsidR="008170EC">
        <w:lastRenderedPageBreak/>
        <w:t>Assuming that the additional reconfiguration immediately after phase 1 is used, it seems that subsequent procedure could take place normally (using the SRB1 with NR PDCP format). Since security is not yet established, there is no need to use handover procedure to perform this reconfiguration. So, the following observation is made:</w:t>
      </w:r>
    </w:p>
    <w:p w14:paraId="60FB3C98" w14:textId="21508DF4" w:rsidR="008170EC" w:rsidRDefault="008170EC" w:rsidP="00F94D96"/>
    <w:p w14:paraId="2A629159" w14:textId="1C4A87E7" w:rsidR="008170EC" w:rsidRPr="008170EC" w:rsidRDefault="008170EC" w:rsidP="00F94D96">
      <w:pPr>
        <w:rPr>
          <w:b/>
        </w:rPr>
      </w:pPr>
      <w:r w:rsidRPr="008170EC">
        <w:rPr>
          <w:b/>
        </w:rPr>
        <w:t xml:space="preserve">Observation 1: It is feasible that the PDCP type of SRB1 is changed immediately after phase 1 (i.e. before NAS security procedure is initiated) as long as the additional reconfiguration message is restricted to only reconfigure the SRB1 configuration and does not include any other optional configuration parameters which may be included in the </w:t>
      </w:r>
      <w:r w:rsidRPr="008170EC">
        <w:rPr>
          <w:b/>
          <w:i/>
        </w:rPr>
        <w:t>RRCConnectionReconfiguration</w:t>
      </w:r>
      <w:r w:rsidRPr="008170EC">
        <w:rPr>
          <w:b/>
        </w:rPr>
        <w:t xml:space="preserve"> message. </w:t>
      </w:r>
    </w:p>
    <w:p w14:paraId="2A48CC45" w14:textId="77777777" w:rsidR="008170EC" w:rsidRDefault="008170EC" w:rsidP="00F94D96"/>
    <w:p w14:paraId="2FC5161D" w14:textId="380610B5" w:rsidR="00F94D96" w:rsidRDefault="00F94D96" w:rsidP="00F94D96">
      <w:pPr>
        <w:rPr>
          <w:b/>
        </w:rPr>
      </w:pPr>
      <w:r w:rsidRPr="00046E3D">
        <w:rPr>
          <w:b/>
          <w:u w:val="single"/>
        </w:rPr>
        <w:t>Option 2 – After phase 2 (after establishing NAS security)</w:t>
      </w:r>
      <w:r w:rsidR="003B774C">
        <w:rPr>
          <w:b/>
          <w:u w:val="single"/>
        </w:rPr>
        <w:t>:</w:t>
      </w:r>
      <w:r w:rsidR="003B774C">
        <w:rPr>
          <w:b/>
        </w:rPr>
        <w:t xml:space="preserve"> </w:t>
      </w:r>
    </w:p>
    <w:p w14:paraId="267BA707" w14:textId="67DB217C" w:rsidR="00485B0D" w:rsidRDefault="008C594A" w:rsidP="00F94D96">
      <w:r>
        <w:t xml:space="preserve">In this option, the PDCP version is changed after concluding the NAS security setup. </w:t>
      </w:r>
      <w:r w:rsidR="00494ED7">
        <w:t xml:space="preserve">Note that optionally, this may include UE capability enquiry phase (e.g. if the initial context setup message doesn’t include the UE capability) but the gNB initiates the exchange of the UE capability and hence is aware of the pending uplink messages at the UE at this stage. </w:t>
      </w:r>
      <w:r w:rsidR="00AF148A">
        <w:t xml:space="preserve">The implications of this option are similar to </w:t>
      </w:r>
      <w:r>
        <w:t>option 1</w:t>
      </w:r>
      <w:r w:rsidR="00AF148A">
        <w:t xml:space="preserve">. One advantage of this option is that the UE capability is known to the network (it is included in the Initial Context Setup message from the EPC). Based on the UE capability, the network may switch to </w:t>
      </w:r>
      <w:r w:rsidR="001F6AA7">
        <w:t>the NR-PDCP version after receiving this message from EPC (and before initiating the SMC procedure in phase 3).</w:t>
      </w:r>
    </w:p>
    <w:p w14:paraId="190F1564" w14:textId="72B44CE8" w:rsidR="00485B0D" w:rsidRDefault="00485B0D" w:rsidP="00F94D96"/>
    <w:p w14:paraId="09F7473D" w14:textId="338728A0" w:rsidR="00485B0D" w:rsidRDefault="00485B0D" w:rsidP="00F94D96">
      <w:r>
        <w:t xml:space="preserve">One further aspect to note is that the PDCP version also needs to be changed when the eNB needs to enable EN-DC operation. For this case, we have already agreed that the network has a choice to change the PDCP version using reconfiguration (without handover) when the eNB is confident that there is no pending data at the UE over SRB1. After phase 2, the eNB can be sure that there is no pending data at the UE and the eNB also has the UE’s capability (i.e. the EN-DC capability is known). So, this may be a good point to change the PDCP to NR-PDCP. The advantage of this option is that both for 5GC connectivity and for EN-DC a uniform solution may be adopted. </w:t>
      </w:r>
    </w:p>
    <w:p w14:paraId="5BBBBAE8" w14:textId="70C38D42" w:rsidR="003B774C" w:rsidRDefault="001F6AA7" w:rsidP="00F94D96">
      <w:r>
        <w:t xml:space="preserve"> </w:t>
      </w:r>
    </w:p>
    <w:p w14:paraId="0CF87AAE" w14:textId="6E2959D1" w:rsidR="008C594A" w:rsidRDefault="008C594A" w:rsidP="00F94D96">
      <w:pPr>
        <w:rPr>
          <w:b/>
        </w:rPr>
      </w:pPr>
      <w:r w:rsidRPr="008C594A">
        <w:rPr>
          <w:b/>
        </w:rPr>
        <w:t xml:space="preserve">Observation 2: Option 2 has similar implications as option 1 </w:t>
      </w:r>
      <w:r w:rsidR="00485B0D">
        <w:rPr>
          <w:b/>
        </w:rPr>
        <w:t xml:space="preserve">and is suitable for EN-DC operation where the eNB may change the PDCP version to NR-PDCP once it is aware of the UE capabilities. </w:t>
      </w:r>
    </w:p>
    <w:p w14:paraId="5C9FD3CE" w14:textId="77777777" w:rsidR="008C594A" w:rsidRPr="008C594A" w:rsidRDefault="008C594A" w:rsidP="00F94D96">
      <w:pPr>
        <w:rPr>
          <w:b/>
        </w:rPr>
      </w:pPr>
    </w:p>
    <w:p w14:paraId="54533EFB" w14:textId="134AE2E5" w:rsidR="00F94D96" w:rsidRDefault="00F94D96" w:rsidP="00F94D96">
      <w:pPr>
        <w:rPr>
          <w:b/>
          <w:u w:val="single"/>
        </w:rPr>
      </w:pPr>
      <w:r w:rsidRPr="00046E3D">
        <w:rPr>
          <w:b/>
          <w:u w:val="single"/>
        </w:rPr>
        <w:t>Option 3 – After phase 3 (after establishing AS security</w:t>
      </w:r>
      <w:r w:rsidR="00485B0D">
        <w:rPr>
          <w:b/>
          <w:u w:val="single"/>
        </w:rPr>
        <w:t xml:space="preserve"> and DRB</w:t>
      </w:r>
      <w:r w:rsidRPr="00046E3D">
        <w:rPr>
          <w:b/>
          <w:u w:val="single"/>
        </w:rPr>
        <w:t>):</w:t>
      </w:r>
    </w:p>
    <w:p w14:paraId="20B29272" w14:textId="0B34476E" w:rsidR="008C594A" w:rsidRDefault="00A5709E" w:rsidP="00F94D96">
      <w:r>
        <w:t xml:space="preserve">In option 3, the </w:t>
      </w:r>
      <w:r w:rsidR="00851C79">
        <w:t xml:space="preserve">additional reconfiguration message is sent after AS security procedure has been established. It should however be noted that this requires handover in case of LTE since the security algorithms are changed between LTE and NR due to the change of the PDCP. Thus, this requires additional signaling and is not optimal. </w:t>
      </w:r>
      <w:r w:rsidR="00027D57">
        <w:t xml:space="preserve">However, it should be noted that this option is not to be precluded as this is anyway necessary to handle the actual handover scenario. </w:t>
      </w:r>
    </w:p>
    <w:p w14:paraId="6FA5035A" w14:textId="77777777" w:rsidR="00027D57" w:rsidRDefault="00027D57" w:rsidP="00F94D96"/>
    <w:p w14:paraId="016E0463" w14:textId="093E0E4B" w:rsidR="00851C79" w:rsidRPr="00851C79" w:rsidRDefault="00851C79" w:rsidP="00F94D96">
      <w:pPr>
        <w:rPr>
          <w:b/>
        </w:rPr>
      </w:pPr>
      <w:r w:rsidRPr="00851C79">
        <w:rPr>
          <w:b/>
        </w:rPr>
        <w:t xml:space="preserve">Observation 3: Changing PDCP version </w:t>
      </w:r>
      <w:r>
        <w:rPr>
          <w:b/>
        </w:rPr>
        <w:t xml:space="preserve">for SRB1 </w:t>
      </w:r>
      <w:r w:rsidRPr="00851C79">
        <w:rPr>
          <w:b/>
        </w:rPr>
        <w:t xml:space="preserve">after SMC </w:t>
      </w:r>
      <w:r w:rsidR="00B17139">
        <w:rPr>
          <w:b/>
        </w:rPr>
        <w:t xml:space="preserve">is feasible but </w:t>
      </w:r>
      <w:r w:rsidRPr="00851C79">
        <w:rPr>
          <w:b/>
        </w:rPr>
        <w:t xml:space="preserve">needs handover procedure and leads to additional </w:t>
      </w:r>
      <w:r w:rsidR="00B17139">
        <w:rPr>
          <w:b/>
        </w:rPr>
        <w:t xml:space="preserve">signaling </w:t>
      </w:r>
    </w:p>
    <w:p w14:paraId="7A29E277" w14:textId="33E1FA86" w:rsidR="00851C79" w:rsidRDefault="00851C79" w:rsidP="00470697">
      <w:pPr>
        <w:rPr>
          <w:b/>
        </w:rPr>
      </w:pPr>
    </w:p>
    <w:p w14:paraId="470C5891" w14:textId="766FC04C" w:rsidR="00485B0D" w:rsidRDefault="00A756EC" w:rsidP="00470697">
      <w:r w:rsidRPr="00A756EC">
        <w:t>Given</w:t>
      </w:r>
      <w:r w:rsidR="000C236D">
        <w:t xml:space="preserve"> the above observations, we propose</w:t>
      </w:r>
      <w:r w:rsidR="00203B88">
        <w:t xml:space="preserve"> to adopt option </w:t>
      </w:r>
      <w:r w:rsidR="00027D57">
        <w:t>2</w:t>
      </w:r>
      <w:r w:rsidR="00203B88">
        <w:t xml:space="preserve"> as described in the </w:t>
      </w:r>
      <w:r w:rsidR="00794677">
        <w:fldChar w:fldCharType="begin"/>
      </w:r>
      <w:r w:rsidR="00794677">
        <w:instrText xml:space="preserve"> REF _Ref497310980 \h </w:instrText>
      </w:r>
      <w:r w:rsidR="00794677">
        <w:fldChar w:fldCharType="separate"/>
      </w:r>
      <w:r w:rsidR="00794677">
        <w:t xml:space="preserve">Figure </w:t>
      </w:r>
      <w:r w:rsidR="00794677">
        <w:rPr>
          <w:noProof/>
        </w:rPr>
        <w:t>2</w:t>
      </w:r>
      <w:r w:rsidR="00794677">
        <w:fldChar w:fldCharType="end"/>
      </w:r>
      <w:r w:rsidR="00794677">
        <w:t xml:space="preserve"> </w:t>
      </w:r>
      <w:r w:rsidR="00203B88">
        <w:t>below</w:t>
      </w:r>
      <w:r w:rsidR="00027D57">
        <w:t xml:space="preserve"> as the way forward</w:t>
      </w:r>
      <w:r w:rsidR="00203B88">
        <w:t>.</w:t>
      </w:r>
      <w:r w:rsidR="003434AB">
        <w:t xml:space="preserve"> However, as noted above, given that both option 2 and option 3 are needed in practice to cover the initial establishment scenario and the handover scenario in the specifications, both options </w:t>
      </w:r>
      <w:r w:rsidR="00AA6ECD">
        <w:t>are</w:t>
      </w:r>
      <w:r w:rsidR="003434AB">
        <w:t xml:space="preserve"> </w:t>
      </w:r>
      <w:r w:rsidR="00AA6ECD">
        <w:t>feasible,</w:t>
      </w:r>
      <w:r w:rsidR="003434AB">
        <w:t xml:space="preserve"> and the actual timing of the reconfiguration may be left to the network implementations (i.e. no further specification</w:t>
      </w:r>
      <w:r w:rsidR="00AA6ECD">
        <w:t xml:space="preserve"> of network </w:t>
      </w:r>
      <w:r w:rsidR="00494ED7">
        <w:t>behavior</w:t>
      </w:r>
      <w:r w:rsidR="003434AB">
        <w:t xml:space="preserve"> is actually needed). </w:t>
      </w:r>
    </w:p>
    <w:p w14:paraId="7F54B3ED" w14:textId="7EA625FD" w:rsidR="00851C79" w:rsidRDefault="00203B88" w:rsidP="00470697">
      <w:r>
        <w:t xml:space="preserve"> </w:t>
      </w:r>
    </w:p>
    <w:p w14:paraId="254825D6" w14:textId="5EA67D06" w:rsidR="00027D57" w:rsidRDefault="00CF4C4C" w:rsidP="00027D57">
      <w:pPr>
        <w:keepNext/>
        <w:jc w:val="center"/>
      </w:pPr>
      <w:r w:rsidRPr="00CF4C4C">
        <w:lastRenderedPageBreak/>
        <w:drawing>
          <wp:inline distT="0" distB="0" distL="0" distR="0" wp14:anchorId="2DC8E1F6" wp14:editId="5F05CEA4">
            <wp:extent cx="5210175" cy="56673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b="12500"/>
                    <a:stretch/>
                  </pic:blipFill>
                  <pic:spPr bwMode="auto">
                    <a:xfrm>
                      <a:off x="0" y="0"/>
                      <a:ext cx="5210175" cy="5667375"/>
                    </a:xfrm>
                    <a:prstGeom prst="rect">
                      <a:avLst/>
                    </a:prstGeom>
                    <a:noFill/>
                    <a:ln>
                      <a:noFill/>
                    </a:ln>
                    <a:extLst>
                      <a:ext uri="{53640926-AAD7-44D8-BBD7-CCE9431645EC}">
                        <a14:shadowObscured xmlns:a14="http://schemas.microsoft.com/office/drawing/2010/main"/>
                      </a:ext>
                    </a:extLst>
                  </pic:spPr>
                </pic:pic>
              </a:graphicData>
            </a:graphic>
          </wp:inline>
        </w:drawing>
      </w:r>
    </w:p>
    <w:p w14:paraId="5BE0505E" w14:textId="4A03649E" w:rsidR="00027D57" w:rsidRDefault="00027D57" w:rsidP="00027D57">
      <w:pPr>
        <w:pStyle w:val="Caption"/>
        <w:jc w:val="center"/>
      </w:pPr>
      <w:r>
        <w:t xml:space="preserve">Figure </w:t>
      </w:r>
      <w:fldSimple w:instr=" SEQ Figure \* ARABIC ">
        <w:r>
          <w:rPr>
            <w:noProof/>
          </w:rPr>
          <w:t>2</w:t>
        </w:r>
      </w:fldSimple>
      <w:r>
        <w:t>: Proposed solution for changing the PDCP ve</w:t>
      </w:r>
      <w:bookmarkStart w:id="3" w:name="_GoBack"/>
      <w:bookmarkEnd w:id="3"/>
      <w:r>
        <w:t>rsion of SRB1</w:t>
      </w:r>
    </w:p>
    <w:p w14:paraId="32D38AF5" w14:textId="77777777" w:rsidR="003F39E3" w:rsidRDefault="003F39E3" w:rsidP="00470697">
      <w:pPr>
        <w:rPr>
          <w:b/>
        </w:rPr>
      </w:pPr>
    </w:p>
    <w:p w14:paraId="408B07E6" w14:textId="54F76831" w:rsidR="000C236D" w:rsidRDefault="000C236D" w:rsidP="00470697">
      <w:pPr>
        <w:rPr>
          <w:b/>
        </w:rPr>
      </w:pPr>
      <w:r w:rsidRPr="003F39E3">
        <w:rPr>
          <w:b/>
        </w:rPr>
        <w:t xml:space="preserve">Proposal 1: </w:t>
      </w:r>
      <w:r w:rsidR="003434AB">
        <w:rPr>
          <w:b/>
        </w:rPr>
        <w:t>The network may reconfigure the SRB1 to use NR-PDCP after phase 2 (</w:t>
      </w:r>
      <w:r w:rsidR="00494ED7">
        <w:rPr>
          <w:b/>
        </w:rPr>
        <w:t>e.g.</w:t>
      </w:r>
      <w:r w:rsidR="003434AB">
        <w:rPr>
          <w:b/>
        </w:rPr>
        <w:t xml:space="preserve"> after receiving the UE capability from the CN</w:t>
      </w:r>
      <w:r w:rsidR="00494ED7">
        <w:rPr>
          <w:b/>
        </w:rPr>
        <w:t>/via UE capability enquiry</w:t>
      </w:r>
      <w:r w:rsidR="003434AB">
        <w:rPr>
          <w:b/>
        </w:rPr>
        <w:t xml:space="preserve">). In this case, no other changes shall be performed to the UE configuration apart from changing the SRB1 configuration. </w:t>
      </w:r>
    </w:p>
    <w:p w14:paraId="02512B4D" w14:textId="7EF6DF5E" w:rsidR="003434AB" w:rsidRDefault="003434AB" w:rsidP="00470697">
      <w:pPr>
        <w:rPr>
          <w:b/>
        </w:rPr>
      </w:pPr>
    </w:p>
    <w:p w14:paraId="5FE41468" w14:textId="3A0A2A87" w:rsidR="003434AB" w:rsidRPr="003F39E3" w:rsidRDefault="003434AB" w:rsidP="00470697">
      <w:pPr>
        <w:rPr>
          <w:b/>
        </w:rPr>
      </w:pPr>
      <w:r>
        <w:rPr>
          <w:b/>
        </w:rPr>
        <w:t>Proposal 2: The above proposal is applicable for 5GC connectivity for LTE as well as for EN-DC operation</w:t>
      </w:r>
    </w:p>
    <w:p w14:paraId="6062D2D7" w14:textId="77777777" w:rsidR="003F39E3" w:rsidRDefault="003F39E3" w:rsidP="00470697">
      <w:pPr>
        <w:rPr>
          <w:b/>
        </w:rPr>
      </w:pPr>
    </w:p>
    <w:p w14:paraId="6D7C8795" w14:textId="72E2357C" w:rsidR="00B65BF6" w:rsidRDefault="00B65BF6" w:rsidP="00470697">
      <w:pPr>
        <w:rPr>
          <w:b/>
        </w:rPr>
      </w:pPr>
      <w:r w:rsidRPr="003F39E3">
        <w:rPr>
          <w:b/>
        </w:rPr>
        <w:t xml:space="preserve">Proposal </w:t>
      </w:r>
      <w:r w:rsidR="003434AB">
        <w:rPr>
          <w:b/>
        </w:rPr>
        <w:t>3</w:t>
      </w:r>
      <w:r w:rsidRPr="003F39E3">
        <w:rPr>
          <w:b/>
        </w:rPr>
        <w:t xml:space="preserve">: </w:t>
      </w:r>
      <w:r w:rsidR="003434AB">
        <w:rPr>
          <w:b/>
        </w:rPr>
        <w:t>No additional specification is foreseen to specify the above network behavior</w:t>
      </w:r>
    </w:p>
    <w:p w14:paraId="24184F3C" w14:textId="6A778F66" w:rsidR="00485B0D" w:rsidRDefault="00485B0D" w:rsidP="00470697">
      <w:pPr>
        <w:rPr>
          <w:b/>
        </w:rPr>
      </w:pPr>
    </w:p>
    <w:p w14:paraId="789B3D6C" w14:textId="3E5DFCC1"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4DE9D16D" w14:textId="524324C0" w:rsidR="00494ED7" w:rsidRPr="00494ED7" w:rsidRDefault="00494ED7" w:rsidP="00494ED7">
      <w:r w:rsidRPr="00494ED7">
        <w:t>This contribution analyzed the timing of changing the PDCP version from LTE to NR in case of 5GC connectivity/EN-</w:t>
      </w:r>
      <w:r w:rsidRPr="00494ED7">
        <w:lastRenderedPageBreak/>
        <w:t xml:space="preserve">DC and the following observations/proposals are made: </w:t>
      </w:r>
    </w:p>
    <w:p w14:paraId="6A965810" w14:textId="77777777" w:rsidR="00494ED7" w:rsidRDefault="00494ED7" w:rsidP="00494ED7">
      <w:pPr>
        <w:rPr>
          <w:b/>
        </w:rPr>
      </w:pPr>
    </w:p>
    <w:p w14:paraId="192F976D" w14:textId="50410CD6" w:rsidR="00494ED7" w:rsidRPr="008170EC" w:rsidRDefault="00494ED7" w:rsidP="00494ED7">
      <w:pPr>
        <w:rPr>
          <w:b/>
        </w:rPr>
      </w:pPr>
      <w:r w:rsidRPr="008170EC">
        <w:rPr>
          <w:b/>
        </w:rPr>
        <w:t xml:space="preserve">Observation 1: It is feasible that the PDCP type of SRB1 is changed immediately after phase 1 (i.e. before NAS security procedure is initiated) as long as the additional reconfiguration message is restricted to only reconfigure the SRB1 configuration and does not include any other optional configuration parameters which may be included in the </w:t>
      </w:r>
      <w:r w:rsidRPr="008170EC">
        <w:rPr>
          <w:b/>
          <w:i/>
        </w:rPr>
        <w:t>RRCConnectionReconfiguration</w:t>
      </w:r>
      <w:r w:rsidRPr="008170EC">
        <w:rPr>
          <w:b/>
        </w:rPr>
        <w:t xml:space="preserve"> message. </w:t>
      </w:r>
    </w:p>
    <w:p w14:paraId="51D0E5DF" w14:textId="77777777" w:rsidR="00494ED7" w:rsidRDefault="00494ED7" w:rsidP="00494ED7">
      <w:r>
        <w:t xml:space="preserve"> </w:t>
      </w:r>
    </w:p>
    <w:p w14:paraId="560F7B78" w14:textId="77777777" w:rsidR="00494ED7" w:rsidRDefault="00494ED7" w:rsidP="00494ED7">
      <w:pPr>
        <w:rPr>
          <w:b/>
        </w:rPr>
      </w:pPr>
      <w:r w:rsidRPr="008C594A">
        <w:rPr>
          <w:b/>
        </w:rPr>
        <w:t xml:space="preserve">Observation 2: Option 2 has similar implications as option 1 </w:t>
      </w:r>
      <w:r>
        <w:rPr>
          <w:b/>
        </w:rPr>
        <w:t xml:space="preserve">and is suitable for EN-DC operation where the eNB may change the PDCP version to NR-PDCP once it is aware of the UE capabilities. </w:t>
      </w:r>
    </w:p>
    <w:p w14:paraId="0E59C1D0" w14:textId="77777777" w:rsidR="00494ED7" w:rsidRDefault="00494ED7" w:rsidP="00494ED7">
      <w:pPr>
        <w:rPr>
          <w:b/>
        </w:rPr>
      </w:pPr>
    </w:p>
    <w:p w14:paraId="2B00942B" w14:textId="24BD545A" w:rsidR="00494ED7" w:rsidRPr="00851C79" w:rsidRDefault="00494ED7" w:rsidP="00494ED7">
      <w:pPr>
        <w:rPr>
          <w:b/>
        </w:rPr>
      </w:pPr>
      <w:r w:rsidRPr="00851C79">
        <w:rPr>
          <w:b/>
        </w:rPr>
        <w:t xml:space="preserve">Observation 3: Changing PDCP version </w:t>
      </w:r>
      <w:r>
        <w:rPr>
          <w:b/>
        </w:rPr>
        <w:t xml:space="preserve">for SRB1 </w:t>
      </w:r>
      <w:r w:rsidRPr="00851C79">
        <w:rPr>
          <w:b/>
        </w:rPr>
        <w:t xml:space="preserve">after SMC </w:t>
      </w:r>
      <w:r>
        <w:rPr>
          <w:b/>
        </w:rPr>
        <w:t xml:space="preserve">is feasible but </w:t>
      </w:r>
      <w:r w:rsidRPr="00851C79">
        <w:rPr>
          <w:b/>
        </w:rPr>
        <w:t xml:space="preserve">needs handover procedure and leads to additional </w:t>
      </w:r>
      <w:r>
        <w:rPr>
          <w:b/>
        </w:rPr>
        <w:t xml:space="preserve">signaling </w:t>
      </w:r>
    </w:p>
    <w:p w14:paraId="74E5B9A8" w14:textId="77777777" w:rsidR="00494ED7" w:rsidRDefault="00494ED7" w:rsidP="00494ED7">
      <w:pPr>
        <w:rPr>
          <w:b/>
        </w:rPr>
      </w:pPr>
    </w:p>
    <w:p w14:paraId="61DC8F7D" w14:textId="0E362303" w:rsidR="00494ED7" w:rsidRDefault="00494ED7" w:rsidP="00494ED7">
      <w:pPr>
        <w:rPr>
          <w:b/>
        </w:rPr>
      </w:pPr>
      <w:r w:rsidRPr="003F39E3">
        <w:rPr>
          <w:b/>
        </w:rPr>
        <w:t xml:space="preserve">Proposal 1: </w:t>
      </w:r>
      <w:r>
        <w:rPr>
          <w:b/>
        </w:rPr>
        <w:t xml:space="preserve">The network may reconfigure the SRB1 to use NR-PDCP after phase 2 (e.g. after receiving the UE capability from the CN/via UE capability enquiry). In this case, no other changes shall be performed to the UE configuration apart from changing the SRB1 configuration. </w:t>
      </w:r>
    </w:p>
    <w:p w14:paraId="65798E51" w14:textId="77777777" w:rsidR="00494ED7" w:rsidRDefault="00494ED7" w:rsidP="00494ED7">
      <w:pPr>
        <w:rPr>
          <w:b/>
        </w:rPr>
      </w:pPr>
    </w:p>
    <w:p w14:paraId="0355A673" w14:textId="77777777" w:rsidR="00494ED7" w:rsidRPr="003F39E3" w:rsidRDefault="00494ED7" w:rsidP="00494ED7">
      <w:pPr>
        <w:rPr>
          <w:b/>
        </w:rPr>
      </w:pPr>
      <w:r>
        <w:rPr>
          <w:b/>
        </w:rPr>
        <w:t>Proposal 2: The above proposal is applicable for 5GC connectivity for LTE as well as for EN-DC operation</w:t>
      </w:r>
    </w:p>
    <w:p w14:paraId="07DF4845" w14:textId="77777777" w:rsidR="00494ED7" w:rsidRDefault="00494ED7" w:rsidP="00494ED7">
      <w:pPr>
        <w:rPr>
          <w:b/>
        </w:rPr>
      </w:pPr>
    </w:p>
    <w:p w14:paraId="1BE44547" w14:textId="77777777" w:rsidR="00494ED7" w:rsidRDefault="00494ED7" w:rsidP="00494ED7">
      <w:pPr>
        <w:rPr>
          <w:b/>
        </w:rPr>
      </w:pPr>
      <w:r w:rsidRPr="003F39E3">
        <w:rPr>
          <w:b/>
        </w:rPr>
        <w:t xml:space="preserve">Proposal </w:t>
      </w:r>
      <w:r>
        <w:rPr>
          <w:b/>
        </w:rPr>
        <w:t>3</w:t>
      </w:r>
      <w:r w:rsidRPr="003F39E3">
        <w:rPr>
          <w:b/>
        </w:rPr>
        <w:t xml:space="preserve">: </w:t>
      </w:r>
      <w:r>
        <w:rPr>
          <w:b/>
        </w:rPr>
        <w:t>No additional specification is foreseen to specify the above network behavior</w:t>
      </w:r>
    </w:p>
    <w:p w14:paraId="17AEACC4" w14:textId="269FF73C" w:rsidR="00F32911" w:rsidRDefault="00F32911" w:rsidP="00F32911">
      <w:pPr>
        <w:rPr>
          <w:b/>
        </w:rPr>
      </w:pPr>
    </w:p>
    <w:p w14:paraId="110DF84A" w14:textId="36602F94" w:rsidR="001D2FB0" w:rsidRDefault="00A93FD6"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230E0733" w14:textId="77777777" w:rsidR="00A504A8" w:rsidRPr="00A504A8" w:rsidRDefault="00A504A8" w:rsidP="00A504A8"/>
    <w:sectPr w:rsidR="00A504A8" w:rsidRPr="00A504A8" w:rsidSect="003436BE">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7C6AA" w14:textId="77777777" w:rsidR="002B66FE" w:rsidRDefault="002B66FE" w:rsidP="00FF0AAD">
      <w:r>
        <w:separator/>
      </w:r>
    </w:p>
  </w:endnote>
  <w:endnote w:type="continuationSeparator" w:id="0">
    <w:p w14:paraId="23EE70F3" w14:textId="77777777" w:rsidR="002B66FE" w:rsidRDefault="002B66FE"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ED5032" w:rsidRDefault="00A03D3F">
    <w:pPr>
      <w:pStyle w:val="Footer"/>
      <w:framePr w:wrap="around" w:vAnchor="text" w:hAnchor="margin" w:xAlign="right" w:y="1"/>
      <w:rPr>
        <w:rStyle w:val="PageNumber"/>
      </w:rPr>
    </w:pPr>
    <w:r>
      <w:rPr>
        <w:rStyle w:val="PageNumber"/>
      </w:rPr>
      <w:fldChar w:fldCharType="begin"/>
    </w:r>
    <w:r w:rsidR="00ED5032">
      <w:rPr>
        <w:rStyle w:val="PageNumber"/>
      </w:rPr>
      <w:instrText xml:space="preserve">PAGE  </w:instrText>
    </w:r>
    <w:r>
      <w:rPr>
        <w:rStyle w:val="PageNumber"/>
      </w:rPr>
      <w:fldChar w:fldCharType="end"/>
    </w:r>
  </w:p>
  <w:p w14:paraId="4C804623" w14:textId="77777777" w:rsidR="00ED5032" w:rsidRDefault="00ED50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ED5032" w:rsidRDefault="00ED5032"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04515" w14:textId="77777777" w:rsidR="002B66FE" w:rsidRDefault="002B66FE" w:rsidP="00FF0AAD">
      <w:r>
        <w:separator/>
      </w:r>
    </w:p>
  </w:footnote>
  <w:footnote w:type="continuationSeparator" w:id="0">
    <w:p w14:paraId="10BB37B5" w14:textId="77777777" w:rsidR="002B66FE" w:rsidRDefault="002B66FE"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ED5032" w:rsidRDefault="00ED5032">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3"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7"/>
  </w:num>
  <w:num w:numId="3">
    <w:abstractNumId w:val="20"/>
  </w:num>
  <w:num w:numId="4">
    <w:abstractNumId w:val="1"/>
  </w:num>
  <w:num w:numId="5">
    <w:abstractNumId w:val="11"/>
  </w:num>
  <w:num w:numId="6">
    <w:abstractNumId w:val="8"/>
  </w:num>
  <w:num w:numId="7">
    <w:abstractNumId w:val="13"/>
  </w:num>
  <w:num w:numId="8">
    <w:abstractNumId w:val="19"/>
  </w:num>
  <w:num w:numId="9">
    <w:abstractNumId w:val="23"/>
  </w:num>
  <w:num w:numId="10">
    <w:abstractNumId w:val="6"/>
  </w:num>
  <w:num w:numId="11">
    <w:abstractNumId w:val="15"/>
  </w:num>
  <w:num w:numId="12">
    <w:abstractNumId w:val="14"/>
  </w:num>
  <w:num w:numId="13">
    <w:abstractNumId w:val="22"/>
  </w:num>
  <w:num w:numId="14">
    <w:abstractNumId w:val="2"/>
  </w:num>
  <w:num w:numId="15">
    <w:abstractNumId w:val="3"/>
  </w:num>
  <w:num w:numId="16">
    <w:abstractNumId w:val="18"/>
  </w:num>
  <w:num w:numId="17">
    <w:abstractNumId w:val="5"/>
  </w:num>
  <w:num w:numId="18">
    <w:abstractNumId w:val="21"/>
  </w:num>
  <w:num w:numId="19">
    <w:abstractNumId w:val="7"/>
  </w:num>
  <w:num w:numId="20">
    <w:abstractNumId w:val="9"/>
  </w:num>
  <w:num w:numId="21">
    <w:abstractNumId w:val="10"/>
  </w:num>
  <w:num w:numId="22">
    <w:abstractNumId w:val="12"/>
  </w:num>
  <w:num w:numId="23">
    <w:abstractNumId w:val="4"/>
  </w:num>
  <w:num w:numId="2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FAD"/>
    <w:rsid w:val="00017BA5"/>
    <w:rsid w:val="00021259"/>
    <w:rsid w:val="00021359"/>
    <w:rsid w:val="000248FC"/>
    <w:rsid w:val="00024E29"/>
    <w:rsid w:val="0002660A"/>
    <w:rsid w:val="00026899"/>
    <w:rsid w:val="0002698B"/>
    <w:rsid w:val="00027D57"/>
    <w:rsid w:val="00035EF9"/>
    <w:rsid w:val="00037973"/>
    <w:rsid w:val="00040A63"/>
    <w:rsid w:val="0004105F"/>
    <w:rsid w:val="00042E6F"/>
    <w:rsid w:val="00043923"/>
    <w:rsid w:val="00046E3D"/>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1F0"/>
    <w:rsid w:val="001F3DF5"/>
    <w:rsid w:val="001F4346"/>
    <w:rsid w:val="001F6AA7"/>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81718"/>
    <w:rsid w:val="002855D0"/>
    <w:rsid w:val="00290E18"/>
    <w:rsid w:val="00291D54"/>
    <w:rsid w:val="00297A88"/>
    <w:rsid w:val="002B24A3"/>
    <w:rsid w:val="002B2BBC"/>
    <w:rsid w:val="002B351B"/>
    <w:rsid w:val="002B3C48"/>
    <w:rsid w:val="002B434C"/>
    <w:rsid w:val="002B4F1D"/>
    <w:rsid w:val="002B66FE"/>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4AB"/>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A7F66"/>
    <w:rsid w:val="003B132E"/>
    <w:rsid w:val="003B139B"/>
    <w:rsid w:val="003B3A50"/>
    <w:rsid w:val="003B448B"/>
    <w:rsid w:val="003B774C"/>
    <w:rsid w:val="003C3E62"/>
    <w:rsid w:val="003D01E0"/>
    <w:rsid w:val="003D0EF8"/>
    <w:rsid w:val="003D1455"/>
    <w:rsid w:val="003D2B72"/>
    <w:rsid w:val="003D42C7"/>
    <w:rsid w:val="003D7765"/>
    <w:rsid w:val="003E1518"/>
    <w:rsid w:val="003E42F6"/>
    <w:rsid w:val="003E48E7"/>
    <w:rsid w:val="003E7C95"/>
    <w:rsid w:val="003E7D68"/>
    <w:rsid w:val="003F1437"/>
    <w:rsid w:val="003F3365"/>
    <w:rsid w:val="003F39E3"/>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5B0D"/>
    <w:rsid w:val="00486111"/>
    <w:rsid w:val="0049176F"/>
    <w:rsid w:val="00492EA5"/>
    <w:rsid w:val="00493247"/>
    <w:rsid w:val="00494ED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2408"/>
    <w:rsid w:val="00534869"/>
    <w:rsid w:val="005371D2"/>
    <w:rsid w:val="00537528"/>
    <w:rsid w:val="00542ED7"/>
    <w:rsid w:val="00545A76"/>
    <w:rsid w:val="005506C7"/>
    <w:rsid w:val="005514AA"/>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FE6"/>
    <w:rsid w:val="00864D17"/>
    <w:rsid w:val="008702BF"/>
    <w:rsid w:val="0087148D"/>
    <w:rsid w:val="008719DB"/>
    <w:rsid w:val="00872250"/>
    <w:rsid w:val="008731B8"/>
    <w:rsid w:val="00873D16"/>
    <w:rsid w:val="00880F6C"/>
    <w:rsid w:val="008855E2"/>
    <w:rsid w:val="00886521"/>
    <w:rsid w:val="00887F76"/>
    <w:rsid w:val="008937A3"/>
    <w:rsid w:val="0089509A"/>
    <w:rsid w:val="008A4FE1"/>
    <w:rsid w:val="008A5E28"/>
    <w:rsid w:val="008B4198"/>
    <w:rsid w:val="008B4609"/>
    <w:rsid w:val="008B725C"/>
    <w:rsid w:val="008C1D6D"/>
    <w:rsid w:val="008C3F98"/>
    <w:rsid w:val="008C594A"/>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10AE"/>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6190"/>
    <w:rsid w:val="00A2769F"/>
    <w:rsid w:val="00A27E76"/>
    <w:rsid w:val="00A31A13"/>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6ECD"/>
    <w:rsid w:val="00AA72CC"/>
    <w:rsid w:val="00AB049C"/>
    <w:rsid w:val="00AB1D7B"/>
    <w:rsid w:val="00AB1EA3"/>
    <w:rsid w:val="00AB3399"/>
    <w:rsid w:val="00AB3D67"/>
    <w:rsid w:val="00AC3CD3"/>
    <w:rsid w:val="00AC4276"/>
    <w:rsid w:val="00AC464D"/>
    <w:rsid w:val="00AC51E8"/>
    <w:rsid w:val="00AD0CA9"/>
    <w:rsid w:val="00AD2407"/>
    <w:rsid w:val="00AD62D8"/>
    <w:rsid w:val="00AE5146"/>
    <w:rsid w:val="00AE55C5"/>
    <w:rsid w:val="00AE5A4F"/>
    <w:rsid w:val="00AE7B16"/>
    <w:rsid w:val="00AF0B65"/>
    <w:rsid w:val="00AF148A"/>
    <w:rsid w:val="00AF7EEF"/>
    <w:rsid w:val="00B002E0"/>
    <w:rsid w:val="00B0053F"/>
    <w:rsid w:val="00B0132A"/>
    <w:rsid w:val="00B029C1"/>
    <w:rsid w:val="00B07968"/>
    <w:rsid w:val="00B07B19"/>
    <w:rsid w:val="00B10FBA"/>
    <w:rsid w:val="00B12666"/>
    <w:rsid w:val="00B126DA"/>
    <w:rsid w:val="00B15903"/>
    <w:rsid w:val="00B166C8"/>
    <w:rsid w:val="00B17139"/>
    <w:rsid w:val="00B23604"/>
    <w:rsid w:val="00B2566A"/>
    <w:rsid w:val="00B41694"/>
    <w:rsid w:val="00B425D5"/>
    <w:rsid w:val="00B427B9"/>
    <w:rsid w:val="00B43371"/>
    <w:rsid w:val="00B44CA2"/>
    <w:rsid w:val="00B454AE"/>
    <w:rsid w:val="00B51B6D"/>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56DB9"/>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CF4C4C"/>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3230"/>
    <w:rsid w:val="00D75D2E"/>
    <w:rsid w:val="00D806A3"/>
    <w:rsid w:val="00D81BAC"/>
    <w:rsid w:val="00D83149"/>
    <w:rsid w:val="00D83173"/>
    <w:rsid w:val="00D8380A"/>
    <w:rsid w:val="00D85273"/>
    <w:rsid w:val="00D90CC5"/>
    <w:rsid w:val="00D92C6A"/>
    <w:rsid w:val="00DA12AB"/>
    <w:rsid w:val="00DA507F"/>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4AA7"/>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90BC3"/>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0AAD"/>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621AF-7983-48CB-91BE-0313985E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5</Pages>
  <Words>1103</Words>
  <Characters>6289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41</cp:revision>
  <cp:lastPrinted>2113-01-01T00:00:00Z</cp:lastPrinted>
  <dcterms:created xsi:type="dcterms:W3CDTF">2017-11-01T10:37:00Z</dcterms:created>
  <dcterms:modified xsi:type="dcterms:W3CDTF">2017-11-16T19:27:00Z</dcterms:modified>
</cp:coreProperties>
</file>