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0F6E553" w:rsidR="004607C3" w:rsidRPr="00A2299C" w:rsidRDefault="004607C3" w:rsidP="00E0498C">
      <w:pPr>
        <w:pStyle w:val="Header"/>
        <w:tabs>
          <w:tab w:val="clear" w:pos="8306"/>
          <w:tab w:val="right" w:pos="7088"/>
          <w:tab w:val="right" w:pos="9781"/>
        </w:tabs>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C00997" w:rsidRPr="00C00997">
        <w:rPr>
          <w:rFonts w:ascii="Arial" w:hAnsi="Arial" w:cs="Arial"/>
          <w:b/>
          <w:bCs/>
          <w:sz w:val="24"/>
        </w:rPr>
        <w:t>Ad-Hoc Meeting 1901</w:t>
      </w:r>
      <w:r w:rsidRPr="00A2299C">
        <w:rPr>
          <w:rFonts w:ascii="Arial" w:hAnsi="Arial" w:cs="Arial"/>
          <w:b/>
          <w:bCs/>
          <w:sz w:val="24"/>
        </w:rPr>
        <w:tab/>
      </w:r>
      <w:r w:rsidR="00ED218B">
        <w:rPr>
          <w:rFonts w:ascii="Arial" w:hAnsi="Arial" w:cs="Arial"/>
          <w:b/>
          <w:bCs/>
          <w:sz w:val="24"/>
        </w:rPr>
        <w:tab/>
        <w:t>R1-1</w:t>
      </w:r>
      <w:r w:rsidR="00ED4E56">
        <w:rPr>
          <w:rFonts w:ascii="Arial" w:hAnsi="Arial" w:cs="Arial"/>
          <w:b/>
          <w:bCs/>
          <w:sz w:val="24"/>
        </w:rPr>
        <w:t>901206</w:t>
      </w:r>
      <w:r w:rsidR="00EF1127" w:rsidRPr="00A2299C">
        <w:rPr>
          <w:b/>
          <w:bCs/>
          <w:sz w:val="28"/>
          <w:szCs w:val="24"/>
        </w:rPr>
        <w:t xml:space="preserve"> </w:t>
      </w:r>
    </w:p>
    <w:p w14:paraId="56A15566" w14:textId="79185D85" w:rsidR="004607C3" w:rsidRPr="00A2299C" w:rsidRDefault="00C00997" w:rsidP="00F6026A">
      <w:pPr>
        <w:pStyle w:val="Header"/>
        <w:tabs>
          <w:tab w:val="clear" w:pos="8306"/>
          <w:tab w:val="right" w:pos="9639"/>
        </w:tabs>
        <w:rPr>
          <w:rFonts w:ascii="Arial" w:hAnsi="Arial" w:cs="Arial"/>
          <w:b/>
          <w:bCs/>
          <w:sz w:val="24"/>
        </w:rPr>
      </w:pPr>
      <w:r w:rsidRPr="00C00997">
        <w:rPr>
          <w:rFonts w:ascii="Arial" w:hAnsi="Arial" w:cs="Arial"/>
          <w:b/>
          <w:bCs/>
          <w:sz w:val="24"/>
        </w:rPr>
        <w:t xml:space="preserve">Taipei, Taiwan, 21st – 25th </w:t>
      </w:r>
      <w:r w:rsidR="00396EA5" w:rsidRPr="00C00997">
        <w:rPr>
          <w:rFonts w:ascii="Arial" w:hAnsi="Arial" w:cs="Arial"/>
          <w:b/>
          <w:bCs/>
          <w:sz w:val="24"/>
        </w:rPr>
        <w:t>January</w:t>
      </w:r>
      <w:r w:rsidRPr="00C00997">
        <w:rPr>
          <w:rFonts w:ascii="Arial" w:hAnsi="Arial" w:cs="Arial"/>
          <w:b/>
          <w:bCs/>
          <w:sz w:val="24"/>
        </w:rPr>
        <w:t xml:space="preserve"> 2019</w:t>
      </w:r>
    </w:p>
    <w:p w14:paraId="0656168E" w14:textId="77777777" w:rsidR="004607C3" w:rsidRPr="00A2299C" w:rsidRDefault="004607C3" w:rsidP="00A23578">
      <w:pPr>
        <w:rPr>
          <w:rFonts w:ascii="Arial" w:hAnsi="Arial" w:cs="Arial"/>
          <w:sz w:val="22"/>
        </w:rPr>
      </w:pPr>
    </w:p>
    <w:p w14:paraId="2FABF9AA" w14:textId="43124AA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A3170">
        <w:rPr>
          <w:rFonts w:ascii="Arial" w:hAnsi="Arial" w:cs="Arial"/>
          <w:b/>
          <w:sz w:val="22"/>
        </w:rPr>
        <w:t>8.3</w:t>
      </w:r>
    </w:p>
    <w:p w14:paraId="7395AB72" w14:textId="283D256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94330" w:rsidRPr="00D94330">
        <w:rPr>
          <w:rFonts w:ascii="Arial" w:hAnsi="Arial" w:cs="Arial"/>
          <w:b/>
          <w:sz w:val="22"/>
        </w:rPr>
        <w:t>On Beam Failure Recovery for SCell</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1345ADD1" w:rsidR="00C00997" w:rsidRDefault="00B65E0E" w:rsidP="0008236D">
      <w:pPr>
        <w:rPr>
          <w:rFonts w:eastAsia="Batang"/>
          <w:sz w:val="24"/>
          <w:szCs w:val="22"/>
          <w:lang w:eastAsia="ko-KR"/>
        </w:rPr>
      </w:pPr>
      <w:r>
        <w:rPr>
          <w:rFonts w:eastAsia="Batang"/>
          <w:sz w:val="24"/>
          <w:szCs w:val="22"/>
          <w:lang w:eastAsia="ko-KR"/>
        </w:rPr>
        <w:t xml:space="preserve">Beam failure recovery (BFR) for NR SCells will be specified in Rel-16. </w:t>
      </w:r>
      <w:r w:rsidR="00C00997">
        <w:rPr>
          <w:rFonts w:eastAsia="Batang"/>
          <w:sz w:val="24"/>
          <w:szCs w:val="22"/>
          <w:lang w:eastAsia="ko-KR"/>
        </w:rPr>
        <w:t>In RAN#82, t</w:t>
      </w:r>
      <w:r>
        <w:rPr>
          <w:rFonts w:eastAsia="Batang"/>
          <w:sz w:val="24"/>
          <w:szCs w:val="22"/>
          <w:lang w:eastAsia="ko-KR"/>
        </w:rPr>
        <w:t xml:space="preserve">he </w:t>
      </w:r>
      <w:r w:rsidR="00C00997">
        <w:rPr>
          <w:rFonts w:eastAsia="Batang"/>
          <w:sz w:val="24"/>
          <w:szCs w:val="22"/>
          <w:lang w:eastAsia="ko-KR"/>
        </w:rPr>
        <w:t xml:space="preserve">objective was revised to the following </w:t>
      </w:r>
      <w:r w:rsidR="00C507CE">
        <w:rPr>
          <w:rFonts w:eastAsia="Batang"/>
          <w:sz w:val="24"/>
          <w:szCs w:val="22"/>
          <w:lang w:eastAsia="ko-KR"/>
        </w:rPr>
        <w:fldChar w:fldCharType="begin"/>
      </w:r>
      <w:r w:rsidR="00C507CE">
        <w:rPr>
          <w:rFonts w:eastAsia="Batang"/>
          <w:sz w:val="24"/>
          <w:szCs w:val="22"/>
          <w:lang w:eastAsia="ko-KR"/>
        </w:rPr>
        <w:instrText xml:space="preserve"> REF _Ref528924709 \n \h </w:instrText>
      </w:r>
      <w:r w:rsidR="00C507CE">
        <w:rPr>
          <w:rFonts w:eastAsia="Batang"/>
          <w:sz w:val="24"/>
          <w:szCs w:val="22"/>
          <w:lang w:eastAsia="ko-KR"/>
        </w:rPr>
      </w:r>
      <w:r w:rsidR="00C507CE">
        <w:rPr>
          <w:rFonts w:eastAsia="Batang"/>
          <w:sz w:val="24"/>
          <w:szCs w:val="22"/>
          <w:lang w:eastAsia="ko-KR"/>
        </w:rPr>
        <w:fldChar w:fldCharType="separate"/>
      </w:r>
      <w:r w:rsidR="00C00954">
        <w:rPr>
          <w:rFonts w:eastAsia="Batang"/>
          <w:sz w:val="24"/>
          <w:szCs w:val="22"/>
          <w:lang w:eastAsia="ko-KR"/>
        </w:rPr>
        <w:t>[1]</w:t>
      </w:r>
      <w:r w:rsidR="00C507CE">
        <w:rPr>
          <w:rFonts w:eastAsia="Batang"/>
          <w:sz w:val="24"/>
          <w:szCs w:val="22"/>
          <w:lang w:eastAsia="ko-KR"/>
        </w:rPr>
        <w:fldChar w:fldCharType="end"/>
      </w:r>
      <w:r w:rsidR="00C00997">
        <w:rPr>
          <w:rFonts w:eastAsia="Batang"/>
          <w:sz w:val="24"/>
          <w:szCs w:val="22"/>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5C9F61D7" w14:textId="77777777" w:rsidR="00E654BD" w:rsidRPr="00C01BD3" w:rsidRDefault="00E654BD" w:rsidP="00E654BD">
            <w:pPr>
              <w:numPr>
                <w:ilvl w:val="0"/>
                <w:numId w:val="36"/>
              </w:numPr>
              <w:overflowPunct w:val="0"/>
              <w:autoSpaceDE w:val="0"/>
              <w:autoSpaceDN w:val="0"/>
              <w:adjustRightInd w:val="0"/>
              <w:snapToGrid w:val="0"/>
              <w:ind w:right="-99"/>
              <w:jc w:val="left"/>
              <w:rPr>
                <w:i/>
                <w:color w:val="000000"/>
                <w:sz w:val="22"/>
                <w:lang w:eastAsia="ko-KR"/>
              </w:rPr>
            </w:pPr>
            <w:r w:rsidRPr="00C01BD3">
              <w:rPr>
                <w:i/>
                <w:color w:val="000000"/>
                <w:sz w:val="22"/>
                <w:lang w:eastAsia="ko-KR"/>
              </w:rPr>
              <w:t>Extend specification support in the following areas [RAN1]</w:t>
            </w:r>
          </w:p>
          <w:p w14:paraId="697949C6"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6D101482"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sz w:val="22"/>
                <w:lang w:eastAsia="ko-KR"/>
              </w:rPr>
              <w:t xml:space="preserve">Enhancements on multi-beam operation, primarily targeting </w:t>
            </w:r>
            <w:r w:rsidRPr="00C01BD3">
              <w:rPr>
                <w:rFonts w:eastAsia="Malgun Gothic" w:hint="eastAsia"/>
                <w:i/>
                <w:sz w:val="22"/>
                <w:lang w:eastAsia="ko-KR"/>
              </w:rPr>
              <w:t>FR2</w:t>
            </w:r>
            <w:r w:rsidRPr="00C01BD3">
              <w:rPr>
                <w:i/>
                <w:sz w:val="22"/>
                <w:lang w:eastAsia="ko-KR"/>
              </w:rPr>
              <w:t xml:space="preserve"> operation:</w:t>
            </w:r>
          </w:p>
          <w:p w14:paraId="1CEFA86E"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eastAsia="Malgun Gothic"/>
                <w:i/>
                <w:sz w:val="22"/>
                <w:lang w:eastAsia="ko-KR"/>
              </w:rPr>
              <w:t>[…]</w:t>
            </w:r>
            <w:r w:rsidRPr="00C01BD3">
              <w:rPr>
                <w:rFonts w:eastAsia="Malgun Gothic" w:hint="eastAsia"/>
                <w:i/>
                <w:sz w:val="22"/>
                <w:lang w:eastAsia="ko-KR"/>
              </w:rPr>
              <w:t xml:space="preserve"> </w:t>
            </w:r>
          </w:p>
          <w:p w14:paraId="311D3856"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hint="eastAsia"/>
                <w:i/>
                <w:sz w:val="22"/>
                <w:lang w:eastAsia="ko-KR"/>
              </w:rPr>
              <w:t xml:space="preserve">Specify beam failure recovery for SCell </w:t>
            </w:r>
            <w:r w:rsidRPr="00C01BD3">
              <w:rPr>
                <w:i/>
                <w:sz w:val="22"/>
                <w:lang w:eastAsia="ko-KR"/>
              </w:rPr>
              <w:t xml:space="preserve">with DL/UL as well as DL-only, where PCell can be operating in FR1 as well as FR2 </w:t>
            </w:r>
          </w:p>
          <w:p w14:paraId="490713CF"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4C4CB763" w14:textId="77777777" w:rsidR="00E654BD" w:rsidRDefault="00E654BD" w:rsidP="0008236D">
            <w:pPr>
              <w:rPr>
                <w:rFonts w:eastAsia="Batang"/>
                <w:sz w:val="24"/>
                <w:szCs w:val="22"/>
                <w:lang w:eastAsia="ko-KR"/>
              </w:rPr>
            </w:pPr>
          </w:p>
        </w:tc>
      </w:tr>
    </w:tbl>
    <w:p w14:paraId="642E2DFA" w14:textId="5F02E507" w:rsidR="00C70E00" w:rsidRDefault="00B65E0E" w:rsidP="0008236D">
      <w:pPr>
        <w:rPr>
          <w:rFonts w:eastAsia="Batang"/>
          <w:sz w:val="24"/>
          <w:szCs w:val="22"/>
          <w:lang w:eastAsia="ko-KR"/>
        </w:rPr>
      </w:pPr>
      <w:r>
        <w:rPr>
          <w:rFonts w:eastAsia="Batang"/>
          <w:sz w:val="24"/>
          <w:szCs w:val="22"/>
          <w:lang w:eastAsia="ko-KR"/>
        </w:rPr>
        <w:t>BFR</w:t>
      </w:r>
      <w:r w:rsidR="00D067A6">
        <w:rPr>
          <w:rFonts w:eastAsia="Batang"/>
          <w:sz w:val="24"/>
          <w:szCs w:val="22"/>
          <w:lang w:eastAsia="ko-KR"/>
        </w:rPr>
        <w:t xml:space="preserve"> for SpCells was already</w:t>
      </w:r>
      <w:r>
        <w:rPr>
          <w:rFonts w:eastAsia="Batang"/>
          <w:sz w:val="24"/>
          <w:szCs w:val="22"/>
          <w:lang w:eastAsia="ko-KR"/>
        </w:rPr>
        <w:t xml:space="preserve"> specified in Rel-15. </w:t>
      </w:r>
      <w:r w:rsidR="00D067A6">
        <w:rPr>
          <w:rFonts w:eastAsia="Batang"/>
          <w:sz w:val="24"/>
          <w:szCs w:val="22"/>
          <w:lang w:eastAsia="ko-KR"/>
        </w:rPr>
        <w:t>T</w:t>
      </w:r>
      <w:r>
        <w:rPr>
          <w:rFonts w:eastAsia="Batang"/>
          <w:sz w:val="24"/>
          <w:szCs w:val="22"/>
          <w:lang w:eastAsia="ko-KR"/>
        </w:rPr>
        <w:t xml:space="preserve">he Rel-15 BFR can be </w:t>
      </w:r>
      <w:r w:rsidR="00C00997">
        <w:rPr>
          <w:rFonts w:eastAsia="Batang"/>
          <w:sz w:val="24"/>
          <w:szCs w:val="22"/>
          <w:lang w:eastAsia="ko-KR"/>
        </w:rPr>
        <w:t xml:space="preserve">largely </w:t>
      </w:r>
      <w:r>
        <w:rPr>
          <w:rFonts w:eastAsia="Batang"/>
          <w:sz w:val="24"/>
          <w:szCs w:val="22"/>
          <w:lang w:eastAsia="ko-KR"/>
        </w:rPr>
        <w:t>reused</w:t>
      </w:r>
      <w:r w:rsidR="00D067A6">
        <w:rPr>
          <w:rFonts w:eastAsia="Batang"/>
          <w:sz w:val="24"/>
          <w:szCs w:val="22"/>
          <w:lang w:eastAsia="ko-KR"/>
        </w:rPr>
        <w:t xml:space="preserve"> also for SCell BFR</w:t>
      </w:r>
      <w:r>
        <w:rPr>
          <w:rFonts w:eastAsia="Batang"/>
          <w:sz w:val="24"/>
          <w:szCs w:val="22"/>
          <w:lang w:eastAsia="ko-KR"/>
        </w:rPr>
        <w:t>, but certain aspects need to be reconsidered, in particular how the beam failure recovery request (BFRQ) is transmitted when beam failure is detected on a DL-only SCell.</w:t>
      </w:r>
    </w:p>
    <w:p w14:paraId="0D1914FD" w14:textId="77777777" w:rsidR="00E148CB" w:rsidRPr="0008236D" w:rsidRDefault="00E148CB" w:rsidP="0008236D">
      <w:pPr>
        <w:rPr>
          <w:rFonts w:eastAsia="Batang"/>
          <w:sz w:val="24"/>
          <w:szCs w:val="22"/>
          <w:lang w:val="en-US" w:eastAsia="ko-KR"/>
        </w:rPr>
      </w:pPr>
    </w:p>
    <w:p w14:paraId="76C70D2E" w14:textId="67CC1B8D" w:rsidR="00C70E00" w:rsidRDefault="00B65E0E" w:rsidP="00C70E00">
      <w:pPr>
        <w:pStyle w:val="Heading1"/>
      </w:pPr>
      <w:r>
        <w:t>Discussion</w:t>
      </w:r>
    </w:p>
    <w:p w14:paraId="3C89154F" w14:textId="6A5C5752" w:rsidR="00386636" w:rsidRPr="006E5DD2" w:rsidRDefault="002F71FE" w:rsidP="006E5DD2">
      <w:pPr>
        <w:rPr>
          <w:rFonts w:ascii="Arial" w:hAnsi="Arial"/>
          <w:b/>
          <w:sz w:val="24"/>
        </w:rPr>
      </w:pPr>
      <w:r w:rsidRPr="006E5DD2">
        <w:rPr>
          <w:rFonts w:eastAsia="Batang"/>
          <w:sz w:val="24"/>
          <w:lang w:eastAsia="ko-KR"/>
        </w:rPr>
        <w:t>The four main steps of BFR for SCells are discussed below</w:t>
      </w:r>
      <w:r>
        <w:rPr>
          <w:rFonts w:eastAsia="Batang"/>
          <w:sz w:val="24"/>
          <w:lang w:eastAsia="ko-KR"/>
        </w:rPr>
        <w:t>.</w:t>
      </w:r>
    </w:p>
    <w:p w14:paraId="363170C3" w14:textId="7FBD2526" w:rsidR="00970ADB" w:rsidRPr="00970ADB" w:rsidRDefault="00970ADB" w:rsidP="00970ADB">
      <w:pPr>
        <w:pStyle w:val="Heading2"/>
      </w:pPr>
      <w:r>
        <w:t>Beam Failure Detection (BFD)</w:t>
      </w:r>
    </w:p>
    <w:p w14:paraId="4ADEDDAC" w14:textId="77777777" w:rsidR="00BB5C0C" w:rsidRDefault="00BB5C0C" w:rsidP="00C01BD3">
      <w:pPr>
        <w:spacing w:before="0"/>
        <w:rPr>
          <w:rFonts w:eastAsia="Batang"/>
          <w:sz w:val="24"/>
          <w:szCs w:val="22"/>
          <w:lang w:val="en-US" w:eastAsia="ko-KR"/>
        </w:rPr>
      </w:pPr>
      <w:r>
        <w:rPr>
          <w:rFonts w:eastAsia="Batang"/>
          <w:sz w:val="24"/>
          <w:szCs w:val="22"/>
          <w:lang w:val="en-US" w:eastAsia="ko-KR"/>
        </w:rPr>
        <w:t>There seems to be no clear motivation to specify a different beam failure detection mechanism on SCell than what is already supported for SpCell in Rel-15. Regarding the metric for SCell BFD, unless it is concluded that the Rel-15 metric for BFD (hypothetical BLER) is faulty, it can be reused also for SCell.</w:t>
      </w:r>
    </w:p>
    <w:p w14:paraId="62EADDEF" w14:textId="5CDEBE2E" w:rsidR="00BB5C0C" w:rsidRDefault="00BB5C0C" w:rsidP="00C01BD3">
      <w:pPr>
        <w:spacing w:before="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026407">
        <w:rPr>
          <w:rFonts w:eastAsia="Batang"/>
          <w:b/>
          <w:i/>
          <w:sz w:val="24"/>
          <w:szCs w:val="22"/>
          <w:lang w:val="en-US" w:eastAsia="ko-KR"/>
        </w:rPr>
        <w:t>1</w:t>
      </w:r>
      <w:r w:rsidRPr="009C6E6E">
        <w:rPr>
          <w:rFonts w:eastAsia="Batang"/>
          <w:b/>
          <w:i/>
          <w:sz w:val="24"/>
          <w:szCs w:val="22"/>
          <w:lang w:val="en-US" w:eastAsia="ko-KR"/>
        </w:rPr>
        <w:t xml:space="preserve">: </w:t>
      </w:r>
      <w:r>
        <w:rPr>
          <w:rFonts w:eastAsia="Batang"/>
          <w:b/>
          <w:i/>
          <w:sz w:val="24"/>
          <w:szCs w:val="22"/>
          <w:lang w:val="en-US" w:eastAsia="ko-KR"/>
        </w:rPr>
        <w:t>BFD for SCell uses the mechanism specified in Rel-15, incl. the metric for beam failure.</w:t>
      </w:r>
    </w:p>
    <w:p w14:paraId="6750FA7B" w14:textId="77777777" w:rsidR="00BB5C0C" w:rsidRDefault="00BB5C0C" w:rsidP="00C01BD3">
      <w:pPr>
        <w:spacing w:before="0"/>
        <w:rPr>
          <w:rFonts w:eastAsia="Batang"/>
          <w:sz w:val="24"/>
          <w:szCs w:val="22"/>
          <w:lang w:val="en-US" w:eastAsia="ko-KR"/>
        </w:rPr>
      </w:pPr>
      <w:r>
        <w:rPr>
          <w:rFonts w:eastAsia="Batang"/>
          <w:sz w:val="24"/>
          <w:szCs w:val="22"/>
          <w:lang w:val="en-US" w:eastAsia="ko-KR"/>
        </w:rPr>
        <w:t xml:space="preserve">In Rel-15, the BFD-RS are configured jointly with RLM-RS in the RRC parameter </w:t>
      </w:r>
      <w:r w:rsidRPr="005A32C2">
        <w:rPr>
          <w:rFonts w:eastAsia="Batang"/>
          <w:i/>
          <w:sz w:val="24"/>
          <w:szCs w:val="22"/>
          <w:lang w:val="en-US" w:eastAsia="ko-KR"/>
        </w:rPr>
        <w:t>RadioLinkMonitoringRS</w:t>
      </w:r>
      <w:r>
        <w:rPr>
          <w:rFonts w:eastAsia="Batang"/>
          <w:i/>
          <w:sz w:val="24"/>
          <w:szCs w:val="22"/>
          <w:lang w:val="en-US" w:eastAsia="ko-KR"/>
        </w:rPr>
        <w:t xml:space="preserve"> </w:t>
      </w:r>
      <w:r w:rsidRPr="00BE27C3">
        <w:rPr>
          <w:rFonts w:eastAsia="Batang"/>
          <w:sz w:val="24"/>
          <w:szCs w:val="22"/>
          <w:lang w:val="en-US" w:eastAsia="ko-KR"/>
        </w:rPr>
        <w:t xml:space="preserve">in </w:t>
      </w:r>
      <w:r w:rsidRPr="00BF00F3">
        <w:rPr>
          <w:rFonts w:eastAsia="Batang"/>
          <w:sz w:val="24"/>
          <w:szCs w:val="22"/>
          <w:lang w:val="en-US" w:eastAsia="ko-KR"/>
        </w:rPr>
        <w:t>RadioLinkMonitoringConfig</w:t>
      </w:r>
      <w:r>
        <w:rPr>
          <w:rFonts w:eastAsia="Batang"/>
          <w:sz w:val="24"/>
          <w:szCs w:val="22"/>
          <w:lang w:val="en-US" w:eastAsia="ko-KR"/>
        </w:rPr>
        <w:t xml:space="preserve">. However, RLM on SCell will not be supported in Rel-16. A straightforward way to configure BFD-RS on SCell using </w:t>
      </w:r>
      <w:r w:rsidRPr="005A32C2">
        <w:rPr>
          <w:rFonts w:eastAsia="Batang"/>
          <w:i/>
          <w:sz w:val="24"/>
          <w:szCs w:val="22"/>
          <w:lang w:val="en-US" w:eastAsia="ko-KR"/>
        </w:rPr>
        <w:t>RadioLinkMonitoringRS</w:t>
      </w:r>
      <w:r>
        <w:rPr>
          <w:rFonts w:eastAsia="Batang"/>
          <w:sz w:val="24"/>
          <w:szCs w:val="22"/>
          <w:lang w:val="en-US" w:eastAsia="ko-KR"/>
        </w:rPr>
        <w:t xml:space="preserve"> would be to limit the </w:t>
      </w:r>
      <w:r w:rsidRPr="005A32C2">
        <w:rPr>
          <w:rFonts w:eastAsia="Batang"/>
          <w:i/>
          <w:sz w:val="24"/>
          <w:szCs w:val="22"/>
          <w:lang w:val="en-US" w:eastAsia="ko-KR"/>
        </w:rPr>
        <w:t>purpose</w:t>
      </w:r>
      <w:r>
        <w:rPr>
          <w:rFonts w:eastAsia="Batang"/>
          <w:sz w:val="24"/>
          <w:szCs w:val="22"/>
          <w:lang w:val="en-US" w:eastAsia="ko-KR"/>
        </w:rPr>
        <w:t xml:space="preserve"> parameter value to “</w:t>
      </w:r>
      <w:r w:rsidRPr="005A32C2">
        <w:rPr>
          <w:rFonts w:eastAsia="Batang"/>
          <w:i/>
          <w:sz w:val="24"/>
          <w:szCs w:val="22"/>
          <w:lang w:val="en-US" w:eastAsia="ko-KR"/>
        </w:rPr>
        <w:t>beamFailure</w:t>
      </w:r>
      <w:r>
        <w:rPr>
          <w:rFonts w:eastAsia="Batang"/>
          <w:sz w:val="24"/>
          <w:szCs w:val="22"/>
          <w:lang w:val="en-US" w:eastAsia="ko-KR"/>
        </w:rPr>
        <w:t>”. However, these details can be left to RAN2 to decide.</w:t>
      </w:r>
    </w:p>
    <w:p w14:paraId="2EC860E7" w14:textId="63E0E228" w:rsidR="00871771" w:rsidRDefault="00BB5C0C" w:rsidP="00C01BD3">
      <w:pPr>
        <w:spacing w:before="0"/>
        <w:rPr>
          <w:rFonts w:eastAsia="Batang"/>
          <w:sz w:val="24"/>
          <w:szCs w:val="22"/>
          <w:lang w:val="en-US" w:eastAsia="ko-KR"/>
        </w:rPr>
      </w:pPr>
      <w:r>
        <w:rPr>
          <w:rFonts w:eastAsia="Batang"/>
          <w:sz w:val="24"/>
          <w:szCs w:val="22"/>
          <w:lang w:val="en-US" w:eastAsia="ko-KR"/>
        </w:rPr>
        <w:t xml:space="preserve">It should be possible for the network to configure a UE to perform BFD on any SCell, even on every SCell of the UE. </w:t>
      </w:r>
      <w:r w:rsidR="009D7B86">
        <w:rPr>
          <w:rFonts w:eastAsia="Batang"/>
          <w:sz w:val="24"/>
          <w:szCs w:val="22"/>
          <w:lang w:val="en-US" w:eastAsia="ko-KR"/>
        </w:rPr>
        <w:t>However, p</w:t>
      </w:r>
      <w:r w:rsidR="00991831">
        <w:rPr>
          <w:rFonts w:eastAsia="Batang"/>
          <w:sz w:val="24"/>
          <w:szCs w:val="22"/>
          <w:lang w:val="en-US" w:eastAsia="ko-KR"/>
        </w:rPr>
        <w:t xml:space="preserve">erforming BFD simultaneously on a large number of cells may incur significant UE complexity and power consumption. </w:t>
      </w:r>
      <w:r w:rsidR="00871771">
        <w:rPr>
          <w:rFonts w:eastAsia="Batang"/>
          <w:sz w:val="24"/>
          <w:szCs w:val="22"/>
          <w:lang w:val="en-US" w:eastAsia="ko-KR"/>
        </w:rPr>
        <w:t xml:space="preserve">Therefore, it is reasonable to limit the simultaneous BFD across cells with one or </w:t>
      </w:r>
      <w:r w:rsidR="004E5D0A">
        <w:rPr>
          <w:rFonts w:eastAsia="Batang"/>
          <w:sz w:val="24"/>
          <w:szCs w:val="22"/>
          <w:lang w:val="en-US" w:eastAsia="ko-KR"/>
        </w:rPr>
        <w:t>a few</w:t>
      </w:r>
      <w:r w:rsidR="00871771">
        <w:rPr>
          <w:rFonts w:eastAsia="Batang"/>
          <w:sz w:val="24"/>
          <w:szCs w:val="22"/>
          <w:lang w:val="en-US" w:eastAsia="ko-KR"/>
        </w:rPr>
        <w:t xml:space="preserve"> UE capabilities.</w:t>
      </w:r>
      <w:r w:rsidR="009D7B86">
        <w:rPr>
          <w:rFonts w:eastAsia="Batang"/>
          <w:sz w:val="24"/>
          <w:szCs w:val="22"/>
          <w:lang w:val="en-US" w:eastAsia="ko-KR"/>
        </w:rPr>
        <w:t xml:space="preserve"> The following </w:t>
      </w:r>
      <w:r w:rsidR="00EE08FB">
        <w:rPr>
          <w:rFonts w:eastAsia="Batang"/>
          <w:sz w:val="24"/>
          <w:szCs w:val="22"/>
          <w:lang w:val="en-US" w:eastAsia="ko-KR"/>
        </w:rPr>
        <w:t xml:space="preserve">three </w:t>
      </w:r>
      <w:r w:rsidR="009D7B86">
        <w:rPr>
          <w:rFonts w:eastAsia="Batang"/>
          <w:sz w:val="24"/>
          <w:szCs w:val="22"/>
          <w:lang w:val="en-US" w:eastAsia="ko-KR"/>
        </w:rPr>
        <w:t xml:space="preserve"> </w:t>
      </w:r>
      <w:r w:rsidR="00095298">
        <w:rPr>
          <w:rFonts w:eastAsia="Batang"/>
          <w:sz w:val="24"/>
          <w:szCs w:val="22"/>
          <w:lang w:val="en-US" w:eastAsia="ko-KR"/>
        </w:rPr>
        <w:t>per</w:t>
      </w:r>
      <w:r w:rsidR="003F2578">
        <w:rPr>
          <w:rFonts w:eastAsia="Batang"/>
          <w:sz w:val="24"/>
          <w:szCs w:val="22"/>
          <w:lang w:val="en-US" w:eastAsia="ko-KR"/>
        </w:rPr>
        <w:t>-</w:t>
      </w:r>
      <w:r w:rsidR="00095298">
        <w:rPr>
          <w:rFonts w:eastAsia="Batang"/>
          <w:sz w:val="24"/>
          <w:szCs w:val="22"/>
          <w:lang w:val="en-US" w:eastAsia="ko-KR"/>
        </w:rPr>
        <w:t xml:space="preserve">band </w:t>
      </w:r>
      <w:r w:rsidR="009D7B86">
        <w:rPr>
          <w:rFonts w:eastAsia="Batang"/>
          <w:sz w:val="24"/>
          <w:szCs w:val="22"/>
          <w:lang w:val="en-US" w:eastAsia="ko-KR"/>
        </w:rPr>
        <w:t xml:space="preserve">UE capabilities related to BFD </w:t>
      </w:r>
      <w:r w:rsidR="00200E11">
        <w:rPr>
          <w:rFonts w:eastAsia="Batang"/>
          <w:sz w:val="24"/>
          <w:szCs w:val="22"/>
          <w:lang w:val="en-US" w:eastAsia="ko-KR"/>
        </w:rPr>
        <w:t xml:space="preserve">already </w:t>
      </w:r>
      <w:r w:rsidR="009D7B86">
        <w:rPr>
          <w:rFonts w:eastAsia="Batang"/>
          <w:sz w:val="24"/>
          <w:szCs w:val="22"/>
          <w:lang w:val="en-US" w:eastAsia="ko-KR"/>
        </w:rPr>
        <w:t>exist in Rel-15</w:t>
      </w:r>
      <w:r w:rsidR="00095298">
        <w:rPr>
          <w:rFonts w:eastAsia="Batang"/>
          <w:sz w:val="24"/>
          <w:szCs w:val="22"/>
          <w:lang w:val="en-US" w:eastAsia="ko-KR"/>
        </w:rPr>
        <w:t xml:space="preserve"> </w:t>
      </w:r>
      <w:r w:rsidR="00C00954">
        <w:rPr>
          <w:rFonts w:eastAsia="Batang"/>
          <w:sz w:val="24"/>
          <w:szCs w:val="22"/>
          <w:lang w:val="en-US" w:eastAsia="ko-KR"/>
        </w:rPr>
        <w:fldChar w:fldCharType="begin"/>
      </w:r>
      <w:r w:rsidR="00C00954">
        <w:rPr>
          <w:rFonts w:eastAsia="Batang"/>
          <w:sz w:val="24"/>
          <w:szCs w:val="22"/>
          <w:lang w:val="en-US" w:eastAsia="ko-KR"/>
        </w:rPr>
        <w:instrText xml:space="preserve"> REF _Ref534897295 \r \h </w:instrText>
      </w:r>
      <w:r w:rsidR="00C00954">
        <w:rPr>
          <w:rFonts w:eastAsia="Batang"/>
          <w:sz w:val="24"/>
          <w:szCs w:val="22"/>
          <w:lang w:val="en-US" w:eastAsia="ko-KR"/>
        </w:rPr>
      </w:r>
      <w:r w:rsidR="00C00954">
        <w:rPr>
          <w:rFonts w:eastAsia="Batang"/>
          <w:sz w:val="24"/>
          <w:szCs w:val="22"/>
          <w:lang w:val="en-US" w:eastAsia="ko-KR"/>
        </w:rPr>
        <w:fldChar w:fldCharType="separate"/>
      </w:r>
      <w:r w:rsidR="00C00954">
        <w:rPr>
          <w:rFonts w:eastAsia="Batang"/>
          <w:sz w:val="24"/>
          <w:szCs w:val="22"/>
          <w:lang w:val="en-US" w:eastAsia="ko-KR"/>
        </w:rPr>
        <w:t>[2]</w:t>
      </w:r>
      <w:r w:rsidR="00C00954">
        <w:rPr>
          <w:rFonts w:eastAsia="Batang"/>
          <w:sz w:val="24"/>
          <w:szCs w:val="22"/>
          <w:lang w:val="en-US" w:eastAsia="ko-KR"/>
        </w:rPr>
        <w:fldChar w:fldCharType="end"/>
      </w:r>
      <w:r w:rsidR="00200E11">
        <w:rPr>
          <w:rFonts w:eastAsia="Batang"/>
          <w:sz w:val="24"/>
          <w:szCs w:val="22"/>
          <w:lang w:val="en-US" w:eastAsia="ko-KR"/>
        </w:rPr>
        <w:t>, and c</w:t>
      </w:r>
      <w:r w:rsidR="00026407">
        <w:rPr>
          <w:rFonts w:eastAsia="Batang"/>
          <w:sz w:val="24"/>
          <w:szCs w:val="22"/>
          <w:lang w:val="en-US" w:eastAsia="ko-KR"/>
        </w:rPr>
        <w:t>ould</w:t>
      </w:r>
      <w:r w:rsidR="00200E11">
        <w:rPr>
          <w:rFonts w:eastAsia="Batang"/>
          <w:sz w:val="24"/>
          <w:szCs w:val="22"/>
          <w:lang w:val="en-US" w:eastAsia="ko-KR"/>
        </w:rPr>
        <w:t xml:space="preserve"> be appli</w:t>
      </w:r>
      <w:r w:rsidR="00026407">
        <w:rPr>
          <w:rFonts w:eastAsia="Batang"/>
          <w:sz w:val="24"/>
          <w:szCs w:val="22"/>
          <w:lang w:val="en-US" w:eastAsia="ko-KR"/>
        </w:rPr>
        <w:t>cable</w:t>
      </w:r>
      <w:r w:rsidR="00200E11">
        <w:rPr>
          <w:rFonts w:eastAsia="Batang"/>
          <w:sz w:val="24"/>
          <w:szCs w:val="22"/>
          <w:lang w:val="en-US" w:eastAsia="ko-KR"/>
        </w:rPr>
        <w:t xml:space="preserve"> across SpCells and SCells in a band.</w:t>
      </w:r>
      <w:r w:rsidR="003673C1">
        <w:rPr>
          <w:rFonts w:eastAsia="Batang"/>
          <w:sz w:val="24"/>
          <w:szCs w:val="22"/>
          <w:lang w:val="en-US" w:eastAsia="ko-KR"/>
        </w:rPr>
        <w:t xml:space="preserve"> </w:t>
      </w:r>
    </w:p>
    <w:p w14:paraId="78AD4E54" w14:textId="64F108F2" w:rsidR="00095298" w:rsidRPr="00A470D9" w:rsidRDefault="00095298" w:rsidP="00095298">
      <w:pPr>
        <w:pStyle w:val="PL"/>
        <w:shd w:val="pct10" w:color="auto" w:fill="auto"/>
      </w:pPr>
      <w:r w:rsidRPr="00A470D9">
        <w:t xml:space="preserve">    maxNumberCSI-RS-BF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2BA2E65A" w14:textId="3C68BBF0" w:rsidR="00095298" w:rsidRDefault="00095298" w:rsidP="00095298">
      <w:pPr>
        <w:pStyle w:val="PL"/>
        <w:shd w:val="pct10" w:color="auto" w:fill="auto"/>
      </w:pPr>
      <w:r w:rsidRPr="00A470D9">
        <w:t xml:space="preserve">    maxNumberSSB-BF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18FEBD55" w14:textId="115B0202" w:rsidR="00550A71" w:rsidRPr="00A470D9" w:rsidRDefault="00550A71" w:rsidP="00095298">
      <w:pPr>
        <w:pStyle w:val="PL"/>
        <w:shd w:val="pct10" w:color="auto" w:fill="auto"/>
      </w:pPr>
      <w:r w:rsidRPr="00A470D9">
        <w:t xml:space="preserve">    maxNumberCSI-RS-SSB-</w:t>
      </w:r>
      <w:r>
        <w:t>C</w:t>
      </w:r>
      <w:r w:rsidRPr="00A470D9">
        <w:t>B</w:t>
      </w:r>
      <w:r>
        <w:t>D</w:t>
      </w:r>
      <w:r w:rsidRPr="00A470D9">
        <w:t xml:space="preserve">             </w:t>
      </w:r>
      <w:r w:rsidRPr="00A470D9">
        <w:rPr>
          <w:color w:val="993366"/>
        </w:rPr>
        <w:t>INTEGER</w:t>
      </w:r>
      <w:r w:rsidRPr="00A470D9">
        <w:t xml:space="preserve"> (1..256)                              </w:t>
      </w:r>
      <w:r w:rsidRPr="00A470D9">
        <w:rPr>
          <w:color w:val="993366"/>
        </w:rPr>
        <w:t>OPTIONAL</w:t>
      </w:r>
      <w:r w:rsidRPr="00A470D9">
        <w:t>,</w:t>
      </w:r>
    </w:p>
    <w:p w14:paraId="4DD5E6B9" w14:textId="78D0E3FA" w:rsidR="00871771" w:rsidRDefault="00871771" w:rsidP="00664455">
      <w:pPr>
        <w:spacing w:before="0"/>
        <w:rPr>
          <w:rFonts w:eastAsia="Batang"/>
          <w:sz w:val="24"/>
          <w:szCs w:val="22"/>
          <w:lang w:val="en-US"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gridCol w:w="630"/>
      </w:tblGrid>
      <w:tr w:rsidR="008818BC" w:rsidRPr="001F528E" w14:paraId="4BAB080B" w14:textId="77777777" w:rsidTr="002A56D3">
        <w:trPr>
          <w:cantSplit/>
          <w:tblHeader/>
        </w:trPr>
        <w:tc>
          <w:tcPr>
            <w:tcW w:w="7110" w:type="dxa"/>
          </w:tcPr>
          <w:p w14:paraId="68A0C534" w14:textId="77777777" w:rsidR="008818BC" w:rsidRPr="001F528E" w:rsidRDefault="008818BC" w:rsidP="002A56D3">
            <w:pPr>
              <w:pStyle w:val="TAH"/>
              <w:rPr>
                <w:lang w:val="en-GB"/>
              </w:rPr>
            </w:pPr>
            <w:r w:rsidRPr="001F528E">
              <w:rPr>
                <w:lang w:val="en-GB"/>
              </w:rPr>
              <w:t>Definitions for parameters</w:t>
            </w:r>
          </w:p>
        </w:tc>
        <w:tc>
          <w:tcPr>
            <w:tcW w:w="720" w:type="dxa"/>
          </w:tcPr>
          <w:p w14:paraId="7ABA4922" w14:textId="77777777" w:rsidR="008818BC" w:rsidRPr="001F528E" w:rsidRDefault="008818BC" w:rsidP="002A56D3">
            <w:pPr>
              <w:pStyle w:val="TAH"/>
              <w:rPr>
                <w:lang w:val="en-GB"/>
              </w:rPr>
            </w:pPr>
            <w:r w:rsidRPr="001F528E">
              <w:rPr>
                <w:lang w:val="en-GB"/>
              </w:rPr>
              <w:t>Per</w:t>
            </w:r>
          </w:p>
        </w:tc>
        <w:tc>
          <w:tcPr>
            <w:tcW w:w="540" w:type="dxa"/>
          </w:tcPr>
          <w:p w14:paraId="5794A293" w14:textId="77777777" w:rsidR="008818BC" w:rsidRPr="001F528E" w:rsidRDefault="008818BC" w:rsidP="002A56D3">
            <w:pPr>
              <w:pStyle w:val="TAH"/>
              <w:rPr>
                <w:lang w:val="en-GB"/>
              </w:rPr>
            </w:pPr>
            <w:r w:rsidRPr="001F528E">
              <w:rPr>
                <w:lang w:val="en-GB"/>
              </w:rPr>
              <w:t>M</w:t>
            </w:r>
          </w:p>
        </w:tc>
        <w:tc>
          <w:tcPr>
            <w:tcW w:w="630" w:type="dxa"/>
          </w:tcPr>
          <w:p w14:paraId="7C2DB9BD" w14:textId="77777777" w:rsidR="008818BC" w:rsidRPr="001F528E" w:rsidRDefault="008818BC" w:rsidP="002A56D3">
            <w:pPr>
              <w:pStyle w:val="TAH"/>
              <w:rPr>
                <w:lang w:val="en-GB"/>
              </w:rPr>
            </w:pPr>
            <w:r w:rsidRPr="001F528E">
              <w:rPr>
                <w:lang w:val="en-GB"/>
              </w:rPr>
              <w:t>FDDTDD</w:t>
            </w:r>
          </w:p>
          <w:p w14:paraId="013B8DC9" w14:textId="77777777" w:rsidR="008818BC" w:rsidRPr="001F528E" w:rsidRDefault="008818BC" w:rsidP="002A56D3">
            <w:pPr>
              <w:pStyle w:val="TAH"/>
              <w:rPr>
                <w:lang w:val="en-GB"/>
              </w:rPr>
            </w:pPr>
            <w:r w:rsidRPr="001F528E">
              <w:rPr>
                <w:lang w:val="en-GB"/>
              </w:rPr>
              <w:t>DIFF</w:t>
            </w:r>
          </w:p>
        </w:tc>
        <w:tc>
          <w:tcPr>
            <w:tcW w:w="630" w:type="dxa"/>
          </w:tcPr>
          <w:p w14:paraId="64BB10E3" w14:textId="77777777" w:rsidR="008818BC" w:rsidRPr="001F528E" w:rsidRDefault="008818BC" w:rsidP="002A56D3">
            <w:pPr>
              <w:pStyle w:val="TAH"/>
              <w:rPr>
                <w:lang w:val="en-GB"/>
              </w:rPr>
            </w:pPr>
            <w:r w:rsidRPr="001F528E">
              <w:rPr>
                <w:lang w:val="en-GB"/>
              </w:rPr>
              <w:t>FR1</w:t>
            </w:r>
          </w:p>
          <w:p w14:paraId="7783CF7F" w14:textId="77777777" w:rsidR="008818BC" w:rsidRPr="001F528E" w:rsidRDefault="008818BC" w:rsidP="002A56D3">
            <w:pPr>
              <w:pStyle w:val="TAH"/>
              <w:rPr>
                <w:lang w:val="en-GB"/>
              </w:rPr>
            </w:pPr>
            <w:r w:rsidRPr="001F528E">
              <w:rPr>
                <w:lang w:val="en-GB"/>
              </w:rPr>
              <w:t>FR2</w:t>
            </w:r>
          </w:p>
          <w:p w14:paraId="16BC2A2F" w14:textId="77777777" w:rsidR="008818BC" w:rsidRPr="001F528E" w:rsidRDefault="008818BC" w:rsidP="002A56D3">
            <w:pPr>
              <w:pStyle w:val="TAH"/>
              <w:rPr>
                <w:lang w:val="en-GB"/>
              </w:rPr>
            </w:pPr>
            <w:r w:rsidRPr="001F528E">
              <w:rPr>
                <w:lang w:val="en-GB"/>
              </w:rPr>
              <w:t>DIFF</w:t>
            </w:r>
          </w:p>
        </w:tc>
      </w:tr>
      <w:tr w:rsidR="00024B1D" w:rsidRPr="001F528E" w14:paraId="08631FA8" w14:textId="77777777" w:rsidTr="002A56D3">
        <w:trPr>
          <w:cantSplit/>
          <w:tblHeader/>
        </w:trPr>
        <w:tc>
          <w:tcPr>
            <w:tcW w:w="7110" w:type="dxa"/>
          </w:tcPr>
          <w:p w14:paraId="4FABE693" w14:textId="77777777" w:rsidR="00024B1D" w:rsidRPr="001F528E" w:rsidRDefault="00024B1D" w:rsidP="00024B1D">
            <w:pPr>
              <w:pStyle w:val="TAL"/>
              <w:rPr>
                <w:b/>
                <w:bCs/>
                <w:i/>
                <w:iCs/>
              </w:rPr>
            </w:pPr>
            <w:r w:rsidRPr="001F528E">
              <w:rPr>
                <w:b/>
                <w:bCs/>
                <w:i/>
                <w:iCs/>
              </w:rPr>
              <w:t>maxNumberCSI-RS-BF</w:t>
            </w:r>
            <w:r>
              <w:rPr>
                <w:b/>
                <w:bCs/>
                <w:i/>
                <w:iCs/>
              </w:rPr>
              <w:t>D</w:t>
            </w:r>
          </w:p>
          <w:p w14:paraId="3C3471A6" w14:textId="5003F05B" w:rsidR="00024B1D" w:rsidRPr="001F528E" w:rsidRDefault="00024B1D" w:rsidP="00024B1D">
            <w:pPr>
              <w:pStyle w:val="TAL"/>
            </w:pPr>
            <w:r w:rsidRPr="001F528E">
              <w:rPr>
                <w:bCs/>
                <w:iCs/>
              </w:rPr>
              <w:t>Indicates maximal number of CSI-RS resources across all CCs for UE to monitor PDCCH quality</w:t>
            </w:r>
            <w:r w:rsidR="00EE08FB">
              <w:rPr>
                <w:bCs/>
                <w:iCs/>
              </w:rPr>
              <w:t>. In this release of the specification, the maximum value supported by the UE is 16.</w:t>
            </w:r>
          </w:p>
        </w:tc>
        <w:tc>
          <w:tcPr>
            <w:tcW w:w="720" w:type="dxa"/>
          </w:tcPr>
          <w:p w14:paraId="42F8BAB5" w14:textId="77777777" w:rsidR="00024B1D" w:rsidRPr="001F528E" w:rsidRDefault="00024B1D" w:rsidP="00024B1D">
            <w:pPr>
              <w:pStyle w:val="TAL"/>
              <w:jc w:val="center"/>
            </w:pPr>
            <w:r w:rsidRPr="001F528E">
              <w:rPr>
                <w:rFonts w:cs="Arial"/>
                <w:szCs w:val="18"/>
                <w:lang w:eastAsia="ja-JP"/>
              </w:rPr>
              <w:t>Band</w:t>
            </w:r>
          </w:p>
        </w:tc>
        <w:tc>
          <w:tcPr>
            <w:tcW w:w="540" w:type="dxa"/>
          </w:tcPr>
          <w:p w14:paraId="5B1F7D94" w14:textId="5F33142D" w:rsidR="00024B1D" w:rsidRPr="001F528E" w:rsidRDefault="00024B1D" w:rsidP="00024B1D">
            <w:pPr>
              <w:pStyle w:val="TAL"/>
              <w:jc w:val="center"/>
            </w:pPr>
            <w:r w:rsidRPr="001F528E">
              <w:rPr>
                <w:bCs/>
                <w:iCs/>
              </w:rPr>
              <w:t>Tbd</w:t>
            </w:r>
          </w:p>
        </w:tc>
        <w:tc>
          <w:tcPr>
            <w:tcW w:w="630" w:type="dxa"/>
          </w:tcPr>
          <w:p w14:paraId="62219013" w14:textId="77777777" w:rsidR="00024B1D" w:rsidRPr="001F528E" w:rsidRDefault="00024B1D" w:rsidP="00024B1D">
            <w:pPr>
              <w:pStyle w:val="TAL"/>
              <w:jc w:val="center"/>
            </w:pPr>
            <w:r w:rsidRPr="001F528E">
              <w:rPr>
                <w:rFonts w:cs="Arial"/>
                <w:szCs w:val="18"/>
                <w:lang w:eastAsia="ja-JP"/>
              </w:rPr>
              <w:t>No</w:t>
            </w:r>
          </w:p>
        </w:tc>
        <w:tc>
          <w:tcPr>
            <w:tcW w:w="630" w:type="dxa"/>
          </w:tcPr>
          <w:p w14:paraId="3CA105AA" w14:textId="77777777" w:rsidR="00024B1D" w:rsidRPr="001F528E" w:rsidRDefault="00024B1D" w:rsidP="00024B1D">
            <w:pPr>
              <w:pStyle w:val="TAL"/>
              <w:jc w:val="center"/>
            </w:pPr>
            <w:r w:rsidRPr="001F528E">
              <w:t>No</w:t>
            </w:r>
          </w:p>
        </w:tc>
      </w:tr>
      <w:tr w:rsidR="00024B1D" w:rsidRPr="001F528E" w14:paraId="0AB1DA7B" w14:textId="77777777" w:rsidTr="002A56D3">
        <w:trPr>
          <w:cantSplit/>
          <w:tblHeader/>
        </w:trPr>
        <w:tc>
          <w:tcPr>
            <w:tcW w:w="7110" w:type="dxa"/>
          </w:tcPr>
          <w:p w14:paraId="3FC5530C" w14:textId="77777777" w:rsidR="00024B1D" w:rsidRPr="001F528E" w:rsidRDefault="00024B1D" w:rsidP="00024B1D">
            <w:pPr>
              <w:pStyle w:val="TAL"/>
              <w:rPr>
                <w:b/>
                <w:bCs/>
                <w:i/>
                <w:iCs/>
              </w:rPr>
            </w:pPr>
            <w:r w:rsidRPr="001F528E">
              <w:rPr>
                <w:b/>
                <w:bCs/>
                <w:i/>
                <w:iCs/>
              </w:rPr>
              <w:t>maxNumberSSB-BF</w:t>
            </w:r>
            <w:r>
              <w:rPr>
                <w:b/>
                <w:bCs/>
                <w:i/>
                <w:iCs/>
              </w:rPr>
              <w:t>D</w:t>
            </w:r>
          </w:p>
          <w:p w14:paraId="7AB0F137" w14:textId="5EE75557" w:rsidR="00024B1D" w:rsidRPr="001F528E" w:rsidRDefault="00024B1D" w:rsidP="00024B1D">
            <w:pPr>
              <w:pStyle w:val="TAL"/>
            </w:pPr>
            <w:r w:rsidRPr="001F528E">
              <w:rPr>
                <w:bCs/>
                <w:iCs/>
              </w:rPr>
              <w:t>Defines maximal number of different SSBs across all CCs for UE to monitor PDCCH quality</w:t>
            </w:r>
            <w:r>
              <w:rPr>
                <w:bCs/>
                <w:iCs/>
              </w:rPr>
              <w:t>.</w:t>
            </w:r>
            <w:r w:rsidRPr="001F528E">
              <w:rPr>
                <w:bCs/>
                <w:iCs/>
              </w:rPr>
              <w:t xml:space="preserve"> </w:t>
            </w:r>
            <w:r>
              <w:rPr>
                <w:bCs/>
                <w:iCs/>
              </w:rPr>
              <w:t xml:space="preserve"> </w:t>
            </w:r>
            <w:r w:rsidRPr="00C7429B">
              <w:rPr>
                <w:bCs/>
                <w:iCs/>
              </w:rPr>
              <w:t xml:space="preserve">In this release, the maximum value supported by the UE is </w:t>
            </w:r>
            <w:r w:rsidR="00396EA5">
              <w:rPr>
                <w:bCs/>
                <w:iCs/>
              </w:rPr>
              <w:t>up to</w:t>
            </w:r>
            <w:r>
              <w:rPr>
                <w:bCs/>
                <w:iCs/>
              </w:rPr>
              <w:t xml:space="preserve"> </w:t>
            </w:r>
            <w:r w:rsidRPr="00C7429B">
              <w:rPr>
                <w:bCs/>
                <w:iCs/>
              </w:rPr>
              <w:t>16.</w:t>
            </w:r>
          </w:p>
        </w:tc>
        <w:tc>
          <w:tcPr>
            <w:tcW w:w="720" w:type="dxa"/>
          </w:tcPr>
          <w:p w14:paraId="7122CD34" w14:textId="77777777" w:rsidR="00024B1D" w:rsidRPr="001F528E" w:rsidRDefault="00024B1D" w:rsidP="00024B1D">
            <w:pPr>
              <w:pStyle w:val="TAL"/>
              <w:jc w:val="center"/>
              <w:rPr>
                <w:rFonts w:cs="Arial"/>
                <w:szCs w:val="18"/>
                <w:lang w:eastAsia="ja-JP"/>
              </w:rPr>
            </w:pPr>
            <w:r w:rsidRPr="001F528E">
              <w:t>Band</w:t>
            </w:r>
          </w:p>
        </w:tc>
        <w:tc>
          <w:tcPr>
            <w:tcW w:w="540" w:type="dxa"/>
          </w:tcPr>
          <w:p w14:paraId="5F273867" w14:textId="0A5AB243" w:rsidR="00024B1D" w:rsidRPr="001F528E" w:rsidRDefault="00024B1D" w:rsidP="00024B1D">
            <w:pPr>
              <w:pStyle w:val="TAL"/>
              <w:jc w:val="center"/>
              <w:rPr>
                <w:rFonts w:cs="Arial"/>
                <w:szCs w:val="18"/>
                <w:lang w:eastAsia="ja-JP"/>
              </w:rPr>
            </w:pPr>
            <w:r w:rsidRPr="001F528E">
              <w:rPr>
                <w:bCs/>
                <w:iCs/>
              </w:rPr>
              <w:t>Tbd</w:t>
            </w:r>
          </w:p>
        </w:tc>
        <w:tc>
          <w:tcPr>
            <w:tcW w:w="630" w:type="dxa"/>
          </w:tcPr>
          <w:p w14:paraId="7EABB2A3" w14:textId="77777777" w:rsidR="00024B1D" w:rsidRPr="001F528E" w:rsidRDefault="00024B1D" w:rsidP="00024B1D">
            <w:pPr>
              <w:pStyle w:val="TAL"/>
              <w:jc w:val="center"/>
              <w:rPr>
                <w:rFonts w:cs="Arial"/>
                <w:szCs w:val="18"/>
                <w:lang w:eastAsia="ja-JP"/>
              </w:rPr>
            </w:pPr>
            <w:r w:rsidRPr="001F528E">
              <w:t>No</w:t>
            </w:r>
          </w:p>
        </w:tc>
        <w:tc>
          <w:tcPr>
            <w:tcW w:w="630" w:type="dxa"/>
          </w:tcPr>
          <w:p w14:paraId="1BF114A6" w14:textId="77777777" w:rsidR="00024B1D" w:rsidRPr="001F528E" w:rsidRDefault="00024B1D" w:rsidP="00024B1D">
            <w:pPr>
              <w:pStyle w:val="TAL"/>
              <w:jc w:val="center"/>
            </w:pPr>
            <w:r w:rsidRPr="001F528E">
              <w:t>No</w:t>
            </w:r>
          </w:p>
        </w:tc>
      </w:tr>
      <w:tr w:rsidR="00550A71" w:rsidRPr="001F528E" w14:paraId="2813ECEB" w14:textId="77777777" w:rsidTr="002A56D3">
        <w:trPr>
          <w:cantSplit/>
          <w:tblHeader/>
        </w:trPr>
        <w:tc>
          <w:tcPr>
            <w:tcW w:w="7110" w:type="dxa"/>
          </w:tcPr>
          <w:p w14:paraId="41F4272F" w14:textId="77777777" w:rsidR="00550A71" w:rsidRPr="00B72E8B" w:rsidRDefault="00550A71" w:rsidP="00550A71">
            <w:pPr>
              <w:keepNext/>
              <w:keepLines/>
              <w:spacing w:after="0"/>
              <w:rPr>
                <w:rFonts w:ascii="Arial" w:eastAsia="Malgun Gothic" w:hAnsi="Arial"/>
                <w:b/>
                <w:bCs/>
                <w:i/>
                <w:iCs/>
                <w:sz w:val="18"/>
              </w:rPr>
            </w:pPr>
            <w:r w:rsidRPr="00B72E8B">
              <w:rPr>
                <w:rFonts w:ascii="Arial" w:eastAsia="Malgun Gothic" w:hAnsi="Arial"/>
                <w:b/>
                <w:bCs/>
                <w:i/>
                <w:iCs/>
                <w:sz w:val="18"/>
              </w:rPr>
              <w:t>maxNumberCSI-RS-SSB-BFR</w:t>
            </w:r>
          </w:p>
          <w:p w14:paraId="04FFBD51" w14:textId="4E9013E2" w:rsidR="00550A71" w:rsidRPr="001F528E" w:rsidRDefault="00550A71" w:rsidP="00550A71">
            <w:pPr>
              <w:pStyle w:val="TAL"/>
              <w:rPr>
                <w:b/>
                <w:bCs/>
                <w:i/>
                <w:iCs/>
              </w:rPr>
            </w:pPr>
            <w:r w:rsidRPr="00B72E8B">
              <w:rPr>
                <w:bCs/>
                <w:iCs/>
              </w:rPr>
              <w:t>Defines maximal number of different CSI-RS [and/or SSB] resources across all CCs for new beam identifications.</w:t>
            </w:r>
            <w:r>
              <w:rPr>
                <w:bCs/>
                <w:iCs/>
              </w:rPr>
              <w:t xml:space="preserve"> In this release of the specification, the maximum value supported by the UE is 128.</w:t>
            </w:r>
          </w:p>
        </w:tc>
        <w:tc>
          <w:tcPr>
            <w:tcW w:w="720" w:type="dxa"/>
          </w:tcPr>
          <w:p w14:paraId="620E8A2A" w14:textId="26B1CA84" w:rsidR="00550A71" w:rsidRPr="001F528E" w:rsidRDefault="00550A71" w:rsidP="00550A71">
            <w:pPr>
              <w:pStyle w:val="TAL"/>
              <w:jc w:val="center"/>
            </w:pPr>
            <w:r w:rsidRPr="001F528E">
              <w:t>Band</w:t>
            </w:r>
          </w:p>
        </w:tc>
        <w:tc>
          <w:tcPr>
            <w:tcW w:w="540" w:type="dxa"/>
          </w:tcPr>
          <w:p w14:paraId="62D760DF" w14:textId="25F6F8D2" w:rsidR="00550A71" w:rsidRPr="001F528E" w:rsidRDefault="00550A71" w:rsidP="00550A71">
            <w:pPr>
              <w:pStyle w:val="TAL"/>
              <w:jc w:val="center"/>
              <w:rPr>
                <w:bCs/>
                <w:iCs/>
              </w:rPr>
            </w:pPr>
            <w:r w:rsidRPr="001F528E">
              <w:rPr>
                <w:bCs/>
                <w:iCs/>
              </w:rPr>
              <w:t>Tbd</w:t>
            </w:r>
          </w:p>
        </w:tc>
        <w:tc>
          <w:tcPr>
            <w:tcW w:w="630" w:type="dxa"/>
          </w:tcPr>
          <w:p w14:paraId="7BAC2F43" w14:textId="12705822" w:rsidR="00550A71" w:rsidRPr="001F528E" w:rsidRDefault="00550A71" w:rsidP="00550A71">
            <w:pPr>
              <w:pStyle w:val="TAL"/>
              <w:jc w:val="center"/>
            </w:pPr>
            <w:r w:rsidRPr="001F528E">
              <w:t>No</w:t>
            </w:r>
          </w:p>
        </w:tc>
        <w:tc>
          <w:tcPr>
            <w:tcW w:w="630" w:type="dxa"/>
          </w:tcPr>
          <w:p w14:paraId="179E1EE5" w14:textId="51B92E76" w:rsidR="00550A71" w:rsidRPr="001F528E" w:rsidRDefault="00550A71" w:rsidP="00550A71">
            <w:pPr>
              <w:pStyle w:val="TAL"/>
              <w:jc w:val="center"/>
            </w:pPr>
            <w:r w:rsidRPr="001F528E">
              <w:t>No</w:t>
            </w:r>
          </w:p>
        </w:tc>
      </w:tr>
    </w:tbl>
    <w:p w14:paraId="2CC7E54A" w14:textId="77777777" w:rsidR="00C01BD3" w:rsidRDefault="00C01BD3" w:rsidP="004E5D0A">
      <w:pPr>
        <w:spacing w:before="0"/>
        <w:rPr>
          <w:rFonts w:eastAsia="Batang"/>
          <w:sz w:val="24"/>
          <w:szCs w:val="22"/>
          <w:lang w:val="en-US" w:eastAsia="ko-KR"/>
        </w:rPr>
      </w:pPr>
    </w:p>
    <w:p w14:paraId="00C6E08A" w14:textId="1BDDF334" w:rsidR="008818BC" w:rsidRDefault="005E7958" w:rsidP="004E5D0A">
      <w:pPr>
        <w:spacing w:before="0"/>
        <w:rPr>
          <w:rFonts w:eastAsia="Batang"/>
          <w:sz w:val="24"/>
          <w:szCs w:val="22"/>
          <w:lang w:val="en-US" w:eastAsia="ko-KR"/>
        </w:rPr>
      </w:pPr>
      <w:r>
        <w:rPr>
          <w:rFonts w:eastAsia="Batang"/>
          <w:sz w:val="24"/>
          <w:szCs w:val="22"/>
          <w:lang w:val="en-US" w:eastAsia="ko-KR"/>
        </w:rPr>
        <w:t>In order to take the BFD UE capability across all serving cells into account</w:t>
      </w:r>
      <w:r w:rsidR="00026407">
        <w:rPr>
          <w:rFonts w:eastAsia="Batang"/>
          <w:sz w:val="24"/>
          <w:szCs w:val="22"/>
          <w:lang w:val="en-US" w:eastAsia="ko-KR"/>
        </w:rPr>
        <w:t xml:space="preserve"> (not only in a band)</w:t>
      </w:r>
      <w:r>
        <w:rPr>
          <w:rFonts w:eastAsia="Batang"/>
          <w:sz w:val="24"/>
          <w:szCs w:val="22"/>
          <w:lang w:val="en-US" w:eastAsia="ko-KR"/>
        </w:rPr>
        <w:t>, a BFD capability per UE may be necessary, e.g. the maximum number of cells or BFD-RS that are simultaneously used for BFD.</w:t>
      </w:r>
    </w:p>
    <w:p w14:paraId="6DC24E07" w14:textId="64DC1743" w:rsidR="00200E11" w:rsidRDefault="00200E11" w:rsidP="004E5D0A">
      <w:pPr>
        <w:spacing w:before="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026407">
        <w:rPr>
          <w:rFonts w:eastAsia="Batang"/>
          <w:b/>
          <w:i/>
          <w:sz w:val="24"/>
          <w:szCs w:val="22"/>
          <w:lang w:val="en-US" w:eastAsia="ko-KR"/>
        </w:rPr>
        <w:t>2</w:t>
      </w:r>
      <w:r w:rsidRPr="009C6E6E">
        <w:rPr>
          <w:rFonts w:eastAsia="Batang"/>
          <w:b/>
          <w:i/>
          <w:sz w:val="24"/>
          <w:szCs w:val="22"/>
          <w:lang w:val="en-US" w:eastAsia="ko-KR"/>
        </w:rPr>
        <w:t xml:space="preserve">: </w:t>
      </w:r>
    </w:p>
    <w:p w14:paraId="7CF782A0" w14:textId="7D973CE3" w:rsidR="00200E11" w:rsidRDefault="00200E11" w:rsidP="004E5D0A">
      <w:pPr>
        <w:pStyle w:val="ListParagraph"/>
        <w:numPr>
          <w:ilvl w:val="0"/>
          <w:numId w:val="37"/>
        </w:numPr>
        <w:spacing w:before="0" w:line="240" w:lineRule="auto"/>
        <w:rPr>
          <w:b/>
          <w:i/>
          <w:sz w:val="24"/>
          <w:szCs w:val="22"/>
        </w:rPr>
      </w:pPr>
      <w:r w:rsidRPr="006E5DD2">
        <w:rPr>
          <w:b/>
          <w:i/>
          <w:sz w:val="24"/>
          <w:szCs w:val="22"/>
        </w:rPr>
        <w:t xml:space="preserve">A UE can be configured to perform BFD on any </w:t>
      </w:r>
      <w:r w:rsidR="00E027E3">
        <w:rPr>
          <w:b/>
          <w:i/>
          <w:sz w:val="24"/>
          <w:szCs w:val="22"/>
        </w:rPr>
        <w:t xml:space="preserve">DL-only </w:t>
      </w:r>
      <w:r w:rsidRPr="006E5DD2">
        <w:rPr>
          <w:b/>
          <w:i/>
          <w:sz w:val="24"/>
          <w:szCs w:val="22"/>
        </w:rPr>
        <w:t xml:space="preserve">SCell </w:t>
      </w:r>
      <w:r w:rsidR="00D06481">
        <w:rPr>
          <w:b/>
          <w:i/>
          <w:sz w:val="24"/>
          <w:szCs w:val="22"/>
        </w:rPr>
        <w:t>or DL/UL SCell</w:t>
      </w:r>
      <w:r w:rsidRPr="006E5DD2">
        <w:rPr>
          <w:b/>
          <w:i/>
          <w:sz w:val="24"/>
          <w:szCs w:val="22"/>
        </w:rPr>
        <w:t xml:space="preserve">. </w:t>
      </w:r>
    </w:p>
    <w:p w14:paraId="763C9FA6" w14:textId="437CED59" w:rsidR="00D06481" w:rsidRDefault="00026407" w:rsidP="004E5D0A">
      <w:pPr>
        <w:pStyle w:val="ListParagraph"/>
        <w:numPr>
          <w:ilvl w:val="0"/>
          <w:numId w:val="37"/>
        </w:numPr>
        <w:spacing w:before="0" w:line="240" w:lineRule="auto"/>
        <w:rPr>
          <w:b/>
          <w:i/>
          <w:sz w:val="24"/>
          <w:szCs w:val="22"/>
        </w:rPr>
      </w:pPr>
      <w:r>
        <w:rPr>
          <w:b/>
          <w:i/>
          <w:sz w:val="24"/>
          <w:szCs w:val="22"/>
        </w:rPr>
        <w:t xml:space="preserve">Define </w:t>
      </w:r>
      <w:r w:rsidR="00D06481">
        <w:rPr>
          <w:b/>
          <w:i/>
          <w:sz w:val="24"/>
          <w:szCs w:val="22"/>
        </w:rPr>
        <w:t xml:space="preserve">UE capabilities for BFD </w:t>
      </w:r>
      <w:r>
        <w:rPr>
          <w:b/>
          <w:i/>
          <w:sz w:val="24"/>
          <w:szCs w:val="22"/>
        </w:rPr>
        <w:t xml:space="preserve">that </w:t>
      </w:r>
      <w:r w:rsidR="00D06481">
        <w:rPr>
          <w:b/>
          <w:i/>
          <w:sz w:val="24"/>
          <w:szCs w:val="22"/>
        </w:rPr>
        <w:t>apply across SpCells and SCells</w:t>
      </w:r>
      <w:r w:rsidR="00D20405">
        <w:rPr>
          <w:b/>
          <w:i/>
          <w:sz w:val="24"/>
          <w:szCs w:val="22"/>
        </w:rPr>
        <w:t>.</w:t>
      </w:r>
    </w:p>
    <w:p w14:paraId="421944EC" w14:textId="051E56D8" w:rsidR="00026407" w:rsidRDefault="00026407" w:rsidP="004E5D0A">
      <w:pPr>
        <w:pStyle w:val="ListParagraph"/>
        <w:numPr>
          <w:ilvl w:val="1"/>
          <w:numId w:val="37"/>
        </w:numPr>
        <w:spacing w:before="0" w:line="240" w:lineRule="auto"/>
        <w:rPr>
          <w:b/>
          <w:i/>
          <w:sz w:val="24"/>
          <w:szCs w:val="22"/>
        </w:rPr>
      </w:pPr>
      <w:r>
        <w:rPr>
          <w:b/>
          <w:i/>
          <w:sz w:val="24"/>
          <w:szCs w:val="22"/>
        </w:rPr>
        <w:t>Further study UE capability per band and per UE</w:t>
      </w:r>
    </w:p>
    <w:p w14:paraId="77F6532A" w14:textId="77777777" w:rsidR="00E148CB" w:rsidRPr="00E148CB" w:rsidRDefault="00E148CB" w:rsidP="00E148CB">
      <w:pPr>
        <w:spacing w:before="0"/>
        <w:ind w:left="1080"/>
        <w:rPr>
          <w:b/>
          <w:i/>
          <w:sz w:val="24"/>
          <w:szCs w:val="22"/>
        </w:rPr>
      </w:pPr>
    </w:p>
    <w:p w14:paraId="40F4676A" w14:textId="6272A550" w:rsidR="00970ADB" w:rsidRDefault="00970ADB" w:rsidP="004E5D0A">
      <w:pPr>
        <w:pStyle w:val="Heading2"/>
        <w:spacing w:before="0"/>
      </w:pPr>
      <w:r>
        <w:t>New Beam Identification (NBI)</w:t>
      </w:r>
    </w:p>
    <w:p w14:paraId="055EA8B1" w14:textId="07F0DFC8" w:rsidR="00970ADB" w:rsidRDefault="00757856" w:rsidP="004E5D0A">
      <w:pPr>
        <w:spacing w:before="0"/>
        <w:rPr>
          <w:rFonts w:eastAsia="Batang"/>
          <w:sz w:val="24"/>
          <w:szCs w:val="22"/>
          <w:lang w:val="en-US" w:eastAsia="ko-KR"/>
        </w:rPr>
      </w:pPr>
      <w:r>
        <w:rPr>
          <w:rFonts w:eastAsia="Batang"/>
          <w:sz w:val="24"/>
          <w:szCs w:val="22"/>
          <w:lang w:val="en-US" w:eastAsia="ko-KR"/>
        </w:rPr>
        <w:t>It is necessary to support new beam identification also for SCells, since the SCell beams may be unrelated to the SpCell beams.</w:t>
      </w:r>
      <w:r w:rsidR="00D54E7D">
        <w:rPr>
          <w:rFonts w:eastAsia="Batang"/>
          <w:sz w:val="24"/>
          <w:szCs w:val="22"/>
          <w:lang w:val="en-US" w:eastAsia="ko-KR"/>
        </w:rPr>
        <w:t xml:space="preserve"> Therefore</w:t>
      </w:r>
      <w:r>
        <w:rPr>
          <w:rFonts w:eastAsia="Batang"/>
          <w:sz w:val="24"/>
          <w:szCs w:val="22"/>
          <w:lang w:val="en-US" w:eastAsia="ko-KR"/>
        </w:rPr>
        <w:t>, in some cases, it may be beneficial to include RSs on another cell, e.g. SSBs, among the candidate RS. This can be useful for instance when an SCell without SSBs is deployed close in frequency to the SpCell, which transmits SSBs. Unless it is concluded that the Rel-15 metric for NBI (L1-RSRP) is faulty, it can be reused also for SCell NBI.</w:t>
      </w:r>
    </w:p>
    <w:p w14:paraId="3270CFD4" w14:textId="272F53AE" w:rsidR="00FA7F3B" w:rsidRDefault="00FA7F3B" w:rsidP="004E5D0A">
      <w:pPr>
        <w:spacing w:before="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051F4B">
        <w:rPr>
          <w:rFonts w:eastAsia="Batang"/>
          <w:b/>
          <w:i/>
          <w:sz w:val="24"/>
          <w:szCs w:val="22"/>
          <w:lang w:val="en-US" w:eastAsia="ko-KR"/>
        </w:rPr>
        <w:t>3</w:t>
      </w:r>
      <w:r w:rsidRPr="009C6E6E">
        <w:rPr>
          <w:rFonts w:eastAsia="Batang"/>
          <w:b/>
          <w:i/>
          <w:sz w:val="24"/>
          <w:szCs w:val="22"/>
          <w:lang w:val="en-US" w:eastAsia="ko-KR"/>
        </w:rPr>
        <w:t xml:space="preserve">: </w:t>
      </w:r>
      <w:r>
        <w:rPr>
          <w:rFonts w:eastAsia="Batang"/>
          <w:b/>
          <w:i/>
          <w:sz w:val="24"/>
          <w:szCs w:val="22"/>
          <w:lang w:val="en-US" w:eastAsia="ko-KR"/>
        </w:rPr>
        <w:t>NBI for SCell is supported</w:t>
      </w:r>
      <w:r w:rsidR="00983D81">
        <w:rPr>
          <w:rFonts w:eastAsia="Batang"/>
          <w:b/>
          <w:i/>
          <w:sz w:val="24"/>
          <w:szCs w:val="22"/>
          <w:lang w:val="en-US" w:eastAsia="ko-KR"/>
        </w:rPr>
        <w:t xml:space="preserve">, </w:t>
      </w:r>
      <w:r w:rsidR="00E02F45">
        <w:rPr>
          <w:rFonts w:eastAsia="Batang"/>
          <w:b/>
          <w:i/>
          <w:sz w:val="24"/>
          <w:szCs w:val="22"/>
          <w:lang w:val="en-US" w:eastAsia="ko-KR"/>
        </w:rPr>
        <w:t>reusing the metric from Rel-15 NBI.</w:t>
      </w:r>
    </w:p>
    <w:p w14:paraId="2C4CE026" w14:textId="77777777" w:rsidR="00FA7F3B" w:rsidRPr="00040139" w:rsidRDefault="00FA7F3B" w:rsidP="00970ADB">
      <w:pPr>
        <w:rPr>
          <w:rFonts w:eastAsia="Batang"/>
          <w:sz w:val="24"/>
          <w:szCs w:val="22"/>
          <w:lang w:val="en-US" w:eastAsia="ko-KR"/>
        </w:rPr>
      </w:pPr>
    </w:p>
    <w:p w14:paraId="68FFAFC5" w14:textId="63CBE9E0" w:rsidR="00970ADB" w:rsidRPr="00970ADB" w:rsidRDefault="00970ADB" w:rsidP="00970ADB">
      <w:pPr>
        <w:pStyle w:val="Heading2"/>
      </w:pPr>
      <w:r>
        <w:t>Beam Failure Recovery Request (BFRQ)</w:t>
      </w:r>
    </w:p>
    <w:p w14:paraId="3AB9124C" w14:textId="3F291468" w:rsidR="00970ADB" w:rsidRDefault="008A7500" w:rsidP="00970ADB">
      <w:pPr>
        <w:rPr>
          <w:rFonts w:eastAsia="Batang"/>
          <w:sz w:val="24"/>
          <w:szCs w:val="22"/>
          <w:lang w:val="en-US" w:eastAsia="ko-KR"/>
        </w:rPr>
      </w:pPr>
      <w:r>
        <w:rPr>
          <w:rFonts w:eastAsia="Batang"/>
          <w:sz w:val="24"/>
          <w:szCs w:val="22"/>
          <w:lang w:val="en-US" w:eastAsia="ko-KR"/>
        </w:rPr>
        <w:t>In order to support DL-only SCells, it is not possible to completely reuse the Rel-15 BFRQ mechanism, since the UE cannot transmit the BFRQ on a DL-only SCell. Hence, also BFRQ transmission on another cell</w:t>
      </w:r>
      <w:r w:rsidR="00876F4B">
        <w:rPr>
          <w:rFonts w:eastAsia="Batang"/>
          <w:sz w:val="24"/>
          <w:szCs w:val="22"/>
          <w:lang w:val="en-US" w:eastAsia="ko-KR"/>
        </w:rPr>
        <w:t>, e.g. the SpCell,</w:t>
      </w:r>
      <w:r>
        <w:rPr>
          <w:rFonts w:eastAsia="Batang"/>
          <w:sz w:val="24"/>
          <w:szCs w:val="22"/>
          <w:lang w:val="en-US" w:eastAsia="ko-KR"/>
        </w:rPr>
        <w:t xml:space="preserve"> needs to be supported</w:t>
      </w:r>
      <w:r w:rsidR="00F33AB2">
        <w:rPr>
          <w:rFonts w:eastAsia="Batang"/>
          <w:sz w:val="24"/>
          <w:szCs w:val="22"/>
          <w:lang w:val="en-US" w:eastAsia="ko-KR"/>
        </w:rPr>
        <w:t xml:space="preserve"> </w:t>
      </w:r>
      <w:r w:rsidR="00F33AB2" w:rsidRPr="006E5DD2">
        <w:rPr>
          <w:rFonts w:eastAsia="Batang"/>
          <w:sz w:val="24"/>
          <w:szCs w:val="24"/>
          <w:lang w:val="en-US" w:eastAsia="ko-KR"/>
        </w:rPr>
        <w:t>(</w:t>
      </w:r>
      <w:r w:rsidR="00F33AB2" w:rsidRPr="006E5DD2">
        <w:rPr>
          <w:rFonts w:eastAsia="Batang"/>
          <w:sz w:val="24"/>
          <w:szCs w:val="24"/>
          <w:lang w:val="en-US" w:eastAsia="ko-KR"/>
        </w:rPr>
        <w:fldChar w:fldCharType="begin"/>
      </w:r>
      <w:r w:rsidR="00F33AB2" w:rsidRPr="006E5DD2">
        <w:rPr>
          <w:rFonts w:eastAsia="Batang"/>
          <w:sz w:val="24"/>
          <w:szCs w:val="24"/>
          <w:lang w:val="en-US" w:eastAsia="ko-KR"/>
        </w:rPr>
        <w:instrText xml:space="preserve"> REF _Ref534799643 \h </w:instrText>
      </w:r>
      <w:r w:rsidR="00F33AB2">
        <w:rPr>
          <w:rFonts w:eastAsia="Batang"/>
          <w:sz w:val="24"/>
          <w:szCs w:val="24"/>
          <w:lang w:val="en-US" w:eastAsia="ko-KR"/>
        </w:rPr>
        <w:instrText xml:space="preserve"> \* MERGEFORMAT </w:instrText>
      </w:r>
      <w:r w:rsidR="00F33AB2" w:rsidRPr="006E5DD2">
        <w:rPr>
          <w:rFonts w:eastAsia="Batang"/>
          <w:sz w:val="24"/>
          <w:szCs w:val="24"/>
          <w:lang w:val="en-US" w:eastAsia="ko-KR"/>
        </w:rPr>
      </w:r>
      <w:r w:rsidR="00F33AB2" w:rsidRPr="006E5DD2">
        <w:rPr>
          <w:rFonts w:eastAsia="Batang"/>
          <w:sz w:val="24"/>
          <w:szCs w:val="24"/>
          <w:lang w:val="en-US" w:eastAsia="ko-KR"/>
        </w:rPr>
        <w:fldChar w:fldCharType="separate"/>
      </w:r>
      <w:r w:rsidR="00C00954" w:rsidRPr="0081071B">
        <w:rPr>
          <w:i/>
          <w:iCs/>
          <w:sz w:val="24"/>
          <w:szCs w:val="24"/>
        </w:rPr>
        <w:t xml:space="preserve">Figure </w:t>
      </w:r>
      <w:r w:rsidR="00C00954" w:rsidRPr="0081071B">
        <w:rPr>
          <w:noProof/>
          <w:sz w:val="24"/>
          <w:szCs w:val="24"/>
        </w:rPr>
        <w:t>1</w:t>
      </w:r>
      <w:r w:rsidR="00F33AB2" w:rsidRPr="006E5DD2">
        <w:rPr>
          <w:rFonts w:eastAsia="Batang"/>
          <w:sz w:val="24"/>
          <w:szCs w:val="24"/>
          <w:lang w:val="en-US" w:eastAsia="ko-KR"/>
        </w:rPr>
        <w:fldChar w:fldCharType="end"/>
      </w:r>
      <w:r w:rsidR="00F33AB2" w:rsidRPr="006E5DD2">
        <w:rPr>
          <w:rFonts w:eastAsia="Batang"/>
          <w:sz w:val="24"/>
          <w:szCs w:val="24"/>
          <w:lang w:val="en-US" w:eastAsia="ko-KR"/>
        </w:rPr>
        <w:t>(b))</w:t>
      </w:r>
      <w:r w:rsidR="00876F4B">
        <w:rPr>
          <w:rFonts w:eastAsia="Batang"/>
          <w:sz w:val="24"/>
          <w:szCs w:val="22"/>
          <w:lang w:val="en-US" w:eastAsia="ko-KR"/>
        </w:rPr>
        <w:t xml:space="preserve">, in addition to BFRQ transmission on the </w:t>
      </w:r>
      <w:r w:rsidR="00F33AB2">
        <w:rPr>
          <w:rFonts w:eastAsia="Batang"/>
          <w:sz w:val="24"/>
          <w:szCs w:val="22"/>
          <w:lang w:val="en-US" w:eastAsia="ko-KR"/>
        </w:rPr>
        <w:t>SC</w:t>
      </w:r>
      <w:r w:rsidR="00876F4B">
        <w:rPr>
          <w:rFonts w:eastAsia="Batang"/>
          <w:sz w:val="24"/>
          <w:szCs w:val="22"/>
          <w:lang w:val="en-US" w:eastAsia="ko-KR"/>
        </w:rPr>
        <w:t>el</w:t>
      </w:r>
      <w:r w:rsidR="00F33AB2">
        <w:rPr>
          <w:rFonts w:eastAsia="Batang"/>
          <w:sz w:val="24"/>
          <w:szCs w:val="22"/>
          <w:lang w:val="en-US" w:eastAsia="ko-KR"/>
        </w:rPr>
        <w:t xml:space="preserve">l </w:t>
      </w:r>
      <w:r w:rsidR="00876F4B">
        <w:rPr>
          <w:rFonts w:eastAsia="Batang"/>
          <w:sz w:val="24"/>
          <w:szCs w:val="22"/>
          <w:lang w:val="en-US" w:eastAsia="ko-KR"/>
        </w:rPr>
        <w:t xml:space="preserve">on which beam failure </w:t>
      </w:r>
      <w:r w:rsidR="00F33AB2">
        <w:rPr>
          <w:rFonts w:eastAsia="Batang"/>
          <w:sz w:val="24"/>
          <w:szCs w:val="22"/>
          <w:lang w:val="en-US" w:eastAsia="ko-KR"/>
        </w:rPr>
        <w:t>w</w:t>
      </w:r>
      <w:r w:rsidR="00876F4B">
        <w:rPr>
          <w:rFonts w:eastAsia="Batang"/>
          <w:sz w:val="24"/>
          <w:szCs w:val="22"/>
          <w:lang w:val="en-US" w:eastAsia="ko-KR"/>
        </w:rPr>
        <w:t>as detected</w:t>
      </w:r>
      <w:r w:rsidR="00F33AB2">
        <w:rPr>
          <w:rFonts w:eastAsia="Batang"/>
          <w:sz w:val="24"/>
          <w:szCs w:val="22"/>
          <w:lang w:val="en-US" w:eastAsia="ko-KR"/>
        </w:rPr>
        <w:t xml:space="preserve"> </w:t>
      </w:r>
      <w:r w:rsidR="00F33AB2" w:rsidRPr="00534F5B">
        <w:rPr>
          <w:rFonts w:eastAsia="Batang"/>
          <w:sz w:val="24"/>
          <w:szCs w:val="24"/>
          <w:lang w:val="en-US" w:eastAsia="ko-KR"/>
        </w:rPr>
        <w:t>(</w:t>
      </w:r>
      <w:r w:rsidR="00F33AB2" w:rsidRPr="00534F5B">
        <w:rPr>
          <w:rFonts w:eastAsia="Batang"/>
          <w:sz w:val="24"/>
          <w:szCs w:val="24"/>
          <w:lang w:val="en-US" w:eastAsia="ko-KR"/>
        </w:rPr>
        <w:fldChar w:fldCharType="begin"/>
      </w:r>
      <w:r w:rsidR="00F33AB2" w:rsidRPr="00534F5B">
        <w:rPr>
          <w:rFonts w:eastAsia="Batang"/>
          <w:sz w:val="24"/>
          <w:szCs w:val="24"/>
          <w:lang w:val="en-US" w:eastAsia="ko-KR"/>
        </w:rPr>
        <w:instrText xml:space="preserve"> REF _Ref534799643 \h </w:instrText>
      </w:r>
      <w:r w:rsidR="00F33AB2">
        <w:rPr>
          <w:rFonts w:eastAsia="Batang"/>
          <w:sz w:val="24"/>
          <w:szCs w:val="24"/>
          <w:lang w:val="en-US" w:eastAsia="ko-KR"/>
        </w:rPr>
        <w:instrText xml:space="preserve"> \* MERGEFORMAT </w:instrText>
      </w:r>
      <w:r w:rsidR="00F33AB2" w:rsidRPr="00534F5B">
        <w:rPr>
          <w:rFonts w:eastAsia="Batang"/>
          <w:sz w:val="24"/>
          <w:szCs w:val="24"/>
          <w:lang w:val="en-US" w:eastAsia="ko-KR"/>
        </w:rPr>
      </w:r>
      <w:r w:rsidR="00F33AB2" w:rsidRPr="00534F5B">
        <w:rPr>
          <w:rFonts w:eastAsia="Batang"/>
          <w:sz w:val="24"/>
          <w:szCs w:val="24"/>
          <w:lang w:val="en-US" w:eastAsia="ko-KR"/>
        </w:rPr>
        <w:fldChar w:fldCharType="separate"/>
      </w:r>
      <w:r w:rsidR="00C00954" w:rsidRPr="0081071B">
        <w:rPr>
          <w:i/>
          <w:iCs/>
          <w:sz w:val="24"/>
          <w:szCs w:val="24"/>
        </w:rPr>
        <w:t xml:space="preserve">Figure </w:t>
      </w:r>
      <w:r w:rsidR="00C00954" w:rsidRPr="0081071B">
        <w:rPr>
          <w:noProof/>
          <w:sz w:val="24"/>
          <w:szCs w:val="24"/>
        </w:rPr>
        <w:t>1</w:t>
      </w:r>
      <w:r w:rsidR="00F33AB2" w:rsidRPr="00534F5B">
        <w:rPr>
          <w:rFonts w:eastAsia="Batang"/>
          <w:sz w:val="24"/>
          <w:szCs w:val="24"/>
          <w:lang w:val="en-US" w:eastAsia="ko-KR"/>
        </w:rPr>
        <w:fldChar w:fldCharType="end"/>
      </w:r>
      <w:r w:rsidR="00F33AB2" w:rsidRPr="00534F5B">
        <w:rPr>
          <w:rFonts w:eastAsia="Batang"/>
          <w:sz w:val="24"/>
          <w:szCs w:val="24"/>
          <w:lang w:val="en-US" w:eastAsia="ko-KR"/>
        </w:rPr>
        <w:t>(</w:t>
      </w:r>
      <w:r w:rsidR="00F33AB2">
        <w:rPr>
          <w:rFonts w:eastAsia="Batang"/>
          <w:sz w:val="24"/>
          <w:szCs w:val="24"/>
          <w:lang w:val="en-US" w:eastAsia="ko-KR"/>
        </w:rPr>
        <w:t>a</w:t>
      </w:r>
      <w:r w:rsidR="00F33AB2" w:rsidRPr="00534F5B">
        <w:rPr>
          <w:rFonts w:eastAsia="Batang"/>
          <w:sz w:val="24"/>
          <w:szCs w:val="24"/>
          <w:lang w:val="en-US" w:eastAsia="ko-KR"/>
        </w:rPr>
        <w:t>))</w:t>
      </w:r>
      <w:r>
        <w:rPr>
          <w:rFonts w:eastAsia="Batang"/>
          <w:sz w:val="24"/>
          <w:szCs w:val="22"/>
          <w:lang w:val="en-US" w:eastAsia="ko-KR"/>
        </w:rPr>
        <w:t>.</w:t>
      </w:r>
      <w:r w:rsidR="00BB5C0C">
        <w:rPr>
          <w:rFonts w:eastAsia="Batang"/>
          <w:sz w:val="24"/>
          <w:szCs w:val="22"/>
          <w:lang w:val="en-US" w:eastAsia="ko-KR"/>
        </w:rPr>
        <w:t xml:space="preserve"> </w:t>
      </w:r>
    </w:p>
    <w:p w14:paraId="63EF682A" w14:textId="6561EF06" w:rsidR="00BB5C0C" w:rsidRDefault="00C01BD3" w:rsidP="00BB5C0C">
      <w:pPr>
        <w:ind w:left="1260" w:hanging="1260"/>
        <w:jc w:val="center"/>
        <w:rPr>
          <w:rFonts w:eastAsia="Batang"/>
          <w:sz w:val="24"/>
          <w:szCs w:val="22"/>
          <w:lang w:val="en-US" w:eastAsia="ko-KR"/>
        </w:rPr>
      </w:pPr>
      <w:r>
        <w:object w:dxaOrig="7417" w:dyaOrig="3924" w14:anchorId="49307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200.5pt" o:ole="">
            <v:imagedata r:id="rId11" o:title=""/>
          </v:shape>
          <o:OLEObject Type="Embed" ProgID="Visio.Drawing.15" ShapeID="_x0000_i1025" DrawAspect="Content" ObjectID="_1608751168" r:id="rId12"/>
        </w:object>
      </w:r>
    </w:p>
    <w:p w14:paraId="6A739D40" w14:textId="20CFF66B" w:rsidR="00233C1E" w:rsidRDefault="00233C1E" w:rsidP="004E5D0A">
      <w:pPr>
        <w:pStyle w:val="Caption"/>
        <w:spacing w:before="0" w:after="120"/>
        <w:jc w:val="center"/>
        <w:rPr>
          <w:b/>
          <w:i w:val="0"/>
          <w:color w:val="000000" w:themeColor="text1"/>
          <w:sz w:val="22"/>
        </w:rPr>
      </w:pPr>
      <w:bookmarkStart w:id="1" w:name="_Ref534799643"/>
      <w:r w:rsidRPr="004E5D0A">
        <w:rPr>
          <w:b/>
          <w:i w:val="0"/>
          <w:color w:val="000000" w:themeColor="text1"/>
          <w:sz w:val="22"/>
        </w:rPr>
        <w:t xml:space="preserve">Figure </w:t>
      </w:r>
      <w:r w:rsidRPr="004E5D0A">
        <w:rPr>
          <w:b/>
          <w:i w:val="0"/>
          <w:color w:val="000000" w:themeColor="text1"/>
          <w:sz w:val="22"/>
        </w:rPr>
        <w:fldChar w:fldCharType="begin"/>
      </w:r>
      <w:r w:rsidRPr="004E5D0A">
        <w:rPr>
          <w:b/>
          <w:i w:val="0"/>
          <w:color w:val="000000" w:themeColor="text1"/>
          <w:sz w:val="22"/>
        </w:rPr>
        <w:instrText xml:space="preserve"> SEQ Figure \* ARABIC </w:instrText>
      </w:r>
      <w:r w:rsidRPr="004E5D0A">
        <w:rPr>
          <w:b/>
          <w:i w:val="0"/>
          <w:color w:val="000000" w:themeColor="text1"/>
          <w:sz w:val="22"/>
        </w:rPr>
        <w:fldChar w:fldCharType="separate"/>
      </w:r>
      <w:r w:rsidR="00C00954" w:rsidRPr="004E5D0A">
        <w:rPr>
          <w:b/>
          <w:i w:val="0"/>
          <w:noProof/>
          <w:color w:val="000000" w:themeColor="text1"/>
          <w:sz w:val="22"/>
        </w:rPr>
        <w:t>1</w:t>
      </w:r>
      <w:r w:rsidRPr="004E5D0A">
        <w:rPr>
          <w:b/>
          <w:i w:val="0"/>
          <w:color w:val="000000" w:themeColor="text1"/>
          <w:sz w:val="22"/>
        </w:rPr>
        <w:fldChar w:fldCharType="end"/>
      </w:r>
      <w:bookmarkEnd w:id="1"/>
      <w:r w:rsidRPr="004E5D0A">
        <w:rPr>
          <w:b/>
          <w:i w:val="0"/>
          <w:color w:val="000000" w:themeColor="text1"/>
          <w:sz w:val="22"/>
        </w:rPr>
        <w:t xml:space="preserve">: (a) The BFR procedure following beam failure on an SCell with DL/UL. </w:t>
      </w:r>
      <w:r w:rsidRPr="004E5D0A">
        <w:rPr>
          <w:b/>
          <w:i w:val="0"/>
          <w:color w:val="000000" w:themeColor="text1"/>
          <w:sz w:val="22"/>
        </w:rPr>
        <w:br/>
        <w:t>(b) The BFR procedure following beam failure on a DL-only SCell.</w:t>
      </w:r>
    </w:p>
    <w:p w14:paraId="652D17A6" w14:textId="77777777" w:rsidR="00C01BD3" w:rsidRPr="00C01BD3" w:rsidRDefault="00C01BD3" w:rsidP="00C01BD3">
      <w:pPr>
        <w:rPr>
          <w:rFonts w:eastAsia="Batang"/>
        </w:rPr>
      </w:pPr>
    </w:p>
    <w:p w14:paraId="07FC4F4D" w14:textId="3E9BF8C5" w:rsidR="00051F4B" w:rsidRDefault="00051F4B" w:rsidP="004E5D0A">
      <w:pPr>
        <w:spacing w:before="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4</w:t>
      </w:r>
      <w:r w:rsidRPr="009C6E6E">
        <w:rPr>
          <w:rFonts w:eastAsia="Batang"/>
          <w:b/>
          <w:i/>
          <w:sz w:val="24"/>
          <w:szCs w:val="22"/>
          <w:lang w:val="en-US" w:eastAsia="ko-KR"/>
        </w:rPr>
        <w:t xml:space="preserve">: </w:t>
      </w:r>
      <w:r>
        <w:rPr>
          <w:rFonts w:eastAsia="Batang"/>
          <w:b/>
          <w:i/>
          <w:sz w:val="24"/>
          <w:szCs w:val="22"/>
          <w:lang w:val="en-US" w:eastAsia="ko-KR"/>
        </w:rPr>
        <w:t>BFRQ transmission on either the SCell experiencing beam failure or another cell is supported.</w:t>
      </w:r>
    </w:p>
    <w:p w14:paraId="159D4C6B" w14:textId="73DE249B" w:rsidR="002A4DB3" w:rsidRPr="0081071B" w:rsidRDefault="00C94273" w:rsidP="004E5D0A">
      <w:pPr>
        <w:spacing w:before="0"/>
        <w:rPr>
          <w:rFonts w:eastAsia="Batang"/>
          <w:sz w:val="24"/>
          <w:szCs w:val="22"/>
          <w:lang w:val="en-US" w:eastAsia="ko-KR"/>
        </w:rPr>
      </w:pPr>
      <w:r>
        <w:rPr>
          <w:rFonts w:eastAsia="Batang"/>
          <w:sz w:val="24"/>
          <w:szCs w:val="22"/>
          <w:lang w:val="en-US" w:eastAsia="ko-KR"/>
        </w:rPr>
        <w:t xml:space="preserve">A common configuration, e.g. for eMBB, may be a UE with </w:t>
      </w:r>
      <w:r w:rsidRPr="00BE27C3">
        <w:rPr>
          <w:rFonts w:eastAsia="Batang"/>
          <w:i/>
          <w:sz w:val="24"/>
          <w:szCs w:val="22"/>
          <w:lang w:val="en-US" w:eastAsia="ko-KR"/>
        </w:rPr>
        <w:t>multiple</w:t>
      </w:r>
      <w:r>
        <w:rPr>
          <w:rFonts w:eastAsia="Batang"/>
          <w:sz w:val="24"/>
          <w:szCs w:val="22"/>
          <w:lang w:val="en-US" w:eastAsia="ko-KR"/>
        </w:rPr>
        <w:t xml:space="preserve"> DL-only SCells in FR2. </w:t>
      </w:r>
      <w:r w:rsidR="00ED65C1">
        <w:rPr>
          <w:rFonts w:eastAsia="Batang"/>
          <w:sz w:val="24"/>
          <w:szCs w:val="22"/>
          <w:lang w:val="en-US" w:eastAsia="ko-KR"/>
        </w:rPr>
        <w:t xml:space="preserve">Since the BFRQs cannot be transmitted on the DL-only SCells, </w:t>
      </w:r>
      <w:r w:rsidR="00EC5E9C">
        <w:rPr>
          <w:rFonts w:eastAsia="Batang"/>
          <w:sz w:val="24"/>
          <w:szCs w:val="22"/>
          <w:lang w:val="en-US" w:eastAsia="ko-KR"/>
        </w:rPr>
        <w:t>a feasible solution</w:t>
      </w:r>
      <w:r w:rsidR="008720A5">
        <w:rPr>
          <w:rFonts w:eastAsia="Batang"/>
          <w:sz w:val="24"/>
          <w:szCs w:val="22"/>
          <w:lang w:val="en-US" w:eastAsia="ko-KR"/>
        </w:rPr>
        <w:t xml:space="preserve"> for </w:t>
      </w:r>
      <w:r>
        <w:rPr>
          <w:rFonts w:eastAsia="Batang"/>
          <w:sz w:val="24"/>
          <w:szCs w:val="22"/>
          <w:lang w:val="en-US" w:eastAsia="ko-KR"/>
        </w:rPr>
        <w:t xml:space="preserve">that case </w:t>
      </w:r>
      <w:r w:rsidR="008720A5">
        <w:rPr>
          <w:rFonts w:eastAsia="Batang"/>
          <w:sz w:val="24"/>
          <w:szCs w:val="22"/>
          <w:lang w:val="en-US" w:eastAsia="ko-KR"/>
        </w:rPr>
        <w:t xml:space="preserve">would be to </w:t>
      </w:r>
      <w:r w:rsidR="003201E7">
        <w:rPr>
          <w:rFonts w:eastAsia="Batang"/>
          <w:sz w:val="24"/>
          <w:szCs w:val="22"/>
          <w:lang w:val="en-US" w:eastAsia="ko-KR"/>
        </w:rPr>
        <w:t xml:space="preserve">let the UE </w:t>
      </w:r>
      <w:r w:rsidR="0032366B">
        <w:rPr>
          <w:rFonts w:eastAsia="Batang"/>
          <w:sz w:val="24"/>
          <w:szCs w:val="22"/>
          <w:lang w:val="en-US" w:eastAsia="ko-KR"/>
        </w:rPr>
        <w:t>transmit</w:t>
      </w:r>
      <w:r w:rsidR="003201E7">
        <w:rPr>
          <w:rFonts w:eastAsia="Batang"/>
          <w:sz w:val="24"/>
          <w:szCs w:val="22"/>
          <w:lang w:val="en-US" w:eastAsia="ko-KR"/>
        </w:rPr>
        <w:t xml:space="preserve"> the</w:t>
      </w:r>
      <w:r w:rsidR="008720A5">
        <w:rPr>
          <w:rFonts w:eastAsia="Batang"/>
          <w:sz w:val="24"/>
          <w:szCs w:val="22"/>
          <w:lang w:val="en-US" w:eastAsia="ko-KR"/>
        </w:rPr>
        <w:t xml:space="preserve"> </w:t>
      </w:r>
      <w:r w:rsidR="003E6639">
        <w:rPr>
          <w:rFonts w:eastAsia="Batang"/>
          <w:sz w:val="24"/>
          <w:szCs w:val="22"/>
          <w:lang w:val="en-US" w:eastAsia="ko-KR"/>
        </w:rPr>
        <w:t>BFRQ</w:t>
      </w:r>
      <w:r w:rsidR="003201E7">
        <w:rPr>
          <w:rFonts w:eastAsia="Batang"/>
          <w:sz w:val="24"/>
          <w:szCs w:val="22"/>
          <w:lang w:val="en-US" w:eastAsia="ko-KR"/>
        </w:rPr>
        <w:t>s</w:t>
      </w:r>
      <w:r w:rsidR="003E6639">
        <w:rPr>
          <w:rFonts w:eastAsia="Batang"/>
          <w:sz w:val="24"/>
          <w:szCs w:val="22"/>
          <w:lang w:val="en-US" w:eastAsia="ko-KR"/>
        </w:rPr>
        <w:t xml:space="preserve"> for the DL-only SCells </w:t>
      </w:r>
      <w:r w:rsidR="003201E7">
        <w:rPr>
          <w:rFonts w:eastAsia="Batang"/>
          <w:sz w:val="24"/>
          <w:szCs w:val="22"/>
          <w:lang w:val="en-US" w:eastAsia="ko-KR"/>
        </w:rPr>
        <w:t>o</w:t>
      </w:r>
      <w:r w:rsidR="008720A5">
        <w:rPr>
          <w:rFonts w:eastAsia="Batang"/>
          <w:sz w:val="24"/>
          <w:szCs w:val="22"/>
          <w:lang w:val="en-US" w:eastAsia="ko-KR"/>
        </w:rPr>
        <w:t xml:space="preserve">n </w:t>
      </w:r>
      <w:r w:rsidR="00BF00F3" w:rsidRPr="00BE27C3">
        <w:rPr>
          <w:rFonts w:eastAsia="Batang"/>
          <w:i/>
          <w:sz w:val="24"/>
          <w:szCs w:val="22"/>
          <w:lang w:val="en-US" w:eastAsia="ko-KR"/>
        </w:rPr>
        <w:t>one</w:t>
      </w:r>
      <w:r w:rsidR="00BF00F3">
        <w:rPr>
          <w:rFonts w:eastAsia="Batang"/>
          <w:sz w:val="24"/>
          <w:szCs w:val="22"/>
          <w:lang w:val="en-US" w:eastAsia="ko-KR"/>
        </w:rPr>
        <w:t xml:space="preserve"> other</w:t>
      </w:r>
      <w:r w:rsidR="003E6639">
        <w:rPr>
          <w:rFonts w:eastAsia="Batang"/>
          <w:sz w:val="24"/>
          <w:szCs w:val="22"/>
          <w:lang w:val="en-US" w:eastAsia="ko-KR"/>
        </w:rPr>
        <w:t xml:space="preserve"> cell, e.g. the SpCell</w:t>
      </w:r>
      <w:r w:rsidR="002609A6">
        <w:rPr>
          <w:rFonts w:eastAsia="Batang"/>
          <w:sz w:val="24"/>
          <w:szCs w:val="22"/>
          <w:lang w:val="en-US" w:eastAsia="ko-KR"/>
        </w:rPr>
        <w:t xml:space="preserve"> or another SCell with UL</w:t>
      </w:r>
      <w:r w:rsidR="003E6639">
        <w:rPr>
          <w:rFonts w:eastAsia="Batang"/>
          <w:sz w:val="24"/>
          <w:szCs w:val="22"/>
          <w:lang w:val="en-US" w:eastAsia="ko-KR"/>
        </w:rPr>
        <w:t xml:space="preserve">. </w:t>
      </w:r>
      <w:r w:rsidR="00EC5E9C">
        <w:rPr>
          <w:rFonts w:eastAsia="Batang"/>
          <w:sz w:val="24"/>
          <w:szCs w:val="22"/>
          <w:lang w:val="en-US" w:eastAsia="ko-KR"/>
        </w:rPr>
        <w:t xml:space="preserve">In fact, it could be beneficial to let </w:t>
      </w:r>
      <w:r w:rsidR="00EC5E9C" w:rsidRPr="0081071B">
        <w:rPr>
          <w:rFonts w:eastAsia="Batang"/>
          <w:sz w:val="24"/>
          <w:szCs w:val="22"/>
          <w:lang w:val="en-US" w:eastAsia="ko-KR"/>
        </w:rPr>
        <w:t xml:space="preserve">the </w:t>
      </w:r>
      <w:r w:rsidR="00186EBA" w:rsidRPr="0081071B">
        <w:rPr>
          <w:rFonts w:eastAsia="Batang"/>
          <w:sz w:val="24"/>
          <w:szCs w:val="22"/>
          <w:lang w:val="en-US" w:eastAsia="ko-KR"/>
        </w:rPr>
        <w:t xml:space="preserve">UE transmit </w:t>
      </w:r>
      <w:r w:rsidR="00EC5E9C" w:rsidRPr="0081071B">
        <w:rPr>
          <w:rFonts w:eastAsia="Batang"/>
          <w:sz w:val="24"/>
          <w:szCs w:val="22"/>
          <w:lang w:val="en-US" w:eastAsia="ko-KR"/>
        </w:rPr>
        <w:t>BFRQ</w:t>
      </w:r>
      <w:r w:rsidR="00EC5E9C">
        <w:rPr>
          <w:rFonts w:eastAsia="Batang"/>
          <w:sz w:val="24"/>
          <w:szCs w:val="22"/>
          <w:lang w:val="en-US" w:eastAsia="ko-KR"/>
        </w:rPr>
        <w:t xml:space="preserve"> </w:t>
      </w:r>
      <w:r w:rsidR="0032366B">
        <w:rPr>
          <w:rFonts w:eastAsia="Batang"/>
          <w:sz w:val="24"/>
          <w:szCs w:val="22"/>
          <w:lang w:val="en-US" w:eastAsia="ko-KR"/>
        </w:rPr>
        <w:t xml:space="preserve">also </w:t>
      </w:r>
      <w:r w:rsidR="00EC5E9C">
        <w:rPr>
          <w:rFonts w:eastAsia="Batang"/>
          <w:sz w:val="24"/>
          <w:szCs w:val="22"/>
          <w:lang w:val="en-US" w:eastAsia="ko-KR"/>
        </w:rPr>
        <w:t xml:space="preserve">for </w:t>
      </w:r>
      <w:r w:rsidR="00D111C4">
        <w:rPr>
          <w:rFonts w:eastAsia="Batang"/>
          <w:sz w:val="24"/>
          <w:szCs w:val="22"/>
          <w:lang w:val="en-US" w:eastAsia="ko-KR"/>
        </w:rPr>
        <w:t>some</w:t>
      </w:r>
      <w:r w:rsidR="00EC5E9C">
        <w:rPr>
          <w:rFonts w:eastAsia="Batang"/>
          <w:sz w:val="24"/>
          <w:szCs w:val="22"/>
          <w:lang w:val="en-US" w:eastAsia="ko-KR"/>
        </w:rPr>
        <w:t xml:space="preserve"> SCell</w:t>
      </w:r>
      <w:r w:rsidR="0032366B">
        <w:rPr>
          <w:rFonts w:eastAsia="Batang"/>
          <w:sz w:val="24"/>
          <w:szCs w:val="22"/>
          <w:lang w:val="en-US" w:eastAsia="ko-KR"/>
        </w:rPr>
        <w:t>s</w:t>
      </w:r>
      <w:r w:rsidR="00D111C4">
        <w:rPr>
          <w:rFonts w:eastAsia="Batang"/>
          <w:sz w:val="24"/>
          <w:szCs w:val="22"/>
          <w:lang w:val="en-US" w:eastAsia="ko-KR"/>
        </w:rPr>
        <w:t xml:space="preserve"> with UL, e.g. DL-heavy SCells,</w:t>
      </w:r>
      <w:r w:rsidR="00EC5E9C">
        <w:rPr>
          <w:rFonts w:eastAsia="Batang"/>
          <w:sz w:val="24"/>
          <w:szCs w:val="22"/>
          <w:lang w:val="en-US" w:eastAsia="ko-KR"/>
        </w:rPr>
        <w:t xml:space="preserve"> be </w:t>
      </w:r>
      <w:r w:rsidR="0032366B">
        <w:rPr>
          <w:rFonts w:eastAsia="Batang"/>
          <w:sz w:val="24"/>
          <w:szCs w:val="22"/>
          <w:lang w:val="en-US" w:eastAsia="ko-KR"/>
        </w:rPr>
        <w:t>transmitted on another cell, e.g. if the SCell relies on analog Rx beamforming for receiving BFRQ.</w:t>
      </w:r>
      <w:r w:rsidR="003E6639">
        <w:rPr>
          <w:rFonts w:eastAsia="Batang"/>
          <w:sz w:val="24"/>
          <w:szCs w:val="22"/>
          <w:lang w:val="en-US" w:eastAsia="ko-KR"/>
        </w:rPr>
        <w:t xml:space="preserve"> </w:t>
      </w:r>
    </w:p>
    <w:p w14:paraId="0DA5C62A" w14:textId="0E7C3370" w:rsidR="008720A5" w:rsidRPr="00D93BDE" w:rsidRDefault="00E654BD" w:rsidP="004E5D0A">
      <w:pPr>
        <w:spacing w:before="0"/>
        <w:rPr>
          <w:sz w:val="24"/>
          <w:szCs w:val="22"/>
        </w:rPr>
      </w:pPr>
      <w:r>
        <w:rPr>
          <w:rFonts w:eastAsia="Batang"/>
          <w:sz w:val="24"/>
          <w:szCs w:val="22"/>
          <w:lang w:val="en-US" w:eastAsia="ko-KR"/>
        </w:rPr>
        <w:t>Further a</w:t>
      </w:r>
      <w:r w:rsidR="00D93BDE">
        <w:rPr>
          <w:rFonts w:eastAsia="Batang"/>
          <w:sz w:val="24"/>
          <w:szCs w:val="22"/>
          <w:lang w:val="en-US" w:eastAsia="ko-KR"/>
        </w:rPr>
        <w:t xml:space="preserve">spects </w:t>
      </w:r>
      <w:r w:rsidR="00821C45">
        <w:rPr>
          <w:rFonts w:eastAsia="Batang"/>
          <w:sz w:val="24"/>
          <w:szCs w:val="22"/>
          <w:lang w:val="en-US" w:eastAsia="ko-KR"/>
        </w:rPr>
        <w:t>for consideration</w:t>
      </w:r>
      <w:r w:rsidR="00D93BDE">
        <w:rPr>
          <w:rFonts w:eastAsia="Batang"/>
          <w:sz w:val="24"/>
          <w:szCs w:val="22"/>
          <w:lang w:val="en-US" w:eastAsia="ko-KR"/>
        </w:rPr>
        <w:t xml:space="preserve"> include how the BFRQ indicates which SCell that has failed and how to efficiently support BFRQ</w:t>
      </w:r>
      <w:r w:rsidR="00821C45">
        <w:rPr>
          <w:rFonts w:eastAsia="Batang"/>
          <w:sz w:val="24"/>
          <w:szCs w:val="22"/>
          <w:lang w:val="en-US" w:eastAsia="ko-KR"/>
        </w:rPr>
        <w:t xml:space="preserve"> resources</w:t>
      </w:r>
      <w:r w:rsidR="00D93BDE">
        <w:rPr>
          <w:rFonts w:eastAsia="Batang"/>
          <w:sz w:val="24"/>
          <w:szCs w:val="22"/>
          <w:lang w:val="en-US" w:eastAsia="ko-KR"/>
        </w:rPr>
        <w:t xml:space="preserve"> from multiple SCells being multiplexed in </w:t>
      </w:r>
      <w:r w:rsidR="00821C45">
        <w:rPr>
          <w:rFonts w:eastAsia="Batang"/>
          <w:sz w:val="24"/>
          <w:szCs w:val="22"/>
          <w:lang w:val="en-US" w:eastAsia="ko-KR"/>
        </w:rPr>
        <w:t>a</w:t>
      </w:r>
      <w:r w:rsidR="00D93BDE">
        <w:rPr>
          <w:rFonts w:eastAsia="Batang"/>
          <w:sz w:val="24"/>
          <w:szCs w:val="22"/>
          <w:lang w:val="en-US" w:eastAsia="ko-KR"/>
        </w:rPr>
        <w:t xml:space="preserve"> cell.</w:t>
      </w:r>
    </w:p>
    <w:p w14:paraId="1FB27880" w14:textId="024CA53B" w:rsidR="001A33D3" w:rsidRDefault="002609A6" w:rsidP="004E5D0A">
      <w:pPr>
        <w:spacing w:before="0"/>
        <w:rPr>
          <w:rFonts w:eastAsia="Batang"/>
          <w:sz w:val="24"/>
          <w:szCs w:val="22"/>
          <w:lang w:val="en-US" w:eastAsia="ko-KR"/>
        </w:rPr>
      </w:pPr>
      <w:r>
        <w:rPr>
          <w:rFonts w:eastAsia="Batang"/>
          <w:sz w:val="24"/>
          <w:szCs w:val="22"/>
          <w:lang w:val="en-US" w:eastAsia="ko-KR"/>
        </w:rPr>
        <w:t xml:space="preserve">It would be beneficial if the </w:t>
      </w:r>
      <w:r w:rsidR="001A33D3">
        <w:rPr>
          <w:rFonts w:eastAsia="Batang"/>
          <w:sz w:val="24"/>
          <w:szCs w:val="22"/>
          <w:lang w:val="en-US" w:eastAsia="ko-KR"/>
        </w:rPr>
        <w:t xml:space="preserve">mechanism for transmitting </w:t>
      </w:r>
      <w:r>
        <w:rPr>
          <w:rFonts w:eastAsia="Batang"/>
          <w:sz w:val="24"/>
          <w:szCs w:val="22"/>
          <w:lang w:val="en-US" w:eastAsia="ko-KR"/>
        </w:rPr>
        <w:t>BFRQ on another cell</w:t>
      </w:r>
      <w:r w:rsidR="001A33D3">
        <w:rPr>
          <w:rFonts w:eastAsia="Batang"/>
          <w:sz w:val="24"/>
          <w:szCs w:val="22"/>
          <w:lang w:val="en-US" w:eastAsia="ko-KR"/>
        </w:rPr>
        <w:t xml:space="preserve"> has the following properties</w:t>
      </w:r>
      <w:r w:rsidR="00032BAB">
        <w:rPr>
          <w:rFonts w:eastAsia="Batang"/>
          <w:sz w:val="24"/>
          <w:szCs w:val="22"/>
          <w:lang w:val="en-US" w:eastAsia="ko-KR"/>
        </w:rPr>
        <w:t>, since a UE may be configured to transmit BFRQ for many SCells on the same cell</w:t>
      </w:r>
      <w:r w:rsidR="001A33D3">
        <w:rPr>
          <w:rFonts w:eastAsia="Batang"/>
          <w:sz w:val="24"/>
          <w:szCs w:val="22"/>
          <w:lang w:val="en-US" w:eastAsia="ko-KR"/>
        </w:rPr>
        <w:t>:</w:t>
      </w:r>
    </w:p>
    <w:p w14:paraId="62D24B3D" w14:textId="3927D2C7" w:rsidR="005079EB" w:rsidRDefault="001A33D3" w:rsidP="004E5D0A">
      <w:pPr>
        <w:pStyle w:val="ListParagraph"/>
        <w:numPr>
          <w:ilvl w:val="0"/>
          <w:numId w:val="32"/>
        </w:numPr>
        <w:spacing w:before="0" w:line="240" w:lineRule="auto"/>
        <w:rPr>
          <w:sz w:val="24"/>
          <w:szCs w:val="22"/>
        </w:rPr>
      </w:pPr>
      <w:r>
        <w:rPr>
          <w:sz w:val="24"/>
          <w:szCs w:val="22"/>
        </w:rPr>
        <w:t>additional information can be efficiently included in the BFRQ, such as which SCell that has experienced beam failure and the indication of new beam</w:t>
      </w:r>
      <w:r w:rsidR="003B45F3">
        <w:rPr>
          <w:sz w:val="24"/>
          <w:szCs w:val="22"/>
        </w:rPr>
        <w:t>,</w:t>
      </w:r>
    </w:p>
    <w:p w14:paraId="4A1FEA5B" w14:textId="7385D65B" w:rsidR="001A33D3" w:rsidRDefault="00032BAB" w:rsidP="004E5D0A">
      <w:pPr>
        <w:pStyle w:val="ListParagraph"/>
        <w:numPr>
          <w:ilvl w:val="0"/>
          <w:numId w:val="32"/>
        </w:numPr>
        <w:spacing w:before="0" w:line="240" w:lineRule="auto"/>
        <w:rPr>
          <w:sz w:val="24"/>
          <w:szCs w:val="22"/>
        </w:rPr>
      </w:pPr>
      <w:r>
        <w:rPr>
          <w:sz w:val="24"/>
          <w:szCs w:val="22"/>
        </w:rPr>
        <w:t xml:space="preserve">no </w:t>
      </w:r>
      <w:r w:rsidR="003B45F3">
        <w:rPr>
          <w:sz w:val="24"/>
          <w:szCs w:val="22"/>
        </w:rPr>
        <w:t>additional semi-static UL resources need to be reserved for each candidate</w:t>
      </w:r>
      <w:r w:rsidR="00FE6F70">
        <w:rPr>
          <w:sz w:val="24"/>
          <w:szCs w:val="22"/>
        </w:rPr>
        <w:t xml:space="preserve"> beam</w:t>
      </w:r>
      <w:r w:rsidR="003B45F3">
        <w:rPr>
          <w:sz w:val="24"/>
          <w:szCs w:val="22"/>
        </w:rPr>
        <w:t xml:space="preserve"> RS </w:t>
      </w:r>
      <w:r>
        <w:rPr>
          <w:sz w:val="24"/>
          <w:szCs w:val="22"/>
        </w:rPr>
        <w:t>and</w:t>
      </w:r>
      <w:r w:rsidR="003B45F3">
        <w:rPr>
          <w:sz w:val="24"/>
          <w:szCs w:val="22"/>
        </w:rPr>
        <w:t xml:space="preserve"> each SCell configured for BFRQ transmission on the cell.</w:t>
      </w:r>
    </w:p>
    <w:p w14:paraId="07549EB2" w14:textId="08338280" w:rsidR="00032BAB" w:rsidRPr="001A33D3" w:rsidRDefault="00032BAB" w:rsidP="004E5D0A">
      <w:pPr>
        <w:pStyle w:val="ListParagraph"/>
        <w:numPr>
          <w:ilvl w:val="1"/>
          <w:numId w:val="32"/>
        </w:numPr>
        <w:spacing w:before="0" w:line="240" w:lineRule="auto"/>
        <w:rPr>
          <w:sz w:val="24"/>
          <w:szCs w:val="22"/>
        </w:rPr>
      </w:pPr>
      <w:r>
        <w:rPr>
          <w:sz w:val="24"/>
          <w:szCs w:val="22"/>
        </w:rPr>
        <w:t>Semi-static BFRQ resources is a waste of resources since BFRQ is used so rarely.</w:t>
      </w:r>
    </w:p>
    <w:p w14:paraId="2C567125" w14:textId="191935B0" w:rsidR="00B05456" w:rsidRPr="00EE33C8" w:rsidRDefault="00E654BD" w:rsidP="004E5D0A">
      <w:pPr>
        <w:spacing w:before="0"/>
        <w:rPr>
          <w:b/>
          <w:i/>
        </w:rPr>
      </w:pPr>
      <w:r>
        <w:rPr>
          <w:rFonts w:eastAsia="Batang"/>
          <w:sz w:val="24"/>
          <w:szCs w:val="22"/>
          <w:lang w:val="en-US" w:eastAsia="ko-KR"/>
        </w:rPr>
        <w:t>Several options for</w:t>
      </w:r>
      <w:r w:rsidR="003B45F3">
        <w:rPr>
          <w:rFonts w:eastAsia="Batang"/>
          <w:sz w:val="24"/>
          <w:szCs w:val="22"/>
          <w:lang w:val="en-US" w:eastAsia="ko-KR"/>
        </w:rPr>
        <w:t xml:space="preserve"> BFRQ</w:t>
      </w:r>
      <w:r>
        <w:rPr>
          <w:rFonts w:eastAsia="Batang"/>
          <w:sz w:val="24"/>
          <w:szCs w:val="22"/>
          <w:lang w:val="en-US" w:eastAsia="ko-KR"/>
        </w:rPr>
        <w:t xml:space="preserve"> have been discussed in RAN1 and RAN2, including PUCCH-based, PRACH-based and MAC CE-based BFRQ.</w:t>
      </w:r>
    </w:p>
    <w:p w14:paraId="38B52415" w14:textId="21E3CE7B" w:rsidR="00032BAB" w:rsidRDefault="00B05456" w:rsidP="004E5D0A">
      <w:pPr>
        <w:spacing w:before="0"/>
        <w:rPr>
          <w:lang w:val="en-US"/>
        </w:rPr>
      </w:pPr>
      <w:r>
        <w:rPr>
          <w:rFonts w:eastAsia="Batang"/>
          <w:sz w:val="24"/>
          <w:szCs w:val="22"/>
          <w:lang w:val="en-US" w:eastAsia="ko-KR"/>
        </w:rPr>
        <w:t>Since MAC CE is transmitted in PUSCH, it is more efficient to include additional information such as the identity of the SCell that has failed and the new beam, compared to a PUCCH or PRACH based BFRQ. Furthermore</w:t>
      </w:r>
      <w:r w:rsidR="00032BAB">
        <w:rPr>
          <w:rFonts w:eastAsia="Batang"/>
          <w:sz w:val="24"/>
          <w:szCs w:val="22"/>
          <w:lang w:val="en-US" w:eastAsia="ko-KR"/>
        </w:rPr>
        <w:t>, for PUCCH or PRACH based BFRQ</w:t>
      </w:r>
      <w:r>
        <w:rPr>
          <w:rFonts w:eastAsia="Batang"/>
          <w:sz w:val="24"/>
          <w:szCs w:val="22"/>
          <w:lang w:val="en-US" w:eastAsia="ko-KR"/>
        </w:rPr>
        <w:t xml:space="preserve">, it may be necessary to configure additional semi-static UL resources </w:t>
      </w:r>
      <w:r w:rsidR="00032BAB">
        <w:rPr>
          <w:rFonts w:eastAsia="Batang"/>
          <w:sz w:val="24"/>
          <w:szCs w:val="22"/>
          <w:lang w:val="en-US" w:eastAsia="ko-KR"/>
        </w:rPr>
        <w:t>to indicate which SCell that has failed and the new beam. For the MAC CE based mechanism on the other hand, no additional semi-static UL resources seem to be needed, since the PUSCH is dynamically allocated</w:t>
      </w:r>
      <w:r w:rsidR="007607AE">
        <w:rPr>
          <w:rFonts w:eastAsia="Batang"/>
          <w:sz w:val="24"/>
          <w:szCs w:val="22"/>
          <w:lang w:val="en-US" w:eastAsia="ko-KR"/>
        </w:rPr>
        <w:t xml:space="preserve"> and the </w:t>
      </w:r>
      <w:r w:rsidR="00C507CE">
        <w:rPr>
          <w:rFonts w:eastAsia="Batang"/>
          <w:sz w:val="24"/>
          <w:szCs w:val="22"/>
          <w:lang w:val="en-US" w:eastAsia="ko-KR"/>
        </w:rPr>
        <w:t xml:space="preserve">semi-static </w:t>
      </w:r>
      <w:r w:rsidR="007607AE">
        <w:rPr>
          <w:rFonts w:eastAsia="Batang"/>
          <w:sz w:val="24"/>
          <w:szCs w:val="22"/>
          <w:lang w:val="en-US" w:eastAsia="ko-KR"/>
        </w:rPr>
        <w:t>PUCCH resources used for a scheduling request are anyway allocated.</w:t>
      </w:r>
      <w:r w:rsidR="00C507CE">
        <w:rPr>
          <w:rFonts w:eastAsia="Batang"/>
          <w:sz w:val="24"/>
          <w:szCs w:val="22"/>
          <w:lang w:val="en-US" w:eastAsia="ko-KR"/>
        </w:rPr>
        <w:t xml:space="preserve"> Hence, BFRQ included in MAC CE is preferred for the case that BFRQ is transmitted on another cell than the </w:t>
      </w:r>
      <w:r w:rsidR="00E654BD">
        <w:rPr>
          <w:rFonts w:eastAsia="Batang"/>
          <w:sz w:val="24"/>
          <w:szCs w:val="22"/>
          <w:lang w:val="en-US" w:eastAsia="ko-KR"/>
        </w:rPr>
        <w:t>SC</w:t>
      </w:r>
      <w:r w:rsidR="00C507CE">
        <w:rPr>
          <w:rFonts w:eastAsia="Batang"/>
          <w:sz w:val="24"/>
          <w:szCs w:val="22"/>
          <w:lang w:val="en-US" w:eastAsia="ko-KR"/>
        </w:rPr>
        <w:t>ell</w:t>
      </w:r>
      <w:r w:rsidR="00E654BD">
        <w:rPr>
          <w:rFonts w:eastAsia="Batang"/>
          <w:sz w:val="24"/>
          <w:szCs w:val="22"/>
          <w:lang w:val="en-US" w:eastAsia="ko-KR"/>
        </w:rPr>
        <w:t xml:space="preserve"> with beam failure</w:t>
      </w:r>
      <w:r w:rsidR="00C507CE">
        <w:rPr>
          <w:rFonts w:eastAsia="Batang"/>
          <w:sz w:val="24"/>
          <w:szCs w:val="22"/>
          <w:lang w:val="en-US" w:eastAsia="ko-KR"/>
        </w:rPr>
        <w:t>.</w:t>
      </w:r>
    </w:p>
    <w:p w14:paraId="6E398CE4" w14:textId="2BEF9ADF" w:rsidR="00032BAB" w:rsidRDefault="00032BAB" w:rsidP="004E5D0A">
      <w:pPr>
        <w:spacing w:before="0"/>
        <w:rPr>
          <w:rFonts w:eastAsia="Batang"/>
          <w:sz w:val="24"/>
          <w:szCs w:val="22"/>
          <w:lang w:val="en-US" w:eastAsia="ko-KR"/>
        </w:rPr>
      </w:pPr>
      <w:r>
        <w:rPr>
          <w:rFonts w:eastAsia="Batang"/>
          <w:sz w:val="24"/>
          <w:szCs w:val="22"/>
          <w:lang w:val="en-US" w:eastAsia="ko-KR"/>
        </w:rPr>
        <w:t>For self-contained BFR with BFRQ transmitted on the SCell</w:t>
      </w:r>
      <w:r w:rsidR="00C507CE">
        <w:rPr>
          <w:rFonts w:eastAsia="Batang"/>
          <w:sz w:val="24"/>
          <w:szCs w:val="22"/>
          <w:lang w:val="en-US" w:eastAsia="ko-KR"/>
        </w:rPr>
        <w:t>, on the other hand</w:t>
      </w:r>
      <w:r>
        <w:rPr>
          <w:rFonts w:eastAsia="Batang"/>
          <w:sz w:val="24"/>
          <w:szCs w:val="22"/>
          <w:lang w:val="en-US" w:eastAsia="ko-KR"/>
        </w:rPr>
        <w:t>, the CFRA-based BFRQ can be reused from Rel-15 BFR.</w:t>
      </w:r>
    </w:p>
    <w:p w14:paraId="0094759D" w14:textId="29C2955D" w:rsidR="00C507CE" w:rsidRDefault="00032BAB" w:rsidP="004E5D0A">
      <w:pPr>
        <w:spacing w:before="0"/>
        <w:ind w:left="1260" w:hanging="1260"/>
        <w:rPr>
          <w:rFonts w:eastAsia="Batang"/>
          <w:b/>
          <w:i/>
          <w:sz w:val="24"/>
          <w:szCs w:val="22"/>
          <w:lang w:val="en-US" w:eastAsia="ko-KR"/>
        </w:rPr>
      </w:pPr>
      <w:r w:rsidRPr="009C6E6E">
        <w:rPr>
          <w:rFonts w:eastAsia="Batang"/>
          <w:b/>
          <w:i/>
          <w:sz w:val="24"/>
          <w:szCs w:val="22"/>
          <w:lang w:val="en-US" w:eastAsia="ko-KR"/>
        </w:rPr>
        <w:lastRenderedPageBreak/>
        <w:t xml:space="preserve">Proposal </w:t>
      </w:r>
      <w:r w:rsidR="00FE6F70">
        <w:rPr>
          <w:rFonts w:eastAsia="Batang"/>
          <w:b/>
          <w:i/>
          <w:sz w:val="24"/>
          <w:szCs w:val="22"/>
          <w:lang w:val="en-US" w:eastAsia="ko-KR"/>
        </w:rPr>
        <w:t>5</w:t>
      </w:r>
      <w:r w:rsidRPr="009C6E6E">
        <w:rPr>
          <w:rFonts w:eastAsia="Batang"/>
          <w:b/>
          <w:i/>
          <w:sz w:val="24"/>
          <w:szCs w:val="22"/>
          <w:lang w:val="en-US" w:eastAsia="ko-KR"/>
        </w:rPr>
        <w:t xml:space="preserve">: </w:t>
      </w:r>
      <w:r w:rsidR="00C507CE">
        <w:rPr>
          <w:rFonts w:eastAsia="Batang"/>
          <w:b/>
          <w:i/>
          <w:sz w:val="24"/>
          <w:szCs w:val="22"/>
          <w:lang w:val="en-US" w:eastAsia="ko-KR"/>
        </w:rPr>
        <w:t>The following mechanisms are supported f</w:t>
      </w:r>
      <w:r>
        <w:rPr>
          <w:rFonts w:eastAsia="Batang"/>
          <w:b/>
          <w:i/>
          <w:sz w:val="24"/>
          <w:szCs w:val="22"/>
          <w:lang w:val="en-US" w:eastAsia="ko-KR"/>
        </w:rPr>
        <w:t>or BFRQ transmission</w:t>
      </w:r>
      <w:r w:rsidR="00C507CE">
        <w:rPr>
          <w:rFonts w:eastAsia="Batang"/>
          <w:b/>
          <w:i/>
          <w:sz w:val="24"/>
          <w:szCs w:val="22"/>
          <w:lang w:val="en-US" w:eastAsia="ko-KR"/>
        </w:rPr>
        <w:t>:</w:t>
      </w:r>
    </w:p>
    <w:p w14:paraId="1AADD163" w14:textId="5B4EE8C0" w:rsidR="00032BAB" w:rsidRDefault="00032BAB" w:rsidP="004E5D0A">
      <w:pPr>
        <w:pStyle w:val="ListParagraph"/>
        <w:numPr>
          <w:ilvl w:val="0"/>
          <w:numId w:val="34"/>
        </w:numPr>
        <w:spacing w:before="0" w:line="240" w:lineRule="auto"/>
        <w:rPr>
          <w:b/>
          <w:i/>
          <w:sz w:val="24"/>
          <w:szCs w:val="22"/>
        </w:rPr>
      </w:pPr>
      <w:r w:rsidRPr="00C507CE">
        <w:rPr>
          <w:b/>
          <w:i/>
          <w:sz w:val="24"/>
          <w:szCs w:val="22"/>
        </w:rPr>
        <w:t xml:space="preserve">CFRA-based BFRQ </w:t>
      </w:r>
      <w:r w:rsidR="00C507CE">
        <w:rPr>
          <w:b/>
          <w:i/>
          <w:sz w:val="24"/>
          <w:szCs w:val="22"/>
        </w:rPr>
        <w:t>(</w:t>
      </w:r>
      <w:r w:rsidRPr="00C507CE">
        <w:rPr>
          <w:b/>
          <w:i/>
          <w:sz w:val="24"/>
          <w:szCs w:val="22"/>
        </w:rPr>
        <w:t>reused from Rel-15</w:t>
      </w:r>
      <w:r w:rsidR="00C507CE">
        <w:rPr>
          <w:b/>
          <w:i/>
          <w:sz w:val="24"/>
          <w:szCs w:val="22"/>
        </w:rPr>
        <w:t>) if the BFRQ is transmitted on the failed SCell</w:t>
      </w:r>
      <w:r w:rsidRPr="00C507CE">
        <w:rPr>
          <w:b/>
          <w:i/>
          <w:sz w:val="24"/>
          <w:szCs w:val="22"/>
        </w:rPr>
        <w:t>.</w:t>
      </w:r>
    </w:p>
    <w:p w14:paraId="248197EB" w14:textId="6BFA51FC" w:rsidR="00032BAB" w:rsidRPr="00C507CE" w:rsidRDefault="00C507CE" w:rsidP="004E5D0A">
      <w:pPr>
        <w:pStyle w:val="ListParagraph"/>
        <w:numPr>
          <w:ilvl w:val="0"/>
          <w:numId w:val="34"/>
        </w:numPr>
        <w:spacing w:before="0" w:line="240" w:lineRule="auto"/>
        <w:rPr>
          <w:b/>
          <w:i/>
          <w:sz w:val="24"/>
          <w:szCs w:val="22"/>
        </w:rPr>
      </w:pPr>
      <w:r>
        <w:rPr>
          <w:b/>
          <w:i/>
          <w:sz w:val="24"/>
          <w:szCs w:val="22"/>
        </w:rPr>
        <w:t>MAC CE based BFRQ if the BFRQ is transmitted on another cell.</w:t>
      </w:r>
    </w:p>
    <w:p w14:paraId="4CC87319" w14:textId="211D242A" w:rsidR="00970ADB" w:rsidRDefault="00970ADB" w:rsidP="00C70E00">
      <w:pPr>
        <w:rPr>
          <w:lang w:val="en-US"/>
        </w:rPr>
      </w:pPr>
    </w:p>
    <w:p w14:paraId="056D94E4" w14:textId="044AEB47" w:rsidR="00970ADB" w:rsidRPr="00970ADB" w:rsidRDefault="00970ADB" w:rsidP="00970ADB">
      <w:pPr>
        <w:pStyle w:val="Heading2"/>
      </w:pPr>
      <w:r>
        <w:t>Beam Failure Recovery Response (BFRR)</w:t>
      </w:r>
    </w:p>
    <w:p w14:paraId="69F85D40" w14:textId="15620D19" w:rsidR="007324F6" w:rsidRDefault="00687F23" w:rsidP="004E5D0A">
      <w:pPr>
        <w:spacing w:before="0"/>
        <w:rPr>
          <w:rFonts w:eastAsia="Batang"/>
          <w:sz w:val="24"/>
          <w:szCs w:val="22"/>
          <w:lang w:val="en-US" w:eastAsia="ko-KR"/>
        </w:rPr>
      </w:pPr>
      <w:r>
        <w:rPr>
          <w:rFonts w:eastAsia="Batang"/>
          <w:sz w:val="24"/>
          <w:szCs w:val="22"/>
          <w:lang w:val="en-US" w:eastAsia="ko-KR"/>
        </w:rPr>
        <w:t>In general, the beam failure recovery response is an acknowledgement that the gNB has received the BFRQ</w:t>
      </w:r>
      <w:r w:rsidR="007324F6">
        <w:rPr>
          <w:rFonts w:eastAsia="Batang"/>
          <w:sz w:val="24"/>
          <w:szCs w:val="22"/>
          <w:lang w:val="en-US" w:eastAsia="ko-KR"/>
        </w:rPr>
        <w:t xml:space="preserve">, which is typically a PDCCH with the UE’s C-RNTI on </w:t>
      </w:r>
      <w:r w:rsidR="002B4F54">
        <w:rPr>
          <w:rFonts w:eastAsia="Batang"/>
          <w:sz w:val="24"/>
          <w:szCs w:val="22"/>
          <w:lang w:val="en-US" w:eastAsia="ko-KR"/>
        </w:rPr>
        <w:t>a CORESET/</w:t>
      </w:r>
      <w:r w:rsidR="007324F6">
        <w:rPr>
          <w:rFonts w:eastAsia="Batang"/>
          <w:sz w:val="24"/>
          <w:szCs w:val="22"/>
          <w:lang w:val="en-US" w:eastAsia="ko-KR"/>
        </w:rPr>
        <w:t>search space</w:t>
      </w:r>
      <w:r w:rsidR="002B4F54">
        <w:rPr>
          <w:rFonts w:eastAsia="Batang"/>
          <w:sz w:val="24"/>
          <w:szCs w:val="22"/>
          <w:lang w:val="en-US" w:eastAsia="ko-KR"/>
        </w:rPr>
        <w:t xml:space="preserve"> dedicated to BFR</w:t>
      </w:r>
      <w:r>
        <w:rPr>
          <w:rFonts w:eastAsia="Batang"/>
          <w:sz w:val="24"/>
          <w:szCs w:val="22"/>
          <w:lang w:val="en-US" w:eastAsia="ko-KR"/>
        </w:rPr>
        <w:t xml:space="preserve">. </w:t>
      </w:r>
    </w:p>
    <w:p w14:paraId="14E159A5" w14:textId="16BF10C0" w:rsidR="00C23138" w:rsidRDefault="00C23138" w:rsidP="004E5D0A">
      <w:pPr>
        <w:spacing w:before="0"/>
        <w:rPr>
          <w:rFonts w:eastAsia="Batang"/>
          <w:sz w:val="24"/>
          <w:szCs w:val="22"/>
          <w:lang w:val="en-US" w:eastAsia="ko-KR"/>
        </w:rPr>
      </w:pPr>
      <w:r>
        <w:rPr>
          <w:rFonts w:eastAsia="Batang"/>
          <w:sz w:val="24"/>
          <w:szCs w:val="22"/>
          <w:lang w:val="en-US" w:eastAsia="ko-KR"/>
        </w:rPr>
        <w:t xml:space="preserve">For BFRR following BFRQ transmitted on the </w:t>
      </w:r>
      <w:r w:rsidR="00E654BD">
        <w:rPr>
          <w:rFonts w:eastAsia="Batang"/>
          <w:sz w:val="24"/>
          <w:szCs w:val="22"/>
          <w:lang w:val="en-US" w:eastAsia="ko-KR"/>
        </w:rPr>
        <w:t xml:space="preserve">same </w:t>
      </w:r>
      <w:r>
        <w:rPr>
          <w:rFonts w:eastAsia="Batang"/>
          <w:sz w:val="24"/>
          <w:szCs w:val="22"/>
          <w:lang w:val="en-US" w:eastAsia="ko-KR"/>
        </w:rPr>
        <w:t>SCell</w:t>
      </w:r>
      <w:r w:rsidR="00E654BD">
        <w:rPr>
          <w:rFonts w:eastAsia="Batang"/>
          <w:sz w:val="24"/>
          <w:szCs w:val="22"/>
          <w:lang w:val="en-US" w:eastAsia="ko-KR"/>
        </w:rPr>
        <w:t xml:space="preserve"> that experienced beam failure</w:t>
      </w:r>
      <w:r>
        <w:rPr>
          <w:rFonts w:eastAsia="Batang"/>
          <w:sz w:val="24"/>
          <w:szCs w:val="22"/>
          <w:lang w:val="en-US" w:eastAsia="ko-KR"/>
        </w:rPr>
        <w:t>, e.g. using CFRA as proposed above, the BFRR mechanism from Rel-15 can be reused.</w:t>
      </w:r>
    </w:p>
    <w:p w14:paraId="4A4A3F40" w14:textId="3AF261CE" w:rsidR="00C23138" w:rsidRDefault="00C23138" w:rsidP="004E5D0A">
      <w:pPr>
        <w:spacing w:before="0"/>
        <w:rPr>
          <w:rFonts w:eastAsia="Batang"/>
          <w:sz w:val="24"/>
          <w:szCs w:val="22"/>
          <w:lang w:val="en-US" w:eastAsia="ko-KR"/>
        </w:rPr>
      </w:pPr>
      <w:r>
        <w:rPr>
          <w:rFonts w:eastAsia="Batang"/>
          <w:sz w:val="24"/>
          <w:szCs w:val="22"/>
          <w:lang w:val="en-US" w:eastAsia="ko-KR"/>
        </w:rPr>
        <w:t>For BFRR following BFRQ transmitted on another cell, e.g. using MAC CE, the BFRR could be transmitted either on the failed SCell or on the cell on which the BFRQ was transmitted, e.g. the SpCell</w:t>
      </w:r>
      <w:r w:rsidR="002B4F54">
        <w:rPr>
          <w:rFonts w:eastAsia="Batang"/>
          <w:sz w:val="24"/>
          <w:szCs w:val="22"/>
          <w:lang w:val="en-US" w:eastAsia="ko-KR"/>
        </w:rPr>
        <w:t>. This discussion can be postponed to after the mechanism for BFRQ transmission on another cell has been decided.</w:t>
      </w:r>
    </w:p>
    <w:p w14:paraId="14EB727F" w14:textId="28E8E8AE" w:rsidR="00D0127D" w:rsidRDefault="007324F6" w:rsidP="004E5D0A">
      <w:pPr>
        <w:spacing w:before="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FE6F70">
        <w:rPr>
          <w:rFonts w:eastAsia="Batang"/>
          <w:b/>
          <w:i/>
          <w:sz w:val="24"/>
          <w:szCs w:val="22"/>
          <w:lang w:val="en-US" w:eastAsia="ko-KR"/>
        </w:rPr>
        <w:t>6</w:t>
      </w:r>
      <w:r w:rsidRPr="009C6E6E">
        <w:rPr>
          <w:rFonts w:eastAsia="Batang"/>
          <w:b/>
          <w:i/>
          <w:sz w:val="24"/>
          <w:szCs w:val="22"/>
          <w:lang w:val="en-US" w:eastAsia="ko-KR"/>
        </w:rPr>
        <w:t xml:space="preserve">: </w:t>
      </w:r>
      <w:r w:rsidR="002B4F54">
        <w:rPr>
          <w:rFonts w:eastAsia="Batang"/>
          <w:b/>
          <w:i/>
          <w:sz w:val="24"/>
          <w:szCs w:val="22"/>
          <w:lang w:val="en-US" w:eastAsia="ko-KR"/>
        </w:rPr>
        <w:t>If the BFRQ is transmitted on the SCell</w:t>
      </w:r>
      <w:r w:rsidR="00E654BD">
        <w:rPr>
          <w:rFonts w:eastAsia="Batang"/>
          <w:b/>
          <w:i/>
          <w:sz w:val="24"/>
          <w:szCs w:val="22"/>
          <w:lang w:val="en-US" w:eastAsia="ko-KR"/>
        </w:rPr>
        <w:t xml:space="preserve"> that experienced beam failure</w:t>
      </w:r>
      <w:r w:rsidR="002B4F54">
        <w:rPr>
          <w:rFonts w:eastAsia="Batang"/>
          <w:b/>
          <w:i/>
          <w:sz w:val="24"/>
          <w:szCs w:val="22"/>
          <w:lang w:val="en-US" w:eastAsia="ko-KR"/>
        </w:rPr>
        <w:t xml:space="preserve">, the BFRR is received on the </w:t>
      </w:r>
      <w:r w:rsidR="00E654BD">
        <w:rPr>
          <w:rFonts w:eastAsia="Batang"/>
          <w:b/>
          <w:i/>
          <w:sz w:val="24"/>
          <w:szCs w:val="22"/>
          <w:lang w:val="en-US" w:eastAsia="ko-KR"/>
        </w:rPr>
        <w:t>same</w:t>
      </w:r>
      <w:r w:rsidR="002B4F54">
        <w:rPr>
          <w:rFonts w:eastAsia="Batang"/>
          <w:b/>
          <w:i/>
          <w:sz w:val="24"/>
          <w:szCs w:val="22"/>
          <w:lang w:val="en-US" w:eastAsia="ko-KR"/>
        </w:rPr>
        <w:t xml:space="preserve"> SCell</w:t>
      </w:r>
      <w:r w:rsidR="00D0127D">
        <w:rPr>
          <w:rFonts w:eastAsia="Batang"/>
          <w:b/>
          <w:i/>
          <w:sz w:val="24"/>
          <w:szCs w:val="22"/>
          <w:lang w:val="en-US" w:eastAsia="ko-KR"/>
        </w:rPr>
        <w:t>, reusing Rel-15 BFRR</w:t>
      </w:r>
      <w:r w:rsidR="002B4F54">
        <w:rPr>
          <w:rFonts w:eastAsia="Batang"/>
          <w:b/>
          <w:i/>
          <w:sz w:val="24"/>
          <w:szCs w:val="22"/>
          <w:lang w:val="en-US" w:eastAsia="ko-KR"/>
        </w:rPr>
        <w:t xml:space="preserve">. </w:t>
      </w:r>
    </w:p>
    <w:p w14:paraId="2DEB5379" w14:textId="1FF0F069" w:rsidR="007324F6" w:rsidRPr="00D0127D" w:rsidRDefault="00D0127D" w:rsidP="004E5D0A">
      <w:pPr>
        <w:pStyle w:val="ListParagraph"/>
        <w:numPr>
          <w:ilvl w:val="0"/>
          <w:numId w:val="35"/>
        </w:numPr>
        <w:spacing w:before="0" w:line="240" w:lineRule="auto"/>
        <w:rPr>
          <w:b/>
          <w:i/>
          <w:sz w:val="24"/>
          <w:szCs w:val="22"/>
        </w:rPr>
      </w:pPr>
      <w:r w:rsidRPr="00D0127D">
        <w:rPr>
          <w:b/>
          <w:i/>
          <w:sz w:val="24"/>
          <w:szCs w:val="22"/>
        </w:rPr>
        <w:t xml:space="preserve">Further study </w:t>
      </w:r>
      <w:r>
        <w:rPr>
          <w:b/>
          <w:i/>
          <w:sz w:val="24"/>
          <w:szCs w:val="22"/>
        </w:rPr>
        <w:t>on which cell the UE monitors BFRR</w:t>
      </w:r>
      <w:r w:rsidRPr="00D0127D">
        <w:rPr>
          <w:b/>
          <w:i/>
          <w:sz w:val="24"/>
          <w:szCs w:val="22"/>
        </w:rPr>
        <w:t xml:space="preserve"> </w:t>
      </w:r>
      <w:r>
        <w:rPr>
          <w:b/>
          <w:i/>
          <w:sz w:val="24"/>
          <w:szCs w:val="22"/>
        </w:rPr>
        <w:t>i</w:t>
      </w:r>
      <w:r w:rsidR="002B4F54" w:rsidRPr="00D0127D">
        <w:rPr>
          <w:b/>
          <w:i/>
          <w:sz w:val="24"/>
          <w:szCs w:val="22"/>
        </w:rPr>
        <w:t>f the BFRQ is transmitted on another cell</w:t>
      </w:r>
      <w:r>
        <w:rPr>
          <w:b/>
          <w:i/>
          <w:sz w:val="24"/>
          <w:szCs w:val="22"/>
        </w:rPr>
        <w:t>.</w:t>
      </w:r>
    </w:p>
    <w:p w14:paraId="49232EE8" w14:textId="77777777" w:rsidR="00C70E00" w:rsidRPr="007324F6" w:rsidRDefault="00C70E00" w:rsidP="00C70E00">
      <w:pPr>
        <w:rPr>
          <w:lang w:val="en-US"/>
        </w:rPr>
      </w:pPr>
    </w:p>
    <w:p w14:paraId="5C10EE21" w14:textId="469BC2C7" w:rsidR="00065F7D" w:rsidRDefault="005D20F1" w:rsidP="000D6FAC">
      <w:pPr>
        <w:pStyle w:val="Heading1"/>
        <w:spacing w:before="0" w:after="120"/>
      </w:pPr>
      <w:r w:rsidRPr="000D37D3">
        <w:t>Conclusion</w:t>
      </w:r>
    </w:p>
    <w:p w14:paraId="6D0A9898" w14:textId="2A1E61EE" w:rsidR="005D20F1" w:rsidRDefault="00065F7D" w:rsidP="00C01BD3">
      <w:pPr>
        <w:spacing w:before="0"/>
        <w:rPr>
          <w:rFonts w:eastAsia="Batang"/>
          <w:sz w:val="24"/>
          <w:szCs w:val="24"/>
          <w:lang w:val="en-US" w:eastAsia="ko-KR"/>
        </w:rPr>
      </w:pPr>
      <w:r w:rsidRPr="00A650EE">
        <w:rPr>
          <w:rFonts w:eastAsia="Batang"/>
          <w:sz w:val="24"/>
          <w:szCs w:val="24"/>
          <w:lang w:val="en-US" w:eastAsia="ko-KR"/>
        </w:rPr>
        <w:t xml:space="preserve">In this contribution, </w:t>
      </w:r>
      <w:r w:rsidR="00ED34FA">
        <w:rPr>
          <w:rFonts w:eastAsia="Batang"/>
          <w:sz w:val="24"/>
          <w:szCs w:val="24"/>
          <w:lang w:val="en-US" w:eastAsia="ko-KR"/>
        </w:rPr>
        <w:t xml:space="preserve">BFR for </w:t>
      </w:r>
      <w:r w:rsidR="00CC26B7">
        <w:rPr>
          <w:rFonts w:eastAsia="Batang"/>
          <w:sz w:val="24"/>
          <w:szCs w:val="24"/>
          <w:lang w:val="en-US" w:eastAsia="ko-KR"/>
        </w:rPr>
        <w:t>SCell was discussed. The following proposals were made.</w:t>
      </w:r>
    </w:p>
    <w:p w14:paraId="74F59481" w14:textId="77777777" w:rsidR="00C94273" w:rsidRDefault="00C94273" w:rsidP="00E148CB">
      <w:pPr>
        <w:spacing w:before="0"/>
        <w:ind w:left="1267" w:hanging="1267"/>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1</w:t>
      </w:r>
      <w:r w:rsidRPr="009C6E6E">
        <w:rPr>
          <w:rFonts w:eastAsia="Batang"/>
          <w:b/>
          <w:i/>
          <w:sz w:val="24"/>
          <w:szCs w:val="22"/>
          <w:lang w:val="en-US" w:eastAsia="ko-KR"/>
        </w:rPr>
        <w:t xml:space="preserve">: </w:t>
      </w:r>
      <w:r>
        <w:rPr>
          <w:rFonts w:eastAsia="Batang"/>
          <w:b/>
          <w:i/>
          <w:sz w:val="24"/>
          <w:szCs w:val="22"/>
          <w:lang w:val="en-US" w:eastAsia="ko-KR"/>
        </w:rPr>
        <w:t>BFD for SCell uses the mechanism specified in Rel-15, incl. the metric for beam failure.</w:t>
      </w:r>
    </w:p>
    <w:p w14:paraId="1C77C8F4" w14:textId="77777777" w:rsidR="00C94273" w:rsidRDefault="00C94273" w:rsidP="00E148CB">
      <w:pPr>
        <w:spacing w:before="0" w:after="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2</w:t>
      </w:r>
      <w:r w:rsidRPr="009C6E6E">
        <w:rPr>
          <w:rFonts w:eastAsia="Batang"/>
          <w:b/>
          <w:i/>
          <w:sz w:val="24"/>
          <w:szCs w:val="22"/>
          <w:lang w:val="en-US" w:eastAsia="ko-KR"/>
        </w:rPr>
        <w:t xml:space="preserve">: </w:t>
      </w:r>
    </w:p>
    <w:p w14:paraId="3A64F482" w14:textId="77777777" w:rsidR="00C94273" w:rsidRDefault="00C94273" w:rsidP="00E148CB">
      <w:pPr>
        <w:pStyle w:val="ListParagraph"/>
        <w:numPr>
          <w:ilvl w:val="0"/>
          <w:numId w:val="37"/>
        </w:numPr>
        <w:spacing w:before="0" w:after="0" w:line="240" w:lineRule="auto"/>
        <w:rPr>
          <w:b/>
          <w:i/>
          <w:sz w:val="24"/>
          <w:szCs w:val="22"/>
        </w:rPr>
      </w:pPr>
      <w:r w:rsidRPr="00534F5B">
        <w:rPr>
          <w:b/>
          <w:i/>
          <w:sz w:val="24"/>
          <w:szCs w:val="22"/>
        </w:rPr>
        <w:t xml:space="preserve">A UE can be configured to perform BFD on any </w:t>
      </w:r>
      <w:r>
        <w:rPr>
          <w:b/>
          <w:i/>
          <w:sz w:val="24"/>
          <w:szCs w:val="22"/>
        </w:rPr>
        <w:t xml:space="preserve">DL-only </w:t>
      </w:r>
      <w:r w:rsidRPr="00534F5B">
        <w:rPr>
          <w:b/>
          <w:i/>
          <w:sz w:val="24"/>
          <w:szCs w:val="22"/>
        </w:rPr>
        <w:t xml:space="preserve">SCell </w:t>
      </w:r>
      <w:r>
        <w:rPr>
          <w:b/>
          <w:i/>
          <w:sz w:val="24"/>
          <w:szCs w:val="22"/>
        </w:rPr>
        <w:t>or DL/UL SCell</w:t>
      </w:r>
      <w:r w:rsidRPr="00534F5B">
        <w:rPr>
          <w:b/>
          <w:i/>
          <w:sz w:val="24"/>
          <w:szCs w:val="22"/>
        </w:rPr>
        <w:t xml:space="preserve">. </w:t>
      </w:r>
    </w:p>
    <w:p w14:paraId="4E04FE16" w14:textId="5F140DB1" w:rsidR="00C94273" w:rsidRDefault="00C94273" w:rsidP="00E148CB">
      <w:pPr>
        <w:pStyle w:val="ListParagraph"/>
        <w:numPr>
          <w:ilvl w:val="0"/>
          <w:numId w:val="37"/>
        </w:numPr>
        <w:spacing w:before="0" w:after="0" w:line="240" w:lineRule="auto"/>
        <w:rPr>
          <w:b/>
          <w:i/>
          <w:sz w:val="24"/>
          <w:szCs w:val="22"/>
        </w:rPr>
      </w:pPr>
      <w:r>
        <w:rPr>
          <w:b/>
          <w:i/>
          <w:sz w:val="24"/>
          <w:szCs w:val="22"/>
        </w:rPr>
        <w:t>Define UE capabilities for BFD that apply across SpCells and SCells</w:t>
      </w:r>
      <w:r w:rsidR="00D20405">
        <w:rPr>
          <w:b/>
          <w:i/>
          <w:sz w:val="24"/>
          <w:szCs w:val="22"/>
        </w:rPr>
        <w:t>.</w:t>
      </w:r>
    </w:p>
    <w:p w14:paraId="30946A2F" w14:textId="77777777" w:rsidR="00C94273" w:rsidRDefault="00C94273" w:rsidP="00E148CB">
      <w:pPr>
        <w:pStyle w:val="ListParagraph"/>
        <w:numPr>
          <w:ilvl w:val="1"/>
          <w:numId w:val="37"/>
        </w:numPr>
        <w:spacing w:before="0" w:line="240" w:lineRule="auto"/>
        <w:rPr>
          <w:b/>
          <w:i/>
          <w:sz w:val="24"/>
          <w:szCs w:val="22"/>
        </w:rPr>
      </w:pPr>
      <w:r>
        <w:rPr>
          <w:b/>
          <w:i/>
          <w:sz w:val="24"/>
          <w:szCs w:val="22"/>
        </w:rPr>
        <w:t>Further study UE capability per band and per UE</w:t>
      </w:r>
    </w:p>
    <w:p w14:paraId="62FB8EC5" w14:textId="77777777" w:rsidR="00C94273" w:rsidRDefault="00C94273" w:rsidP="00E148CB">
      <w:pPr>
        <w:spacing w:before="0"/>
        <w:ind w:left="1267" w:hanging="1267"/>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3</w:t>
      </w:r>
      <w:r w:rsidRPr="009C6E6E">
        <w:rPr>
          <w:rFonts w:eastAsia="Batang"/>
          <w:b/>
          <w:i/>
          <w:sz w:val="24"/>
          <w:szCs w:val="22"/>
          <w:lang w:val="en-US" w:eastAsia="ko-KR"/>
        </w:rPr>
        <w:t xml:space="preserve">: </w:t>
      </w:r>
      <w:r>
        <w:rPr>
          <w:rFonts w:eastAsia="Batang"/>
          <w:b/>
          <w:i/>
          <w:sz w:val="24"/>
          <w:szCs w:val="22"/>
          <w:lang w:val="en-US" w:eastAsia="ko-KR"/>
        </w:rPr>
        <w:t>NBI for SCell is supported, reusing the metric from Rel-15 NBI.</w:t>
      </w:r>
    </w:p>
    <w:p w14:paraId="2532A59C" w14:textId="77777777" w:rsidR="00C94273" w:rsidRDefault="00C94273" w:rsidP="00E148CB">
      <w:pPr>
        <w:spacing w:before="0"/>
        <w:ind w:left="1267" w:hanging="1267"/>
        <w:rPr>
          <w:rFonts w:eastAsia="Batang"/>
          <w:b/>
          <w:i/>
          <w:sz w:val="24"/>
          <w:szCs w:val="22"/>
          <w:lang w:val="en-US" w:eastAsia="ko-KR"/>
        </w:rPr>
      </w:pPr>
      <w:r w:rsidRPr="009C6E6E">
        <w:rPr>
          <w:rFonts w:eastAsia="Batang"/>
          <w:b/>
          <w:i/>
          <w:sz w:val="24"/>
          <w:szCs w:val="22"/>
          <w:lang w:val="en-US" w:eastAsia="ko-KR"/>
        </w:rPr>
        <w:t xml:space="preserve">Proposal </w:t>
      </w:r>
      <w:r>
        <w:rPr>
          <w:rFonts w:eastAsia="Batang"/>
          <w:b/>
          <w:i/>
          <w:sz w:val="24"/>
          <w:szCs w:val="22"/>
          <w:lang w:val="en-US" w:eastAsia="ko-KR"/>
        </w:rPr>
        <w:t>4</w:t>
      </w:r>
      <w:r w:rsidRPr="009C6E6E">
        <w:rPr>
          <w:rFonts w:eastAsia="Batang"/>
          <w:b/>
          <w:i/>
          <w:sz w:val="24"/>
          <w:szCs w:val="22"/>
          <w:lang w:val="en-US" w:eastAsia="ko-KR"/>
        </w:rPr>
        <w:t xml:space="preserve">: </w:t>
      </w:r>
      <w:r>
        <w:rPr>
          <w:rFonts w:eastAsia="Batang"/>
          <w:b/>
          <w:i/>
          <w:sz w:val="24"/>
          <w:szCs w:val="22"/>
          <w:lang w:val="en-US" w:eastAsia="ko-KR"/>
        </w:rPr>
        <w:t>BFRQ transmission on either the SCell experiencing beam failure or another cell is supported.</w:t>
      </w:r>
    </w:p>
    <w:p w14:paraId="1E0DE4CF" w14:textId="07A7DF91" w:rsidR="00C94273" w:rsidRDefault="00C94273" w:rsidP="00E148CB">
      <w:pPr>
        <w:spacing w:before="0" w:after="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FE6F70">
        <w:rPr>
          <w:rFonts w:eastAsia="Batang"/>
          <w:b/>
          <w:i/>
          <w:sz w:val="24"/>
          <w:szCs w:val="22"/>
          <w:lang w:val="en-US" w:eastAsia="ko-KR"/>
        </w:rPr>
        <w:t>5</w:t>
      </w:r>
      <w:r w:rsidRPr="009C6E6E">
        <w:rPr>
          <w:rFonts w:eastAsia="Batang"/>
          <w:b/>
          <w:i/>
          <w:sz w:val="24"/>
          <w:szCs w:val="22"/>
          <w:lang w:val="en-US" w:eastAsia="ko-KR"/>
        </w:rPr>
        <w:t xml:space="preserve">: </w:t>
      </w:r>
      <w:r>
        <w:rPr>
          <w:rFonts w:eastAsia="Batang"/>
          <w:b/>
          <w:i/>
          <w:sz w:val="24"/>
          <w:szCs w:val="22"/>
          <w:lang w:val="en-US" w:eastAsia="ko-KR"/>
        </w:rPr>
        <w:t>The following mechanisms are supported for BFRQ transmission:</w:t>
      </w:r>
    </w:p>
    <w:p w14:paraId="160FA0D5" w14:textId="77777777" w:rsidR="00C94273" w:rsidRDefault="00C94273" w:rsidP="00E148CB">
      <w:pPr>
        <w:pStyle w:val="ListParagraph"/>
        <w:numPr>
          <w:ilvl w:val="0"/>
          <w:numId w:val="34"/>
        </w:numPr>
        <w:spacing w:before="0" w:after="0" w:line="240" w:lineRule="auto"/>
        <w:rPr>
          <w:b/>
          <w:i/>
          <w:sz w:val="24"/>
          <w:szCs w:val="22"/>
        </w:rPr>
      </w:pPr>
      <w:r w:rsidRPr="00C507CE">
        <w:rPr>
          <w:b/>
          <w:i/>
          <w:sz w:val="24"/>
          <w:szCs w:val="22"/>
        </w:rPr>
        <w:t xml:space="preserve">CFRA-based BFRQ </w:t>
      </w:r>
      <w:r>
        <w:rPr>
          <w:b/>
          <w:i/>
          <w:sz w:val="24"/>
          <w:szCs w:val="22"/>
        </w:rPr>
        <w:t>(</w:t>
      </w:r>
      <w:r w:rsidRPr="00C507CE">
        <w:rPr>
          <w:b/>
          <w:i/>
          <w:sz w:val="24"/>
          <w:szCs w:val="22"/>
        </w:rPr>
        <w:t>reused from Rel-15</w:t>
      </w:r>
      <w:r>
        <w:rPr>
          <w:b/>
          <w:i/>
          <w:sz w:val="24"/>
          <w:szCs w:val="22"/>
        </w:rPr>
        <w:t>) if the BFRQ is transmitted on the failed SCell</w:t>
      </w:r>
      <w:r w:rsidRPr="00C507CE">
        <w:rPr>
          <w:b/>
          <w:i/>
          <w:sz w:val="24"/>
          <w:szCs w:val="22"/>
        </w:rPr>
        <w:t>.</w:t>
      </w:r>
    </w:p>
    <w:p w14:paraId="7099D7BA" w14:textId="77777777" w:rsidR="00C94273" w:rsidRPr="00C507CE" w:rsidRDefault="00C94273" w:rsidP="00E148CB">
      <w:pPr>
        <w:pStyle w:val="ListParagraph"/>
        <w:numPr>
          <w:ilvl w:val="0"/>
          <w:numId w:val="34"/>
        </w:numPr>
        <w:spacing w:before="0" w:line="240" w:lineRule="auto"/>
        <w:rPr>
          <w:b/>
          <w:i/>
          <w:sz w:val="24"/>
          <w:szCs w:val="22"/>
        </w:rPr>
      </w:pPr>
      <w:r>
        <w:rPr>
          <w:b/>
          <w:i/>
          <w:sz w:val="24"/>
          <w:szCs w:val="22"/>
        </w:rPr>
        <w:t>MAC CE based BFRQ if the BFRQ is transmitted on another cell.</w:t>
      </w:r>
    </w:p>
    <w:p w14:paraId="76191848" w14:textId="4E386DDB" w:rsidR="00C94273" w:rsidRDefault="00C94273" w:rsidP="00E148CB">
      <w:pPr>
        <w:spacing w:before="0" w:after="0"/>
        <w:ind w:left="1260" w:hanging="1260"/>
        <w:rPr>
          <w:rFonts w:eastAsia="Batang"/>
          <w:b/>
          <w:i/>
          <w:sz w:val="24"/>
          <w:szCs w:val="22"/>
          <w:lang w:val="en-US" w:eastAsia="ko-KR"/>
        </w:rPr>
      </w:pPr>
      <w:r w:rsidRPr="009C6E6E">
        <w:rPr>
          <w:rFonts w:eastAsia="Batang"/>
          <w:b/>
          <w:i/>
          <w:sz w:val="24"/>
          <w:szCs w:val="22"/>
          <w:lang w:val="en-US" w:eastAsia="ko-KR"/>
        </w:rPr>
        <w:t xml:space="preserve">Proposal </w:t>
      </w:r>
      <w:r w:rsidR="00FE6F70">
        <w:rPr>
          <w:rFonts w:eastAsia="Batang"/>
          <w:b/>
          <w:i/>
          <w:sz w:val="24"/>
          <w:szCs w:val="22"/>
          <w:lang w:val="en-US" w:eastAsia="ko-KR"/>
        </w:rPr>
        <w:t>6</w:t>
      </w:r>
      <w:r w:rsidRPr="009C6E6E">
        <w:rPr>
          <w:rFonts w:eastAsia="Batang"/>
          <w:b/>
          <w:i/>
          <w:sz w:val="24"/>
          <w:szCs w:val="22"/>
          <w:lang w:val="en-US" w:eastAsia="ko-KR"/>
        </w:rPr>
        <w:t xml:space="preserve">: </w:t>
      </w:r>
      <w:r>
        <w:rPr>
          <w:rFonts w:eastAsia="Batang"/>
          <w:b/>
          <w:i/>
          <w:sz w:val="24"/>
          <w:szCs w:val="22"/>
          <w:lang w:val="en-US" w:eastAsia="ko-KR"/>
        </w:rPr>
        <w:t xml:space="preserve">If the BFRQ is transmitted on the SCell that experienced beam failure, the BFRR is received on the same SCell, reusing Rel-15 BFRR. </w:t>
      </w:r>
    </w:p>
    <w:p w14:paraId="741EF720" w14:textId="610AA564" w:rsidR="00C94273" w:rsidRPr="006E5DD2" w:rsidRDefault="00C94273" w:rsidP="00E148CB">
      <w:pPr>
        <w:pStyle w:val="ListParagraph"/>
        <w:numPr>
          <w:ilvl w:val="0"/>
          <w:numId w:val="35"/>
        </w:numPr>
        <w:spacing w:before="0" w:after="0" w:line="240" w:lineRule="auto"/>
        <w:rPr>
          <w:b/>
          <w:i/>
          <w:sz w:val="24"/>
          <w:szCs w:val="22"/>
        </w:rPr>
      </w:pPr>
      <w:r w:rsidRPr="00D0127D">
        <w:rPr>
          <w:b/>
          <w:i/>
          <w:sz w:val="24"/>
          <w:szCs w:val="22"/>
        </w:rPr>
        <w:t xml:space="preserve">Further study </w:t>
      </w:r>
      <w:r>
        <w:rPr>
          <w:b/>
          <w:i/>
          <w:sz w:val="24"/>
          <w:szCs w:val="22"/>
        </w:rPr>
        <w:t>on which cell the UE monitors BFRR</w:t>
      </w:r>
      <w:r w:rsidRPr="00D0127D">
        <w:rPr>
          <w:b/>
          <w:i/>
          <w:sz w:val="24"/>
          <w:szCs w:val="22"/>
        </w:rPr>
        <w:t xml:space="preserve"> </w:t>
      </w:r>
      <w:r>
        <w:rPr>
          <w:b/>
          <w:i/>
          <w:sz w:val="24"/>
          <w:szCs w:val="22"/>
        </w:rPr>
        <w:t>i</w:t>
      </w:r>
      <w:r w:rsidRPr="00D0127D">
        <w:rPr>
          <w:b/>
          <w:i/>
          <w:sz w:val="24"/>
          <w:szCs w:val="22"/>
        </w:rPr>
        <w:t>f the BFRQ is transmitted on another cell</w:t>
      </w:r>
      <w:r>
        <w:rPr>
          <w:b/>
          <w:i/>
          <w:sz w:val="24"/>
          <w:szCs w:val="22"/>
        </w:rPr>
        <w:t>.</w:t>
      </w:r>
    </w:p>
    <w:p w14:paraId="3AF58D08" w14:textId="77777777" w:rsidR="00A650EE" w:rsidRPr="00A650EE" w:rsidRDefault="00A650EE" w:rsidP="000D6FAC">
      <w:pPr>
        <w:spacing w:before="0"/>
        <w:rPr>
          <w:rFonts w:eastAsia="Batang"/>
          <w:b/>
          <w:i/>
          <w:sz w:val="24"/>
          <w:szCs w:val="24"/>
          <w:lang w:val="en-US" w:eastAsia="ko-KR"/>
        </w:rPr>
      </w:pPr>
    </w:p>
    <w:p w14:paraId="2DA0C3AF" w14:textId="18544A81" w:rsidR="00A650EE" w:rsidRPr="00A650EE" w:rsidRDefault="00A650EE" w:rsidP="000D6FAC">
      <w:pPr>
        <w:pStyle w:val="Heading1"/>
        <w:spacing w:before="0" w:after="120"/>
      </w:pPr>
      <w:r w:rsidRPr="00A650EE">
        <w:t>Reference</w:t>
      </w:r>
      <w:r w:rsidR="004D29B6">
        <w:t>s</w:t>
      </w:r>
    </w:p>
    <w:p w14:paraId="0930E214" w14:textId="2712E10F" w:rsidR="00E36916" w:rsidRDefault="00CB1B6A" w:rsidP="000D6FAC">
      <w:pPr>
        <w:pStyle w:val="iReference"/>
        <w:numPr>
          <w:ilvl w:val="0"/>
          <w:numId w:val="17"/>
        </w:numPr>
        <w:spacing w:before="0" w:after="120"/>
        <w:rPr>
          <w:rFonts w:ascii="Times New Roman" w:eastAsia="PMingLiU" w:hAnsi="Times New Roman" w:cs="Times New Roman"/>
          <w:color w:val="000000" w:themeColor="text1"/>
          <w:sz w:val="24"/>
        </w:rPr>
      </w:pPr>
      <w:bookmarkStart w:id="2" w:name="_Ref528924709"/>
      <w:r w:rsidRPr="00CB1B6A">
        <w:rPr>
          <w:rFonts w:ascii="Times New Roman" w:eastAsia="PMingLiU" w:hAnsi="Times New Roman" w:cs="Times New Roman"/>
          <w:color w:val="000000" w:themeColor="text1"/>
          <w:sz w:val="24"/>
        </w:rPr>
        <w:t>RP-182</w:t>
      </w:r>
      <w:r w:rsidR="00871771">
        <w:rPr>
          <w:rFonts w:ascii="Times New Roman" w:eastAsia="PMingLiU" w:hAnsi="Times New Roman" w:cs="Times New Roman"/>
          <w:color w:val="000000" w:themeColor="text1"/>
          <w:sz w:val="24"/>
        </w:rPr>
        <w:t>863</w:t>
      </w:r>
      <w:r w:rsidR="00B05456">
        <w:rPr>
          <w:rFonts w:ascii="Times New Roman" w:eastAsia="PMingLiU" w:hAnsi="Times New Roman" w:cs="Times New Roman"/>
          <w:color w:val="000000" w:themeColor="text1"/>
          <w:sz w:val="24"/>
        </w:rPr>
        <w:t>,</w:t>
      </w:r>
      <w:r>
        <w:rPr>
          <w:rFonts w:ascii="Times New Roman" w:eastAsia="PMingLiU" w:hAnsi="Times New Roman" w:cs="Times New Roman"/>
          <w:color w:val="000000" w:themeColor="text1"/>
          <w:sz w:val="24"/>
        </w:rPr>
        <w:t xml:space="preserve"> “</w:t>
      </w:r>
      <w:r w:rsidRPr="00CB1B6A">
        <w:rPr>
          <w:rFonts w:ascii="Times New Roman" w:eastAsia="PMingLiU" w:hAnsi="Times New Roman" w:cs="Times New Roman"/>
          <w:color w:val="000000" w:themeColor="text1"/>
          <w:sz w:val="24"/>
        </w:rPr>
        <w:t>Revised WID: Enhancements on MIMO for NR</w:t>
      </w:r>
      <w:r w:rsidR="0008754B">
        <w:rPr>
          <w:rFonts w:ascii="Times New Roman" w:eastAsia="PMingLiU" w:hAnsi="Times New Roman" w:cs="Times New Roman"/>
          <w:color w:val="000000" w:themeColor="text1"/>
          <w:sz w:val="24"/>
        </w:rPr>
        <w:t>”, Samsung, RAN#82, Dec. 2018</w:t>
      </w:r>
      <w:bookmarkEnd w:id="2"/>
    </w:p>
    <w:p w14:paraId="571DCDCB" w14:textId="0FEB6FC3" w:rsidR="00467491" w:rsidRPr="00467491" w:rsidRDefault="00467491" w:rsidP="00467491">
      <w:pPr>
        <w:pStyle w:val="iReference"/>
        <w:numPr>
          <w:ilvl w:val="0"/>
          <w:numId w:val="17"/>
        </w:numPr>
        <w:spacing w:before="0" w:after="120"/>
        <w:rPr>
          <w:rFonts w:ascii="Times New Roman" w:eastAsia="PMingLiU" w:hAnsi="Times New Roman" w:cs="Times New Roman"/>
          <w:color w:val="000000" w:themeColor="text1"/>
          <w:sz w:val="24"/>
        </w:rPr>
      </w:pPr>
      <w:bookmarkStart w:id="3" w:name="_Ref534897295"/>
      <w:r w:rsidRPr="00467491">
        <w:rPr>
          <w:rFonts w:ascii="Times New Roman" w:eastAsia="PMingLiU" w:hAnsi="Times New Roman" w:cs="Times New Roman"/>
          <w:color w:val="000000" w:themeColor="text1"/>
          <w:sz w:val="24"/>
        </w:rPr>
        <w:t>R2-1819098</w:t>
      </w:r>
      <w:bookmarkEnd w:id="3"/>
      <w:r w:rsidR="0008754B">
        <w:rPr>
          <w:rFonts w:ascii="Times New Roman" w:eastAsia="PMingLiU" w:hAnsi="Times New Roman" w:cs="Times New Roman"/>
          <w:color w:val="000000" w:themeColor="text1"/>
          <w:sz w:val="24"/>
        </w:rPr>
        <w:t>, “</w:t>
      </w:r>
      <w:r w:rsidR="0008754B" w:rsidRPr="004C3044">
        <w:rPr>
          <w:rFonts w:ascii="Times New Roman" w:eastAsia="PMingLiU" w:hAnsi="Times New Roman" w:cs="Times New Roman"/>
          <w:color w:val="000000" w:themeColor="text1"/>
          <w:sz w:val="24"/>
        </w:rPr>
        <w:t>Update of UE capabilities</w:t>
      </w:r>
      <w:r w:rsidR="0008754B">
        <w:rPr>
          <w:rFonts w:ascii="Times New Roman" w:eastAsia="PMingLiU" w:hAnsi="Times New Roman" w:cs="Times New Roman"/>
          <w:color w:val="000000" w:themeColor="text1"/>
          <w:sz w:val="24"/>
        </w:rPr>
        <w:t>”, Intel, RAN2#104, Nov. 2018</w:t>
      </w:r>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6F584" w14:textId="77777777" w:rsidR="000A3280" w:rsidRDefault="000A3280">
      <w:r>
        <w:separator/>
      </w:r>
    </w:p>
  </w:endnote>
  <w:endnote w:type="continuationSeparator" w:id="0">
    <w:p w14:paraId="556D06CF" w14:textId="77777777" w:rsidR="000A3280" w:rsidRDefault="000A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41553F74" w:rsidR="007E42CC" w:rsidRDefault="007E42CC">
        <w:pPr>
          <w:pStyle w:val="Footer"/>
          <w:jc w:val="center"/>
        </w:pPr>
        <w:r>
          <w:fldChar w:fldCharType="begin"/>
        </w:r>
        <w:r>
          <w:instrText xml:space="preserve"> PAGE   \* MERGEFORMAT </w:instrText>
        </w:r>
        <w:r>
          <w:fldChar w:fldCharType="separate"/>
        </w:r>
        <w:r w:rsidR="00396EA5">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413D199F" w:rsidR="007E42CC" w:rsidRDefault="007E42CC">
        <w:pPr>
          <w:pStyle w:val="Footer"/>
          <w:jc w:val="center"/>
        </w:pPr>
        <w:r>
          <w:fldChar w:fldCharType="begin"/>
        </w:r>
        <w:r>
          <w:instrText xml:space="preserve"> PAGE   \* MERGEFORMAT </w:instrText>
        </w:r>
        <w:r>
          <w:fldChar w:fldCharType="separate"/>
        </w:r>
        <w:r w:rsidR="00396EA5">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05B97" w14:textId="77777777" w:rsidR="000A3280" w:rsidRDefault="000A3280">
      <w:r>
        <w:separator/>
      </w:r>
    </w:p>
  </w:footnote>
  <w:footnote w:type="continuationSeparator" w:id="0">
    <w:p w14:paraId="6F489935" w14:textId="77777777" w:rsidR="000A3280" w:rsidRDefault="000A3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2"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3"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5"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3"/>
  </w:num>
  <w:num w:numId="3">
    <w:abstractNumId w:val="17"/>
  </w:num>
  <w:num w:numId="4">
    <w:abstractNumId w:val="6"/>
  </w:num>
  <w:num w:numId="5">
    <w:abstractNumId w:val="2"/>
  </w:num>
  <w:num w:numId="6">
    <w:abstractNumId w:val="32"/>
  </w:num>
  <w:num w:numId="7">
    <w:abstractNumId w:val="35"/>
  </w:num>
  <w:num w:numId="8">
    <w:abstractNumId w:val="13"/>
  </w:num>
  <w:num w:numId="9">
    <w:abstractNumId w:val="3"/>
  </w:num>
  <w:num w:numId="10">
    <w:abstractNumId w:val="20"/>
  </w:num>
  <w:num w:numId="11">
    <w:abstractNumId w:val="18"/>
  </w:num>
  <w:num w:numId="12">
    <w:abstractNumId w:val="19"/>
  </w:num>
  <w:num w:numId="13">
    <w:abstractNumId w:val="22"/>
  </w:num>
  <w:num w:numId="14">
    <w:abstractNumId w:val="27"/>
  </w:num>
  <w:num w:numId="15">
    <w:abstractNumId w:val="0"/>
  </w:num>
  <w:num w:numId="16">
    <w:abstractNumId w:val="26"/>
  </w:num>
  <w:num w:numId="17">
    <w:abstractNumId w:val="1"/>
  </w:num>
  <w:num w:numId="18">
    <w:abstractNumId w:val="5"/>
  </w:num>
  <w:num w:numId="19">
    <w:abstractNumId w:val="34"/>
  </w:num>
  <w:num w:numId="20">
    <w:abstractNumId w:val="28"/>
  </w:num>
  <w:num w:numId="21">
    <w:abstractNumId w:val="8"/>
  </w:num>
  <w:num w:numId="22">
    <w:abstractNumId w:val="11"/>
  </w:num>
  <w:num w:numId="23">
    <w:abstractNumId w:val="15"/>
  </w:num>
  <w:num w:numId="24">
    <w:abstractNumId w:val="24"/>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4"/>
  </w:num>
  <w:num w:numId="29">
    <w:abstractNumId w:val="4"/>
    <w:lvlOverride w:ilvl="0">
      <w:startOverride w:val="1"/>
    </w:lvlOverride>
  </w:num>
  <w:num w:numId="30">
    <w:abstractNumId w:val="33"/>
  </w:num>
  <w:num w:numId="31">
    <w:abstractNumId w:val="12"/>
  </w:num>
  <w:num w:numId="32">
    <w:abstractNumId w:val="7"/>
  </w:num>
  <w:num w:numId="33">
    <w:abstractNumId w:val="14"/>
  </w:num>
  <w:num w:numId="34">
    <w:abstractNumId w:val="25"/>
  </w:num>
  <w:num w:numId="35">
    <w:abstractNumId w:val="10"/>
  </w:num>
  <w:num w:numId="36">
    <w:abstractNumId w:val="9"/>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24B1D"/>
    <w:rsid w:val="00025F13"/>
    <w:rsid w:val="00026407"/>
    <w:rsid w:val="000319FD"/>
    <w:rsid w:val="00032BAB"/>
    <w:rsid w:val="0004009F"/>
    <w:rsid w:val="00040139"/>
    <w:rsid w:val="0004388B"/>
    <w:rsid w:val="00051F4B"/>
    <w:rsid w:val="00053E0E"/>
    <w:rsid w:val="000550E1"/>
    <w:rsid w:val="0006095E"/>
    <w:rsid w:val="00060EA9"/>
    <w:rsid w:val="00061116"/>
    <w:rsid w:val="00062DF5"/>
    <w:rsid w:val="00065F7D"/>
    <w:rsid w:val="000674FE"/>
    <w:rsid w:val="00073F85"/>
    <w:rsid w:val="00077788"/>
    <w:rsid w:val="0008236D"/>
    <w:rsid w:val="00083978"/>
    <w:rsid w:val="0008754B"/>
    <w:rsid w:val="000950C5"/>
    <w:rsid w:val="00095298"/>
    <w:rsid w:val="000955F8"/>
    <w:rsid w:val="000A26C4"/>
    <w:rsid w:val="000A3280"/>
    <w:rsid w:val="000B5D47"/>
    <w:rsid w:val="000C40EF"/>
    <w:rsid w:val="000C5B22"/>
    <w:rsid w:val="000D00F4"/>
    <w:rsid w:val="000D27A6"/>
    <w:rsid w:val="000D37D3"/>
    <w:rsid w:val="000D6FAC"/>
    <w:rsid w:val="000F1176"/>
    <w:rsid w:val="000F2AFF"/>
    <w:rsid w:val="000F421F"/>
    <w:rsid w:val="00131B39"/>
    <w:rsid w:val="00140681"/>
    <w:rsid w:val="00153B57"/>
    <w:rsid w:val="00167063"/>
    <w:rsid w:val="00172677"/>
    <w:rsid w:val="00185133"/>
    <w:rsid w:val="00186EBA"/>
    <w:rsid w:val="00187149"/>
    <w:rsid w:val="00187541"/>
    <w:rsid w:val="001A33D3"/>
    <w:rsid w:val="001A36E9"/>
    <w:rsid w:val="001A41A1"/>
    <w:rsid w:val="001A5BE4"/>
    <w:rsid w:val="001B03EA"/>
    <w:rsid w:val="001B2C52"/>
    <w:rsid w:val="001B3AF1"/>
    <w:rsid w:val="001C225C"/>
    <w:rsid w:val="001E18D6"/>
    <w:rsid w:val="001E3155"/>
    <w:rsid w:val="001E3B88"/>
    <w:rsid w:val="001F4117"/>
    <w:rsid w:val="001F76F0"/>
    <w:rsid w:val="00200E11"/>
    <w:rsid w:val="002119E3"/>
    <w:rsid w:val="00214FB9"/>
    <w:rsid w:val="00215377"/>
    <w:rsid w:val="00231627"/>
    <w:rsid w:val="00231AEA"/>
    <w:rsid w:val="00233C1E"/>
    <w:rsid w:val="002372D7"/>
    <w:rsid w:val="00237D50"/>
    <w:rsid w:val="00242995"/>
    <w:rsid w:val="00252218"/>
    <w:rsid w:val="0025363F"/>
    <w:rsid w:val="0025464A"/>
    <w:rsid w:val="002609A6"/>
    <w:rsid w:val="00263E95"/>
    <w:rsid w:val="00266C98"/>
    <w:rsid w:val="00267C3C"/>
    <w:rsid w:val="002A4DB3"/>
    <w:rsid w:val="002A56D3"/>
    <w:rsid w:val="002B3C03"/>
    <w:rsid w:val="002B4F54"/>
    <w:rsid w:val="002B728D"/>
    <w:rsid w:val="002D0FA4"/>
    <w:rsid w:val="002D2246"/>
    <w:rsid w:val="002D40BC"/>
    <w:rsid w:val="002F2971"/>
    <w:rsid w:val="002F4A9B"/>
    <w:rsid w:val="002F71FE"/>
    <w:rsid w:val="00311110"/>
    <w:rsid w:val="003201E7"/>
    <w:rsid w:val="00322338"/>
    <w:rsid w:val="0032366B"/>
    <w:rsid w:val="003252F1"/>
    <w:rsid w:val="00335638"/>
    <w:rsid w:val="00342A22"/>
    <w:rsid w:val="0034698C"/>
    <w:rsid w:val="00350B4E"/>
    <w:rsid w:val="00352982"/>
    <w:rsid w:val="003567E2"/>
    <w:rsid w:val="003673C1"/>
    <w:rsid w:val="0037504A"/>
    <w:rsid w:val="00377439"/>
    <w:rsid w:val="00386636"/>
    <w:rsid w:val="00396EA5"/>
    <w:rsid w:val="003A675E"/>
    <w:rsid w:val="003B45F3"/>
    <w:rsid w:val="003B58AC"/>
    <w:rsid w:val="003C2E9F"/>
    <w:rsid w:val="003C6CD9"/>
    <w:rsid w:val="003D5B78"/>
    <w:rsid w:val="003D77C4"/>
    <w:rsid w:val="003E1C7C"/>
    <w:rsid w:val="003E3C09"/>
    <w:rsid w:val="003E6639"/>
    <w:rsid w:val="003F2578"/>
    <w:rsid w:val="003F4847"/>
    <w:rsid w:val="00410F6A"/>
    <w:rsid w:val="004214CF"/>
    <w:rsid w:val="004224C0"/>
    <w:rsid w:val="00424E3F"/>
    <w:rsid w:val="00425CB4"/>
    <w:rsid w:val="00427F95"/>
    <w:rsid w:val="00431779"/>
    <w:rsid w:val="0043276F"/>
    <w:rsid w:val="004453C1"/>
    <w:rsid w:val="00446ACE"/>
    <w:rsid w:val="00447234"/>
    <w:rsid w:val="004607C3"/>
    <w:rsid w:val="00461C38"/>
    <w:rsid w:val="00466DEE"/>
    <w:rsid w:val="00467491"/>
    <w:rsid w:val="004778AF"/>
    <w:rsid w:val="00483A74"/>
    <w:rsid w:val="00485C27"/>
    <w:rsid w:val="00485C55"/>
    <w:rsid w:val="00491E32"/>
    <w:rsid w:val="004A3FAE"/>
    <w:rsid w:val="004B547B"/>
    <w:rsid w:val="004B5C52"/>
    <w:rsid w:val="004C301F"/>
    <w:rsid w:val="004C38CC"/>
    <w:rsid w:val="004C52B0"/>
    <w:rsid w:val="004D29B6"/>
    <w:rsid w:val="004D7818"/>
    <w:rsid w:val="004E257E"/>
    <w:rsid w:val="004E2EEE"/>
    <w:rsid w:val="004E5D0A"/>
    <w:rsid w:val="005072FC"/>
    <w:rsid w:val="005079EB"/>
    <w:rsid w:val="0053076A"/>
    <w:rsid w:val="00532F9A"/>
    <w:rsid w:val="0053719A"/>
    <w:rsid w:val="00546B64"/>
    <w:rsid w:val="00550A71"/>
    <w:rsid w:val="00550FF9"/>
    <w:rsid w:val="00554E84"/>
    <w:rsid w:val="00557B02"/>
    <w:rsid w:val="005658B2"/>
    <w:rsid w:val="00566B53"/>
    <w:rsid w:val="00591A33"/>
    <w:rsid w:val="0059341F"/>
    <w:rsid w:val="00593D73"/>
    <w:rsid w:val="005977B0"/>
    <w:rsid w:val="005A05BE"/>
    <w:rsid w:val="005A1A03"/>
    <w:rsid w:val="005A2572"/>
    <w:rsid w:val="005A2685"/>
    <w:rsid w:val="005A32C2"/>
    <w:rsid w:val="005B2076"/>
    <w:rsid w:val="005B4701"/>
    <w:rsid w:val="005B601E"/>
    <w:rsid w:val="005C3384"/>
    <w:rsid w:val="005D20F1"/>
    <w:rsid w:val="005D2D51"/>
    <w:rsid w:val="005D3981"/>
    <w:rsid w:val="005D4BE2"/>
    <w:rsid w:val="005E7958"/>
    <w:rsid w:val="005F318B"/>
    <w:rsid w:val="00600805"/>
    <w:rsid w:val="00602F21"/>
    <w:rsid w:val="00607022"/>
    <w:rsid w:val="0061417F"/>
    <w:rsid w:val="00614D21"/>
    <w:rsid w:val="006204C2"/>
    <w:rsid w:val="0062449A"/>
    <w:rsid w:val="00630F3A"/>
    <w:rsid w:val="00634154"/>
    <w:rsid w:val="00641A9E"/>
    <w:rsid w:val="0064318F"/>
    <w:rsid w:val="00645A3D"/>
    <w:rsid w:val="0064615E"/>
    <w:rsid w:val="00652082"/>
    <w:rsid w:val="00657BE5"/>
    <w:rsid w:val="00664455"/>
    <w:rsid w:val="00665941"/>
    <w:rsid w:val="006733DB"/>
    <w:rsid w:val="006758DE"/>
    <w:rsid w:val="00677A39"/>
    <w:rsid w:val="00687F23"/>
    <w:rsid w:val="0069390B"/>
    <w:rsid w:val="00695505"/>
    <w:rsid w:val="006A192B"/>
    <w:rsid w:val="006A7DD0"/>
    <w:rsid w:val="006B1113"/>
    <w:rsid w:val="006B6D77"/>
    <w:rsid w:val="006E5DD2"/>
    <w:rsid w:val="006F55A6"/>
    <w:rsid w:val="006F73F9"/>
    <w:rsid w:val="00700FCA"/>
    <w:rsid w:val="00706291"/>
    <w:rsid w:val="007150A9"/>
    <w:rsid w:val="00720387"/>
    <w:rsid w:val="0072141F"/>
    <w:rsid w:val="00721DA7"/>
    <w:rsid w:val="00722B22"/>
    <w:rsid w:val="00724391"/>
    <w:rsid w:val="00727C17"/>
    <w:rsid w:val="007324F6"/>
    <w:rsid w:val="007371AC"/>
    <w:rsid w:val="00743D03"/>
    <w:rsid w:val="0075483A"/>
    <w:rsid w:val="00757856"/>
    <w:rsid w:val="007607AE"/>
    <w:rsid w:val="00760B23"/>
    <w:rsid w:val="00770BA8"/>
    <w:rsid w:val="007816A0"/>
    <w:rsid w:val="00790C82"/>
    <w:rsid w:val="0079200B"/>
    <w:rsid w:val="00793E15"/>
    <w:rsid w:val="00795985"/>
    <w:rsid w:val="0079648D"/>
    <w:rsid w:val="007A11D7"/>
    <w:rsid w:val="007A3330"/>
    <w:rsid w:val="007A71C0"/>
    <w:rsid w:val="007B2090"/>
    <w:rsid w:val="007B5072"/>
    <w:rsid w:val="007C6943"/>
    <w:rsid w:val="007D7A47"/>
    <w:rsid w:val="007E3CA1"/>
    <w:rsid w:val="007E42CC"/>
    <w:rsid w:val="007F5921"/>
    <w:rsid w:val="00801B7D"/>
    <w:rsid w:val="00804AC2"/>
    <w:rsid w:val="0081071B"/>
    <w:rsid w:val="008114B2"/>
    <w:rsid w:val="008127C1"/>
    <w:rsid w:val="00821C45"/>
    <w:rsid w:val="00824394"/>
    <w:rsid w:val="008254B6"/>
    <w:rsid w:val="00832094"/>
    <w:rsid w:val="008325D3"/>
    <w:rsid w:val="00833404"/>
    <w:rsid w:val="00834051"/>
    <w:rsid w:val="00837728"/>
    <w:rsid w:val="00842B97"/>
    <w:rsid w:val="00844138"/>
    <w:rsid w:val="00847425"/>
    <w:rsid w:val="00855868"/>
    <w:rsid w:val="00861449"/>
    <w:rsid w:val="00861C54"/>
    <w:rsid w:val="00871771"/>
    <w:rsid w:val="00871C72"/>
    <w:rsid w:val="008720A5"/>
    <w:rsid w:val="00875276"/>
    <w:rsid w:val="00876F4B"/>
    <w:rsid w:val="008818BC"/>
    <w:rsid w:val="0089044B"/>
    <w:rsid w:val="008911D1"/>
    <w:rsid w:val="008917F5"/>
    <w:rsid w:val="0089215D"/>
    <w:rsid w:val="00893E68"/>
    <w:rsid w:val="008A7500"/>
    <w:rsid w:val="008A7A18"/>
    <w:rsid w:val="008B2885"/>
    <w:rsid w:val="008E4BDE"/>
    <w:rsid w:val="00902F13"/>
    <w:rsid w:val="00904CBF"/>
    <w:rsid w:val="009072FB"/>
    <w:rsid w:val="00914FD3"/>
    <w:rsid w:val="009404A5"/>
    <w:rsid w:val="00940ED3"/>
    <w:rsid w:val="00946429"/>
    <w:rsid w:val="0095582D"/>
    <w:rsid w:val="00970ADB"/>
    <w:rsid w:val="00980D88"/>
    <w:rsid w:val="00983D81"/>
    <w:rsid w:val="009867B5"/>
    <w:rsid w:val="00991831"/>
    <w:rsid w:val="00995AA0"/>
    <w:rsid w:val="009962C7"/>
    <w:rsid w:val="009A2629"/>
    <w:rsid w:val="009A4F65"/>
    <w:rsid w:val="009B2E97"/>
    <w:rsid w:val="009C5D61"/>
    <w:rsid w:val="009C6E6E"/>
    <w:rsid w:val="009D5348"/>
    <w:rsid w:val="009D7B86"/>
    <w:rsid w:val="009E1249"/>
    <w:rsid w:val="00A2299C"/>
    <w:rsid w:val="00A23578"/>
    <w:rsid w:val="00A23793"/>
    <w:rsid w:val="00A3212F"/>
    <w:rsid w:val="00A33D88"/>
    <w:rsid w:val="00A361F7"/>
    <w:rsid w:val="00A4122B"/>
    <w:rsid w:val="00A55592"/>
    <w:rsid w:val="00A650EE"/>
    <w:rsid w:val="00A67031"/>
    <w:rsid w:val="00A83382"/>
    <w:rsid w:val="00A85A4A"/>
    <w:rsid w:val="00A91310"/>
    <w:rsid w:val="00A921DF"/>
    <w:rsid w:val="00A92725"/>
    <w:rsid w:val="00A97DE8"/>
    <w:rsid w:val="00AA293A"/>
    <w:rsid w:val="00AA39C3"/>
    <w:rsid w:val="00AB36E6"/>
    <w:rsid w:val="00AB4813"/>
    <w:rsid w:val="00AE1547"/>
    <w:rsid w:val="00AE4A3B"/>
    <w:rsid w:val="00AF101D"/>
    <w:rsid w:val="00B0429F"/>
    <w:rsid w:val="00B05456"/>
    <w:rsid w:val="00B05B02"/>
    <w:rsid w:val="00B151B1"/>
    <w:rsid w:val="00B15573"/>
    <w:rsid w:val="00B2125D"/>
    <w:rsid w:val="00B243A9"/>
    <w:rsid w:val="00B25943"/>
    <w:rsid w:val="00B25D14"/>
    <w:rsid w:val="00B329B4"/>
    <w:rsid w:val="00B5790C"/>
    <w:rsid w:val="00B65E0E"/>
    <w:rsid w:val="00B67BB0"/>
    <w:rsid w:val="00B77F6C"/>
    <w:rsid w:val="00B81A88"/>
    <w:rsid w:val="00B87ADF"/>
    <w:rsid w:val="00B91EAF"/>
    <w:rsid w:val="00B94E45"/>
    <w:rsid w:val="00BA0E31"/>
    <w:rsid w:val="00BA2E58"/>
    <w:rsid w:val="00BA4C37"/>
    <w:rsid w:val="00BA784D"/>
    <w:rsid w:val="00BB5C0C"/>
    <w:rsid w:val="00BB5E8F"/>
    <w:rsid w:val="00BC1306"/>
    <w:rsid w:val="00BE169E"/>
    <w:rsid w:val="00BE27C3"/>
    <w:rsid w:val="00BE67A0"/>
    <w:rsid w:val="00BF00F3"/>
    <w:rsid w:val="00C00954"/>
    <w:rsid w:val="00C00997"/>
    <w:rsid w:val="00C01BD3"/>
    <w:rsid w:val="00C23138"/>
    <w:rsid w:val="00C37233"/>
    <w:rsid w:val="00C43C21"/>
    <w:rsid w:val="00C47595"/>
    <w:rsid w:val="00C507CE"/>
    <w:rsid w:val="00C5571A"/>
    <w:rsid w:val="00C70E00"/>
    <w:rsid w:val="00C71F3C"/>
    <w:rsid w:val="00C94273"/>
    <w:rsid w:val="00CA2985"/>
    <w:rsid w:val="00CB1B6A"/>
    <w:rsid w:val="00CB32AF"/>
    <w:rsid w:val="00CC26B7"/>
    <w:rsid w:val="00CD3705"/>
    <w:rsid w:val="00CD77C0"/>
    <w:rsid w:val="00CE58D7"/>
    <w:rsid w:val="00D0127D"/>
    <w:rsid w:val="00D03252"/>
    <w:rsid w:val="00D04C7A"/>
    <w:rsid w:val="00D06481"/>
    <w:rsid w:val="00D067A6"/>
    <w:rsid w:val="00D111C4"/>
    <w:rsid w:val="00D16F81"/>
    <w:rsid w:val="00D20405"/>
    <w:rsid w:val="00D224B7"/>
    <w:rsid w:val="00D23D86"/>
    <w:rsid w:val="00D26F3E"/>
    <w:rsid w:val="00D303B9"/>
    <w:rsid w:val="00D54E7D"/>
    <w:rsid w:val="00D649A6"/>
    <w:rsid w:val="00D64C83"/>
    <w:rsid w:val="00D6552D"/>
    <w:rsid w:val="00D71808"/>
    <w:rsid w:val="00D72EEC"/>
    <w:rsid w:val="00D83ED2"/>
    <w:rsid w:val="00D849E4"/>
    <w:rsid w:val="00D84FF1"/>
    <w:rsid w:val="00D86BCC"/>
    <w:rsid w:val="00D90ABB"/>
    <w:rsid w:val="00D92C9C"/>
    <w:rsid w:val="00D93BDE"/>
    <w:rsid w:val="00D94330"/>
    <w:rsid w:val="00D975CC"/>
    <w:rsid w:val="00DA1039"/>
    <w:rsid w:val="00DA21AE"/>
    <w:rsid w:val="00DA3170"/>
    <w:rsid w:val="00DC4922"/>
    <w:rsid w:val="00DC77CA"/>
    <w:rsid w:val="00DD63B9"/>
    <w:rsid w:val="00DE1688"/>
    <w:rsid w:val="00DE1E71"/>
    <w:rsid w:val="00DF0255"/>
    <w:rsid w:val="00E027E3"/>
    <w:rsid w:val="00E02F45"/>
    <w:rsid w:val="00E0498C"/>
    <w:rsid w:val="00E124A6"/>
    <w:rsid w:val="00E148CB"/>
    <w:rsid w:val="00E2039C"/>
    <w:rsid w:val="00E31EB1"/>
    <w:rsid w:val="00E34FE4"/>
    <w:rsid w:val="00E36916"/>
    <w:rsid w:val="00E44CC6"/>
    <w:rsid w:val="00E52F47"/>
    <w:rsid w:val="00E6471F"/>
    <w:rsid w:val="00E654BD"/>
    <w:rsid w:val="00E734E3"/>
    <w:rsid w:val="00E74E37"/>
    <w:rsid w:val="00E80548"/>
    <w:rsid w:val="00E8262A"/>
    <w:rsid w:val="00E95F7C"/>
    <w:rsid w:val="00EA4532"/>
    <w:rsid w:val="00EA50F2"/>
    <w:rsid w:val="00EA5108"/>
    <w:rsid w:val="00EB16FB"/>
    <w:rsid w:val="00EB18E4"/>
    <w:rsid w:val="00EB7CDB"/>
    <w:rsid w:val="00EC5E9C"/>
    <w:rsid w:val="00ED218B"/>
    <w:rsid w:val="00ED2F30"/>
    <w:rsid w:val="00ED34FA"/>
    <w:rsid w:val="00ED4E56"/>
    <w:rsid w:val="00ED65C1"/>
    <w:rsid w:val="00EE08FB"/>
    <w:rsid w:val="00EE3859"/>
    <w:rsid w:val="00EE4538"/>
    <w:rsid w:val="00EF036E"/>
    <w:rsid w:val="00EF1127"/>
    <w:rsid w:val="00EF142E"/>
    <w:rsid w:val="00EF4360"/>
    <w:rsid w:val="00F02052"/>
    <w:rsid w:val="00F12037"/>
    <w:rsid w:val="00F12CD8"/>
    <w:rsid w:val="00F14CFA"/>
    <w:rsid w:val="00F162BE"/>
    <w:rsid w:val="00F32F70"/>
    <w:rsid w:val="00F33AB2"/>
    <w:rsid w:val="00F34A34"/>
    <w:rsid w:val="00F35F53"/>
    <w:rsid w:val="00F35FDC"/>
    <w:rsid w:val="00F41C53"/>
    <w:rsid w:val="00F44FBF"/>
    <w:rsid w:val="00F45429"/>
    <w:rsid w:val="00F552B4"/>
    <w:rsid w:val="00F6026A"/>
    <w:rsid w:val="00F61E44"/>
    <w:rsid w:val="00F7115E"/>
    <w:rsid w:val="00F72B40"/>
    <w:rsid w:val="00F76D95"/>
    <w:rsid w:val="00F80282"/>
    <w:rsid w:val="00F81DEF"/>
    <w:rsid w:val="00F87D63"/>
    <w:rsid w:val="00FA592D"/>
    <w:rsid w:val="00FA701D"/>
    <w:rsid w:val="00FA7F3B"/>
    <w:rsid w:val="00FB71E8"/>
    <w:rsid w:val="00FC0AF0"/>
    <w:rsid w:val="00FC1337"/>
    <w:rsid w:val="00FC73F7"/>
    <w:rsid w:val="00FD27DE"/>
    <w:rsid w:val="00FD3503"/>
    <w:rsid w:val="00FD520A"/>
    <w:rsid w:val="00FD58A3"/>
    <w:rsid w:val="00FE3AD9"/>
    <w:rsid w:val="00FE6F70"/>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6F3D8E-7890-4CDD-B305-7AE32693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1C65FE85-078D-4D29-A60C-0F81F672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4</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Qing Li</cp:lastModifiedBy>
  <cp:revision>14</cp:revision>
  <cp:lastPrinted>2002-04-23T07:10:00Z</cp:lastPrinted>
  <dcterms:created xsi:type="dcterms:W3CDTF">2018-11-02T19:46:00Z</dcterms:created>
  <dcterms:modified xsi:type="dcterms:W3CDTF">2019-01-12T03:30:00Z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