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B6FAF" w14:textId="59B459C8" w:rsidR="0056520D" w:rsidRPr="0056520D" w:rsidRDefault="0056520D" w:rsidP="0056520D">
      <w:pPr>
        <w:pStyle w:val="Header"/>
        <w:rPr>
          <w:lang w:val="de-DE"/>
        </w:rPr>
      </w:pPr>
      <w:r w:rsidRPr="0056520D">
        <w:rPr>
          <w:lang w:val="de-DE"/>
        </w:rPr>
        <w:t>3GPP TSG-RAN WG1</w:t>
      </w:r>
      <w:r w:rsidR="00E832CA">
        <w:rPr>
          <w:lang w:val="de-DE"/>
        </w:rPr>
        <w:t xml:space="preserve"> </w:t>
      </w:r>
      <w:r w:rsidR="00E832CA" w:rsidRPr="00EA06D5">
        <w:t>Ad-Hoc Meeting 1901</w:t>
      </w:r>
      <w:r w:rsidRPr="0056520D">
        <w:rPr>
          <w:lang w:val="de-DE"/>
        </w:rPr>
        <w:tab/>
      </w:r>
      <w:r>
        <w:rPr>
          <w:lang w:val="de-DE"/>
        </w:rPr>
        <w:tab/>
      </w:r>
      <w:r w:rsidR="009702CD">
        <w:rPr>
          <w:lang w:val="de-DE"/>
        </w:rPr>
        <w:t>R1-</w:t>
      </w:r>
      <w:r w:rsidR="00567BDB">
        <w:rPr>
          <w:lang w:val="de-DE"/>
        </w:rPr>
        <w:t>1</w:t>
      </w:r>
      <w:r w:rsidR="00567BDB">
        <w:rPr>
          <w:lang w:val="de-DE"/>
        </w:rPr>
        <w:t>901174</w:t>
      </w:r>
    </w:p>
    <w:p w14:paraId="68E8685C" w14:textId="77777777" w:rsidR="00467EDC" w:rsidRDefault="00E832CA" w:rsidP="00467EDC">
      <w:pPr>
        <w:pStyle w:val="Header"/>
        <w:rPr>
          <w:lang w:val="de-DE"/>
        </w:rPr>
      </w:pPr>
      <w:r>
        <w:rPr>
          <w:lang w:val="de-DE"/>
        </w:rPr>
        <w:t>Taipei</w:t>
      </w:r>
      <w:r w:rsidR="00467EDC">
        <w:rPr>
          <w:lang w:val="de-DE"/>
        </w:rPr>
        <w:t xml:space="preserve">, </w:t>
      </w:r>
      <w:r>
        <w:rPr>
          <w:lang w:val="de-DE"/>
        </w:rPr>
        <w:t>Taiwan</w:t>
      </w:r>
      <w:r w:rsidR="00467EDC" w:rsidRPr="0056520D">
        <w:rPr>
          <w:lang w:val="de-DE"/>
        </w:rPr>
        <w:t xml:space="preserve">, </w:t>
      </w:r>
      <w:r>
        <w:rPr>
          <w:lang w:val="de-DE"/>
        </w:rPr>
        <w:t>January</w:t>
      </w:r>
      <w:r w:rsidR="00467EDC">
        <w:rPr>
          <w:lang w:val="de-DE"/>
        </w:rPr>
        <w:t xml:space="preserve"> </w:t>
      </w:r>
      <w:r w:rsidR="0079089C">
        <w:rPr>
          <w:lang w:val="de-DE"/>
        </w:rPr>
        <w:t>2</w:t>
      </w:r>
      <w:r>
        <w:rPr>
          <w:lang w:val="de-DE"/>
        </w:rPr>
        <w:t>1</w:t>
      </w:r>
      <w:r w:rsidR="00467EDC">
        <w:rPr>
          <w:lang w:val="de-DE"/>
        </w:rPr>
        <w:t xml:space="preserve"> – </w:t>
      </w:r>
      <w:r w:rsidR="008A766A">
        <w:rPr>
          <w:lang w:val="de-DE"/>
        </w:rPr>
        <w:t>2</w:t>
      </w:r>
      <w:r>
        <w:rPr>
          <w:lang w:val="de-DE"/>
        </w:rPr>
        <w:t>5</w:t>
      </w:r>
      <w:r w:rsidR="00467EDC">
        <w:rPr>
          <w:lang w:val="de-DE"/>
        </w:rPr>
        <w:t>, 201</w:t>
      </w:r>
      <w:r>
        <w:rPr>
          <w:lang w:val="de-DE"/>
        </w:rPr>
        <w:t>9</w:t>
      </w:r>
    </w:p>
    <w:p w14:paraId="36F87ED1" w14:textId="77777777" w:rsidR="0056520D" w:rsidRPr="000833FA" w:rsidRDefault="0056520D" w:rsidP="0056520D">
      <w:pPr>
        <w:pStyle w:val="Header"/>
      </w:pPr>
    </w:p>
    <w:p w14:paraId="7625F941"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29D830F2" w14:textId="6C6F26E6" w:rsidR="00FE5799" w:rsidRPr="00E220C0" w:rsidRDefault="00FE5799" w:rsidP="00FE5799">
      <w:pPr>
        <w:pStyle w:val="Header"/>
        <w:tabs>
          <w:tab w:val="clear" w:pos="4536"/>
          <w:tab w:val="left" w:pos="1800"/>
        </w:tabs>
      </w:pPr>
      <w:r w:rsidRPr="0003368D">
        <w:t>Title:</w:t>
      </w:r>
      <w:bookmarkStart w:id="0" w:name="Title"/>
      <w:bookmarkEnd w:id="0"/>
      <w:r w:rsidRPr="0003368D">
        <w:tab/>
      </w:r>
      <w:r w:rsidR="007038E6">
        <w:t>Power Control for NR-NR DC</w:t>
      </w:r>
    </w:p>
    <w:p w14:paraId="65DA70FB" w14:textId="7922CFD1" w:rsidR="00FE5799" w:rsidRPr="00E220C0" w:rsidRDefault="00FE5799" w:rsidP="00FE5799">
      <w:pPr>
        <w:pStyle w:val="Header"/>
        <w:tabs>
          <w:tab w:val="left" w:pos="1800"/>
        </w:tabs>
      </w:pPr>
      <w:r w:rsidRPr="00E220C0">
        <w:t>Agenda Item:</w:t>
      </w:r>
      <w:bookmarkStart w:id="1" w:name="Source"/>
      <w:bookmarkEnd w:id="1"/>
      <w:r w:rsidRPr="00E220C0">
        <w:tab/>
      </w:r>
      <w:r w:rsidR="00927B9D">
        <w:t>7</w:t>
      </w:r>
      <w:r w:rsidR="00113113">
        <w:t>.</w:t>
      </w:r>
      <w:r w:rsidR="00E832CA">
        <w:t>2</w:t>
      </w:r>
      <w:r w:rsidR="00E329D8">
        <w:t>.</w:t>
      </w:r>
      <w:r w:rsidR="00E832CA">
        <w:t>13.</w:t>
      </w:r>
      <w:r w:rsidR="007038E6">
        <w:t>1</w:t>
      </w:r>
    </w:p>
    <w:p w14:paraId="082D2873" w14:textId="77777777" w:rsidR="00FE5799" w:rsidRPr="0003368D" w:rsidRDefault="00FE5799" w:rsidP="00FE5799">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47758065" w14:textId="77777777" w:rsidR="00FE5799" w:rsidRPr="002100D2" w:rsidRDefault="00FE5799" w:rsidP="00FE5799">
      <w:pPr>
        <w:pBdr>
          <w:bottom w:val="single" w:sz="4" w:space="1" w:color="auto"/>
        </w:pBdr>
        <w:tabs>
          <w:tab w:val="left" w:pos="2552"/>
        </w:tabs>
      </w:pPr>
    </w:p>
    <w:p w14:paraId="01CB7A83" w14:textId="77777777" w:rsidR="0056282E" w:rsidRDefault="0056282E" w:rsidP="00FE5799">
      <w:pPr>
        <w:pStyle w:val="Heading1"/>
        <w:spacing w:before="180"/>
        <w:ind w:left="562" w:hanging="562"/>
      </w:pPr>
      <w:r>
        <w:t>Introduction</w:t>
      </w:r>
    </w:p>
    <w:p w14:paraId="7627A291" w14:textId="03B33A7A" w:rsidR="008D5137" w:rsidRDefault="007038E6" w:rsidP="008D5137">
      <w:pPr>
        <w:pStyle w:val="BodyText"/>
        <w:rPr>
          <w:lang w:val="en-AU"/>
        </w:rPr>
      </w:pPr>
      <w:bookmarkStart w:id="3" w:name="_Ref178064866"/>
      <w:r>
        <w:rPr>
          <w:lang w:val="en-AU"/>
        </w:rPr>
        <w:t xml:space="preserve">Specifying power control for NR-NR DC </w:t>
      </w:r>
      <w:r w:rsidR="00E832CA">
        <w:rPr>
          <w:lang w:val="en-AU"/>
        </w:rPr>
        <w:t xml:space="preserve">is one of the objectives </w:t>
      </w:r>
      <w:r>
        <w:rPr>
          <w:lang w:val="en-AU"/>
        </w:rPr>
        <w:t xml:space="preserve">assigned to RAN1 </w:t>
      </w:r>
      <w:r w:rsidR="00A17307">
        <w:rPr>
          <w:lang w:val="en-AU"/>
        </w:rPr>
        <w:t>for</w:t>
      </w:r>
      <w:r w:rsidR="00E832CA">
        <w:rPr>
          <w:lang w:val="en-AU"/>
        </w:rPr>
        <w:t xml:space="preserve"> the MR-DC WI</w:t>
      </w:r>
      <w:r w:rsidR="000855BC">
        <w:rPr>
          <w:lang w:val="en-AU"/>
        </w:rPr>
        <w:t xml:space="preserve"> [1]</w:t>
      </w:r>
      <w:r w:rsidR="00E832CA">
        <w:rPr>
          <w:lang w:val="en-AU"/>
        </w:rPr>
        <w:t xml:space="preserve">. </w:t>
      </w:r>
    </w:p>
    <w:p w14:paraId="6994909B" w14:textId="2D34C662" w:rsidR="00E832CA" w:rsidRDefault="007038E6" w:rsidP="008D5137">
      <w:pPr>
        <w:pStyle w:val="BodyText"/>
        <w:rPr>
          <w:lang w:val="en-AU"/>
        </w:rPr>
      </w:pPr>
      <w:r>
        <w:rPr>
          <w:noProof/>
        </w:rPr>
        <w:drawing>
          <wp:inline distT="0" distB="0" distL="0" distR="0" wp14:anchorId="5CAB7B69" wp14:editId="1E9E4A78">
            <wp:extent cx="5760720" cy="9455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60720" cy="945515"/>
                    </a:xfrm>
                    <a:prstGeom prst="rect">
                      <a:avLst/>
                    </a:prstGeom>
                  </pic:spPr>
                </pic:pic>
              </a:graphicData>
            </a:graphic>
          </wp:inline>
        </w:drawing>
      </w:r>
    </w:p>
    <w:p w14:paraId="65168B2C" w14:textId="23328D85" w:rsidR="007038E6" w:rsidRDefault="007038E6" w:rsidP="007038E6">
      <w:pPr>
        <w:pStyle w:val="BodyText"/>
        <w:rPr>
          <w:lang w:val="en-AU"/>
        </w:rPr>
      </w:pPr>
      <w:r>
        <w:rPr>
          <w:lang w:val="en-AU"/>
        </w:rPr>
        <w:t>In this document we discuss initial framework NR-NR DC power control.</w:t>
      </w:r>
    </w:p>
    <w:bookmarkEnd w:id="3"/>
    <w:p w14:paraId="037C8BDD" w14:textId="77777777" w:rsidR="000A74B8" w:rsidRDefault="00113113" w:rsidP="000A74B8">
      <w:pPr>
        <w:pStyle w:val="Heading1"/>
      </w:pPr>
      <w:r>
        <w:t>Discussion</w:t>
      </w:r>
    </w:p>
    <w:p w14:paraId="5C0E52EF" w14:textId="0F9C3685" w:rsidR="00376F9D" w:rsidRDefault="007038E6" w:rsidP="00376F9D">
      <w:pPr>
        <w:pStyle w:val="Heading2"/>
        <w:rPr>
          <w:u w:val="single"/>
        </w:rPr>
      </w:pPr>
      <w:r>
        <w:rPr>
          <w:u w:val="single"/>
        </w:rPr>
        <w:t>Power Sharing for asynchronous NR (FR1) – NR (FR2) DC</w:t>
      </w:r>
    </w:p>
    <w:p w14:paraId="45664A8A" w14:textId="004660E9" w:rsidR="007038E6" w:rsidRDefault="007038E6" w:rsidP="007038E6">
      <w:pPr>
        <w:pStyle w:val="BodyText"/>
      </w:pPr>
    </w:p>
    <w:p w14:paraId="270076C7" w14:textId="5C8FE62B" w:rsidR="007038E6" w:rsidRDefault="007038E6" w:rsidP="007038E6">
      <w:pPr>
        <w:pStyle w:val="BodyText"/>
      </w:pPr>
      <w:r>
        <w:t xml:space="preserve">In RAN1#94, the following was </w:t>
      </w:r>
      <w:r w:rsidR="00017B23">
        <w:t xml:space="preserve">agreed </w:t>
      </w:r>
    </w:p>
    <w:p w14:paraId="3BF8696F" w14:textId="77777777" w:rsidR="00033108" w:rsidRPr="00033108" w:rsidRDefault="00033108" w:rsidP="00033108">
      <w:pPr>
        <w:ind w:left="1304"/>
        <w:rPr>
          <w:b/>
          <w:i/>
          <w:lang w:eastAsia="x-none"/>
        </w:rPr>
      </w:pPr>
      <w:r w:rsidRPr="00033108">
        <w:rPr>
          <w:b/>
          <w:i/>
          <w:highlight w:val="green"/>
          <w:lang w:eastAsia="x-none"/>
        </w:rPr>
        <w:t>Agreement</w:t>
      </w:r>
    </w:p>
    <w:p w14:paraId="43F1A476" w14:textId="77777777" w:rsidR="00033108" w:rsidRPr="00033108" w:rsidRDefault="00033108" w:rsidP="00033108">
      <w:pPr>
        <w:ind w:left="1304"/>
        <w:rPr>
          <w:i/>
          <w:szCs w:val="20"/>
        </w:rPr>
      </w:pPr>
      <w:bookmarkStart w:id="4" w:name="_Hlk534976290"/>
      <w:r w:rsidRPr="00033108">
        <w:rPr>
          <w:i/>
          <w:szCs w:val="20"/>
        </w:rPr>
        <w:t>In NR-NR DC where one cell group is in FR1 and the other in FR2, the two cell groups perform power control independently according to section 7 of 38.213</w:t>
      </w:r>
      <w:bookmarkEnd w:id="4"/>
      <w:r w:rsidRPr="00033108">
        <w:rPr>
          <w:i/>
          <w:szCs w:val="20"/>
        </w:rPr>
        <w:t>.</w:t>
      </w:r>
    </w:p>
    <w:p w14:paraId="283F143E" w14:textId="77777777" w:rsidR="00033108" w:rsidRPr="00033108" w:rsidRDefault="00033108" w:rsidP="00033108">
      <w:pPr>
        <w:numPr>
          <w:ilvl w:val="0"/>
          <w:numId w:val="27"/>
        </w:numPr>
        <w:ind w:left="2024"/>
        <w:rPr>
          <w:i/>
          <w:lang w:eastAsia="x-none"/>
        </w:rPr>
      </w:pPr>
      <w:r w:rsidRPr="00033108">
        <w:rPr>
          <w:i/>
          <w:lang w:eastAsia="x-none"/>
        </w:rPr>
        <w:t>Applies for synchronous NR-NR DC for late drop of Rel-15 per RAN agreement</w:t>
      </w:r>
    </w:p>
    <w:p w14:paraId="16F84C0B" w14:textId="77777777" w:rsidR="00033108" w:rsidRPr="00033108" w:rsidRDefault="00033108" w:rsidP="00033108">
      <w:pPr>
        <w:numPr>
          <w:ilvl w:val="0"/>
          <w:numId w:val="27"/>
        </w:numPr>
        <w:ind w:left="2024"/>
        <w:rPr>
          <w:i/>
          <w:lang w:eastAsia="x-none"/>
        </w:rPr>
      </w:pPr>
      <w:r w:rsidRPr="00033108">
        <w:rPr>
          <w:i/>
          <w:lang w:eastAsia="x-none"/>
        </w:rPr>
        <w:t>It is RAN1 understanding that a common power limit for FR1+FR2 is not defined in RAN4 specifications</w:t>
      </w:r>
    </w:p>
    <w:p w14:paraId="4E89FA57" w14:textId="77777777" w:rsidR="00033108" w:rsidRPr="00033108" w:rsidRDefault="00033108" w:rsidP="00033108">
      <w:pPr>
        <w:numPr>
          <w:ilvl w:val="0"/>
          <w:numId w:val="27"/>
        </w:numPr>
        <w:ind w:left="2024"/>
        <w:rPr>
          <w:i/>
          <w:lang w:eastAsia="x-none"/>
        </w:rPr>
      </w:pPr>
      <w:r w:rsidRPr="00033108">
        <w:rPr>
          <w:i/>
          <w:lang w:eastAsia="x-none"/>
        </w:rPr>
        <w:t>It is up to the editor to whether and how to capture the above</w:t>
      </w:r>
    </w:p>
    <w:p w14:paraId="1E55CC3A" w14:textId="7ACB6E87" w:rsidR="00033108" w:rsidRPr="00033108" w:rsidRDefault="00033108" w:rsidP="00033108">
      <w:pPr>
        <w:ind w:left="1304"/>
        <w:rPr>
          <w:i/>
          <w:lang w:eastAsia="x-none"/>
        </w:rPr>
      </w:pPr>
      <w:r w:rsidRPr="00033108">
        <w:rPr>
          <w:i/>
          <w:lang w:eastAsia="x-none"/>
        </w:rPr>
        <w:t xml:space="preserve">Send an LS to RAN4 to inform them of the above agreement </w:t>
      </w:r>
      <w:r w:rsidRPr="00033108">
        <w:rPr>
          <w:i/>
          <w:lang w:eastAsia="x-none"/>
        </w:rPr>
        <w:sym w:font="Wingdings" w:char="F0E0"/>
      </w:r>
      <w:r w:rsidRPr="00033108">
        <w:rPr>
          <w:i/>
          <w:lang w:eastAsia="x-none"/>
        </w:rPr>
        <w:t xml:space="preserve"> </w:t>
      </w:r>
      <w:r w:rsidRPr="00033108">
        <w:rPr>
          <w:i/>
          <w:highlight w:val="green"/>
          <w:lang w:eastAsia="x-none"/>
        </w:rPr>
        <w:t xml:space="preserve">LS is agreed in </w:t>
      </w:r>
      <w:hyperlink r:id="rId8" w:history="1">
        <w:r w:rsidRPr="00033108">
          <w:rPr>
            <w:rStyle w:val="Hyperlink"/>
            <w:i/>
            <w:highlight w:val="green"/>
            <w:lang w:eastAsia="x-none"/>
          </w:rPr>
          <w:t>R1-1809886</w:t>
        </w:r>
      </w:hyperlink>
    </w:p>
    <w:p w14:paraId="2EC7B8E4" w14:textId="77777777" w:rsidR="00092E4D" w:rsidRDefault="00092E4D" w:rsidP="00C05024">
      <w:pPr>
        <w:jc w:val="both"/>
      </w:pPr>
    </w:p>
    <w:p w14:paraId="2C9076C3" w14:textId="6519EDE1" w:rsidR="005B3DD7" w:rsidRDefault="00033108" w:rsidP="00C05024">
      <w:pPr>
        <w:jc w:val="both"/>
      </w:pPr>
      <w:r>
        <w:t xml:space="preserve">Under the assumption that </w:t>
      </w:r>
      <w:r w:rsidRPr="00033108">
        <w:t>a common power limit for FR1+FR2 is not defined in RAN4 specifications</w:t>
      </w:r>
      <w:r>
        <w:t>, the same power control framework agreed for synchronous NR(FR1)-NR(FR2) DC can also be applied for asynchronous NR(FR1)-NR(FR2) DC</w:t>
      </w:r>
      <w:r w:rsidR="00390207">
        <w:t xml:space="preserve">. </w:t>
      </w:r>
    </w:p>
    <w:p w14:paraId="21235347" w14:textId="633E9D70" w:rsidR="00FB63C3" w:rsidRDefault="00FB63C3" w:rsidP="00C05024">
      <w:pPr>
        <w:jc w:val="both"/>
      </w:pPr>
    </w:p>
    <w:p w14:paraId="1A98326E" w14:textId="662B3DF0" w:rsidR="00FB63C3" w:rsidRDefault="00FB63C3" w:rsidP="00FB63C3">
      <w:pPr>
        <w:jc w:val="both"/>
        <w:rPr>
          <w:b/>
          <w:u w:val="single"/>
        </w:rPr>
      </w:pPr>
      <w:r w:rsidRPr="00D154CE">
        <w:rPr>
          <w:b/>
          <w:u w:val="single"/>
        </w:rPr>
        <w:t>Proposal</w:t>
      </w:r>
      <w:r>
        <w:rPr>
          <w:b/>
          <w:u w:val="single"/>
        </w:rPr>
        <w:t xml:space="preserve"> 1</w:t>
      </w:r>
    </w:p>
    <w:p w14:paraId="23F40964" w14:textId="6418F5B3" w:rsidR="00FB63C3" w:rsidRDefault="00FB63C3" w:rsidP="00FB63C3">
      <w:pPr>
        <w:jc w:val="both"/>
        <w:rPr>
          <w:b/>
          <w:u w:val="single"/>
        </w:rPr>
      </w:pPr>
    </w:p>
    <w:p w14:paraId="2C96D2F5" w14:textId="7728F30B" w:rsidR="00FB63C3" w:rsidRDefault="00FB63C3" w:rsidP="00FB63C3">
      <w:pPr>
        <w:pStyle w:val="ListParagraph"/>
        <w:numPr>
          <w:ilvl w:val="0"/>
          <w:numId w:val="28"/>
        </w:numPr>
        <w:jc w:val="both"/>
      </w:pPr>
      <w:r>
        <w:t>For</w:t>
      </w:r>
      <w:r w:rsidRPr="00FB63C3">
        <w:t xml:space="preserve"> NR-NR DC </w:t>
      </w:r>
      <w:r>
        <w:t xml:space="preserve">asynchronous case, </w:t>
      </w:r>
      <w:r w:rsidRPr="00FB63C3">
        <w:t>whe</w:t>
      </w:r>
      <w:r>
        <w:t>n</w:t>
      </w:r>
      <w:r w:rsidRPr="00FB63C3">
        <w:t xml:space="preserve"> one cell group is in FR1 and the other in FR2, the two cell groups perform power control independently </w:t>
      </w:r>
      <w:r w:rsidR="00FD16CC">
        <w:t xml:space="preserve">(assuming </w:t>
      </w:r>
      <w:r w:rsidR="00FD16CC" w:rsidRPr="00FD16CC">
        <w:t>a common power limit for FR1+FR2 is not defined in RAN4 specifications)</w:t>
      </w:r>
      <w:r w:rsidR="00FD16CC">
        <w:t>.</w:t>
      </w:r>
    </w:p>
    <w:p w14:paraId="0E5729CA" w14:textId="23219CA9" w:rsidR="00FB63C3" w:rsidRDefault="00FB63C3" w:rsidP="00FB63C3">
      <w:pPr>
        <w:jc w:val="both"/>
      </w:pPr>
    </w:p>
    <w:p w14:paraId="69D5FFA0" w14:textId="4860623B" w:rsidR="00FB63C3" w:rsidRDefault="00FB63C3" w:rsidP="00FB63C3">
      <w:pPr>
        <w:pStyle w:val="Heading2"/>
        <w:rPr>
          <w:u w:val="single"/>
        </w:rPr>
      </w:pPr>
      <w:r>
        <w:rPr>
          <w:u w:val="single"/>
        </w:rPr>
        <w:t>Power Sharing for NR – NR DC</w:t>
      </w:r>
      <w:r w:rsidR="00092E4D">
        <w:rPr>
          <w:u w:val="single"/>
        </w:rPr>
        <w:t xml:space="preserve"> (same frequency range)</w:t>
      </w:r>
    </w:p>
    <w:p w14:paraId="5B83C97F" w14:textId="5AC70AE0" w:rsidR="00FB63C3" w:rsidRDefault="00FB63C3" w:rsidP="00FB63C3">
      <w:pPr>
        <w:jc w:val="both"/>
      </w:pPr>
    </w:p>
    <w:p w14:paraId="20F928F1" w14:textId="778BE4A7" w:rsidR="00FB63C3" w:rsidRDefault="00FB63C3" w:rsidP="00FB63C3">
      <w:pPr>
        <w:jc w:val="both"/>
      </w:pPr>
      <w:r>
        <w:t>For NR-NR DC where MCG and SCG are in same frequency range, power sharing framework for both synchronous and asynchronous cases needs to be specified as part of this Rel16 WI.</w:t>
      </w:r>
    </w:p>
    <w:p w14:paraId="4CCFCD62" w14:textId="5B070609" w:rsidR="00FB63C3" w:rsidRDefault="00FB63C3" w:rsidP="00FB63C3">
      <w:pPr>
        <w:jc w:val="both"/>
      </w:pPr>
    </w:p>
    <w:p w14:paraId="0CE3109B" w14:textId="7F5730C8" w:rsidR="0029409F" w:rsidRDefault="005F322A" w:rsidP="00FB63C3">
      <w:pPr>
        <w:jc w:val="both"/>
      </w:pPr>
      <w:r>
        <w:t xml:space="preserve">For this scenario, </w:t>
      </w:r>
      <w:r w:rsidR="00A9565E">
        <w:t xml:space="preserve">the </w:t>
      </w:r>
      <w:r w:rsidR="00913DD9">
        <w:t>power sharing schemes agreed for EN-DC</w:t>
      </w:r>
      <w:r w:rsidR="00A9565E">
        <w:t xml:space="preserve"> </w:t>
      </w:r>
      <w:r w:rsidR="00913DD9">
        <w:t>(</w:t>
      </w:r>
      <w:r w:rsidR="00A9565E">
        <w:t>when both LTE and NR are in FR1</w:t>
      </w:r>
      <w:r w:rsidR="00913DD9">
        <w:t>)</w:t>
      </w:r>
      <w:r w:rsidR="00A9565E">
        <w:t xml:space="preserve"> </w:t>
      </w:r>
      <w:r w:rsidR="00B6089B">
        <w:t>are applicable</w:t>
      </w:r>
      <w:r w:rsidR="00913DD9">
        <w:t xml:space="preserve"> also for NR-NR DC. However, </w:t>
      </w:r>
      <w:r w:rsidR="00F21F7D">
        <w:t xml:space="preserve">the </w:t>
      </w:r>
      <w:r w:rsidR="00913DD9">
        <w:t xml:space="preserve">EN-DC power sharing approaches had to </w:t>
      </w:r>
      <w:proofErr w:type="gramStart"/>
      <w:r w:rsidR="00913DD9">
        <w:t>take into account</w:t>
      </w:r>
      <w:proofErr w:type="gramEnd"/>
      <w:r w:rsidR="00913DD9">
        <w:t xml:space="preserve"> certain </w:t>
      </w:r>
      <w:r w:rsidR="0029409F">
        <w:t>implementation restrictions</w:t>
      </w:r>
      <w:r w:rsidR="00913DD9">
        <w:t xml:space="preserve"> that </w:t>
      </w:r>
      <w:r w:rsidR="0029409F">
        <w:t xml:space="preserve">may not be </w:t>
      </w:r>
      <w:r w:rsidR="00913DD9">
        <w:t xml:space="preserve">not </w:t>
      </w:r>
      <w:r w:rsidR="00B6089B">
        <w:t>be relevant</w:t>
      </w:r>
      <w:r w:rsidR="00913DD9">
        <w:t xml:space="preserve"> for NR-</w:t>
      </w:r>
      <w:r w:rsidR="0029409F">
        <w:t xml:space="preserve">NR DC. Two important </w:t>
      </w:r>
      <w:r w:rsidR="00C631E0">
        <w:t>aspects</w:t>
      </w:r>
      <w:r w:rsidR="0029409F">
        <w:t xml:space="preserve"> are discussed below</w:t>
      </w:r>
    </w:p>
    <w:p w14:paraId="29257636" w14:textId="77777777" w:rsidR="0029409F" w:rsidRDefault="0029409F" w:rsidP="00FB63C3">
      <w:pPr>
        <w:jc w:val="both"/>
      </w:pPr>
    </w:p>
    <w:p w14:paraId="60F9EC15" w14:textId="7210CD07" w:rsidR="002B3332" w:rsidRDefault="0029409F" w:rsidP="0029409F">
      <w:pPr>
        <w:jc w:val="both"/>
      </w:pPr>
      <w:r w:rsidRPr="0029409F">
        <w:rPr>
          <w:u w:val="single"/>
        </w:rPr>
        <w:t>Timeline restriction</w:t>
      </w:r>
      <w:r>
        <w:rPr>
          <w:u w:val="single"/>
        </w:rPr>
        <w:t>:</w:t>
      </w:r>
      <w:r w:rsidRPr="00F21F7D">
        <w:t xml:space="preserve"> </w:t>
      </w:r>
      <w:r w:rsidR="00F21F7D">
        <w:t>F</w:t>
      </w:r>
      <w:r w:rsidR="000064E4">
        <w:t>or EN-DC</w:t>
      </w:r>
      <w:r w:rsidR="00F21F7D">
        <w:t>,</w:t>
      </w:r>
      <w:r w:rsidR="000064E4">
        <w:t xml:space="preserve"> </w:t>
      </w:r>
      <w:r w:rsidR="0096318F">
        <w:t xml:space="preserve">the power sharing framework was based on the restriction that P1t (transmitted power for CG1) cannot be adjusted based on P2g (power required for CG2) if the UL grant for CG2 arrives later </w:t>
      </w:r>
      <w:r w:rsidR="0096318F">
        <w:lastRenderedPageBreak/>
        <w:t>than the UL grant for CG1. Th</w:t>
      </w:r>
      <w:r w:rsidR="00F21F7D">
        <w:t>e</w:t>
      </w:r>
      <w:r w:rsidR="0096318F">
        <w:t xml:space="preserve"> </w:t>
      </w:r>
      <w:r w:rsidR="003335F3">
        <w:t xml:space="preserve">intention behind this restriction was to allow LTE UE implementations without any </w:t>
      </w:r>
      <w:r w:rsidR="00F21F7D">
        <w:t>changes to UL power computation</w:t>
      </w:r>
      <w:r w:rsidR="003335F3">
        <w:t xml:space="preserve"> timeline.</w:t>
      </w:r>
      <w:r w:rsidR="0096318F">
        <w:t xml:space="preserve"> </w:t>
      </w:r>
      <w:r w:rsidR="003335F3">
        <w:t xml:space="preserve">However, for NR the timing between UL grant and corresponding PUSCH </w:t>
      </w:r>
      <w:r w:rsidR="002B3332">
        <w:t xml:space="preserve">is flexible </w:t>
      </w:r>
      <w:r w:rsidR="00697227">
        <w:t>and the UE</w:t>
      </w:r>
      <w:r w:rsidR="002B3332">
        <w:t xml:space="preserve"> </w:t>
      </w:r>
      <w:r w:rsidR="00F21F7D">
        <w:t xml:space="preserve">must </w:t>
      </w:r>
      <w:r w:rsidR="002B3332">
        <w:t>inherently</w:t>
      </w:r>
      <w:r w:rsidR="003335F3">
        <w:t xml:space="preserve"> </w:t>
      </w:r>
      <w:r w:rsidR="00697227">
        <w:t xml:space="preserve">support </w:t>
      </w:r>
      <w:r w:rsidR="003335F3">
        <w:t xml:space="preserve">a </w:t>
      </w:r>
      <w:r w:rsidR="002B3332">
        <w:t>variable</w:t>
      </w:r>
      <w:r w:rsidR="003335F3">
        <w:t xml:space="preserve"> timeline for transmission power computation. </w:t>
      </w:r>
      <w:r w:rsidR="002B3332">
        <w:t xml:space="preserve">Given this, the above timeline restriction may not be applicable to UEs configured with NR-NR DC. This aspect needs to be considered </w:t>
      </w:r>
      <w:r w:rsidR="00F21F7D">
        <w:t>for</w:t>
      </w:r>
      <w:r w:rsidR="002B3332">
        <w:t xml:space="preserve"> power control design.</w:t>
      </w:r>
    </w:p>
    <w:p w14:paraId="0B66FA75" w14:textId="77777777" w:rsidR="002B3332" w:rsidRDefault="002B3332" w:rsidP="0029409F">
      <w:pPr>
        <w:jc w:val="both"/>
      </w:pPr>
    </w:p>
    <w:p w14:paraId="75E4552B" w14:textId="535F1FD2" w:rsidR="00191AC7" w:rsidRDefault="00C631E0" w:rsidP="0029409F">
      <w:pPr>
        <w:jc w:val="both"/>
      </w:pPr>
      <w:r>
        <w:rPr>
          <w:u w:val="single"/>
        </w:rPr>
        <w:t>Semi-static power sharing mode</w:t>
      </w:r>
      <w:r w:rsidR="002B3332">
        <w:rPr>
          <w:u w:val="single"/>
        </w:rPr>
        <w:t xml:space="preserve">: </w:t>
      </w:r>
      <w:r w:rsidR="002B3332">
        <w:t xml:space="preserve">Rel15 EN-DC power control supported a </w:t>
      </w:r>
      <w:r w:rsidR="00403D5F">
        <w:t xml:space="preserve">separate </w:t>
      </w:r>
      <w:r w:rsidR="00B6089B">
        <w:t>capability</w:t>
      </w:r>
      <w:r w:rsidR="00403D5F">
        <w:t xml:space="preserve"> for </w:t>
      </w:r>
      <w:r w:rsidR="002B3332">
        <w:t xml:space="preserve">semi-static power sharing. This </w:t>
      </w:r>
      <w:r w:rsidR="00403D5F">
        <w:t xml:space="preserve">option </w:t>
      </w:r>
      <w:r w:rsidR="002B3332">
        <w:t>allowed simplified UE implementations that did not require fast communication</w:t>
      </w:r>
      <w:r w:rsidR="00191AC7">
        <w:t xml:space="preserve"> </w:t>
      </w:r>
      <w:r w:rsidR="00B6089B">
        <w:t xml:space="preserve">between </w:t>
      </w:r>
      <w:r w:rsidR="00191AC7">
        <w:t>MCG (LTE)</w:t>
      </w:r>
      <w:r w:rsidR="002B3332">
        <w:t xml:space="preserve"> and </w:t>
      </w:r>
      <w:r w:rsidR="00191AC7">
        <w:t>SCG (</w:t>
      </w:r>
      <w:r w:rsidR="002B3332">
        <w:t>NR</w:t>
      </w:r>
      <w:r w:rsidR="00191AC7">
        <w:t>)</w:t>
      </w:r>
      <w:r w:rsidR="002B3332">
        <w:t xml:space="preserve"> modules </w:t>
      </w:r>
      <w:r w:rsidR="00403D5F">
        <w:t>within</w:t>
      </w:r>
      <w:r w:rsidR="00191AC7">
        <w:t xml:space="preserve"> the UE. For NR-NR DC, </w:t>
      </w:r>
      <w:r w:rsidR="00324A03">
        <w:t xml:space="preserve">it is reasonable </w:t>
      </w:r>
      <w:r w:rsidR="00B62604">
        <w:t xml:space="preserve">to assume </w:t>
      </w:r>
      <w:r w:rsidR="00191AC7">
        <w:t>such communication as baseline. This was also the assumption for LTE-LTE DC in Rel12.</w:t>
      </w:r>
    </w:p>
    <w:p w14:paraId="62047AA8" w14:textId="77777777" w:rsidR="00191AC7" w:rsidRDefault="00191AC7" w:rsidP="0029409F">
      <w:pPr>
        <w:jc w:val="both"/>
      </w:pPr>
    </w:p>
    <w:p w14:paraId="31C0A83D" w14:textId="333006E5" w:rsidR="00191AC7" w:rsidRDefault="00191AC7" w:rsidP="00191AC7">
      <w:pPr>
        <w:jc w:val="both"/>
        <w:rPr>
          <w:b/>
          <w:u w:val="single"/>
        </w:rPr>
      </w:pPr>
      <w:r w:rsidRPr="00D154CE">
        <w:rPr>
          <w:b/>
          <w:u w:val="single"/>
        </w:rPr>
        <w:t>Proposal</w:t>
      </w:r>
      <w:r>
        <w:rPr>
          <w:b/>
          <w:u w:val="single"/>
        </w:rPr>
        <w:t xml:space="preserve"> 2</w:t>
      </w:r>
    </w:p>
    <w:p w14:paraId="54854014" w14:textId="16F824A5" w:rsidR="00191AC7" w:rsidRDefault="00191AC7" w:rsidP="00191AC7">
      <w:pPr>
        <w:jc w:val="both"/>
        <w:rPr>
          <w:b/>
          <w:u w:val="single"/>
        </w:rPr>
      </w:pPr>
    </w:p>
    <w:p w14:paraId="20296B05" w14:textId="6F872B4C" w:rsidR="00937971" w:rsidRPr="00937971" w:rsidRDefault="00191AC7" w:rsidP="00937971">
      <w:pPr>
        <w:pStyle w:val="ListParagraph"/>
        <w:numPr>
          <w:ilvl w:val="0"/>
          <w:numId w:val="28"/>
        </w:numPr>
        <w:jc w:val="both"/>
        <w:rPr>
          <w:b/>
          <w:u w:val="single"/>
        </w:rPr>
      </w:pPr>
      <w:r>
        <w:t xml:space="preserve">For NR-NR DC </w:t>
      </w:r>
      <w:r w:rsidR="00937971">
        <w:t xml:space="preserve">power control </w:t>
      </w:r>
      <w:r>
        <w:t>where MCG and SCG are in same frequency range</w:t>
      </w:r>
      <w:r w:rsidR="00937971">
        <w:t xml:space="preserve">, the following </w:t>
      </w:r>
      <w:r w:rsidR="00790405">
        <w:t xml:space="preserve">aspects </w:t>
      </w:r>
      <w:r w:rsidR="00937971">
        <w:t xml:space="preserve">should be considered </w:t>
      </w:r>
    </w:p>
    <w:p w14:paraId="25520E48" w14:textId="635E41EA" w:rsidR="00937971" w:rsidRDefault="00937971" w:rsidP="00937971">
      <w:pPr>
        <w:pStyle w:val="ListParagraph"/>
        <w:numPr>
          <w:ilvl w:val="0"/>
          <w:numId w:val="30"/>
        </w:numPr>
        <w:jc w:val="both"/>
      </w:pPr>
      <w:r>
        <w:t>P1t (transmitted power for CG1) can be adjusted based on P2g (power required for CG2) even if the UL grant for CG2 arrives later than the UL grant for CG1 (i.e., look ahead re</w:t>
      </w:r>
      <w:r w:rsidR="00790405">
        <w:t>striction</w:t>
      </w:r>
      <w:r>
        <w:t xml:space="preserve"> assumed for EN-DC power sharing </w:t>
      </w:r>
      <w:r w:rsidR="00D81C0C">
        <w:t>can be</w:t>
      </w:r>
      <w:r>
        <w:t xml:space="preserve"> rela</w:t>
      </w:r>
      <w:r w:rsidR="00790405">
        <w:t>xed for NR-NR DC</w:t>
      </w:r>
      <w:r>
        <w:t>)</w:t>
      </w:r>
    </w:p>
    <w:p w14:paraId="0AC02218" w14:textId="35E7381F" w:rsidR="00191AC7" w:rsidRPr="00790405" w:rsidRDefault="00790405" w:rsidP="00937971">
      <w:pPr>
        <w:pStyle w:val="ListParagraph"/>
        <w:numPr>
          <w:ilvl w:val="0"/>
          <w:numId w:val="30"/>
        </w:numPr>
        <w:jc w:val="both"/>
        <w:rPr>
          <w:b/>
          <w:u w:val="single"/>
        </w:rPr>
      </w:pPr>
      <w:r>
        <w:t xml:space="preserve">fast communication between MCG and SCG modules within the UE </w:t>
      </w:r>
      <w:r w:rsidR="0049134C">
        <w:t>can be</w:t>
      </w:r>
      <w:r>
        <w:t xml:space="preserve"> assumed as baseline (i.e., no need to specify a separate semi-static power sharing </w:t>
      </w:r>
      <w:r w:rsidR="00B6089B">
        <w:t>capability</w:t>
      </w:r>
      <w:r>
        <w:t>)</w:t>
      </w:r>
    </w:p>
    <w:p w14:paraId="7B1A845C" w14:textId="4263E219" w:rsidR="000B6507" w:rsidRDefault="000B6507" w:rsidP="001270EA"/>
    <w:p w14:paraId="79C4A1C9" w14:textId="77777777" w:rsidR="007A018A" w:rsidRDefault="007A018A" w:rsidP="007A018A">
      <w:pPr>
        <w:pStyle w:val="Heading1"/>
      </w:pPr>
      <w:r>
        <w:t>Conclusion</w:t>
      </w:r>
      <w:r w:rsidR="00026152">
        <w:t>s</w:t>
      </w:r>
    </w:p>
    <w:p w14:paraId="39AF2D91" w14:textId="617D672B" w:rsidR="003C7A68" w:rsidRPr="003C7A68" w:rsidRDefault="008847A2" w:rsidP="00124E0D">
      <w:pPr>
        <w:pStyle w:val="BodyText"/>
        <w:rPr>
          <w:lang w:val="en-AU"/>
        </w:rPr>
      </w:pPr>
      <w:r>
        <w:t xml:space="preserve">In this document, </w:t>
      </w:r>
      <w:r w:rsidR="007D4CBE">
        <w:t xml:space="preserve">we discuss </w:t>
      </w:r>
      <w:r w:rsidR="00790405">
        <w:rPr>
          <w:lang w:val="en-AU"/>
        </w:rPr>
        <w:t>initial framework NR-NR DC power control</w:t>
      </w:r>
      <w:r w:rsidR="003C7A68">
        <w:rPr>
          <w:lang w:val="en-AU"/>
        </w:rPr>
        <w:t xml:space="preserve"> and propose the following</w:t>
      </w:r>
    </w:p>
    <w:p w14:paraId="25C5974B" w14:textId="77777777" w:rsidR="00092E4D" w:rsidRDefault="00092E4D" w:rsidP="00092E4D">
      <w:pPr>
        <w:jc w:val="both"/>
        <w:rPr>
          <w:b/>
          <w:u w:val="single"/>
        </w:rPr>
      </w:pPr>
      <w:r w:rsidRPr="00D154CE">
        <w:rPr>
          <w:b/>
          <w:u w:val="single"/>
        </w:rPr>
        <w:t>Proposal</w:t>
      </w:r>
      <w:r>
        <w:rPr>
          <w:b/>
          <w:u w:val="single"/>
        </w:rPr>
        <w:t xml:space="preserve"> 1</w:t>
      </w:r>
    </w:p>
    <w:p w14:paraId="2849DE4E" w14:textId="77777777" w:rsidR="00092E4D" w:rsidRDefault="00092E4D" w:rsidP="00092E4D">
      <w:pPr>
        <w:jc w:val="both"/>
        <w:rPr>
          <w:b/>
          <w:u w:val="single"/>
        </w:rPr>
      </w:pPr>
      <w:bookmarkStart w:id="5" w:name="_GoBack"/>
      <w:bookmarkEnd w:id="5"/>
    </w:p>
    <w:p w14:paraId="34E229CF" w14:textId="636AAB03" w:rsidR="00092E4D" w:rsidRDefault="00092E4D" w:rsidP="00092E4D">
      <w:pPr>
        <w:pStyle w:val="ListParagraph"/>
        <w:numPr>
          <w:ilvl w:val="0"/>
          <w:numId w:val="28"/>
        </w:numPr>
        <w:jc w:val="both"/>
      </w:pPr>
      <w:r>
        <w:t>For</w:t>
      </w:r>
      <w:r w:rsidRPr="00FB63C3">
        <w:t xml:space="preserve"> NR-NR DC </w:t>
      </w:r>
      <w:r>
        <w:t xml:space="preserve">asynchronous case, </w:t>
      </w:r>
      <w:r w:rsidRPr="00FB63C3">
        <w:t>whe</w:t>
      </w:r>
      <w:r>
        <w:t>n</w:t>
      </w:r>
      <w:r w:rsidRPr="00FB63C3">
        <w:t xml:space="preserve"> one cell group is in FR1 and the other in FR2, the two cell groups perform power control independently </w:t>
      </w:r>
    </w:p>
    <w:p w14:paraId="0E2F7081" w14:textId="130425CE" w:rsidR="00092E4D" w:rsidRDefault="00092E4D" w:rsidP="00092E4D">
      <w:pPr>
        <w:jc w:val="both"/>
      </w:pPr>
    </w:p>
    <w:p w14:paraId="3BFF6D09" w14:textId="77777777" w:rsidR="00BA50BB" w:rsidRDefault="00BA50BB" w:rsidP="00BA50BB">
      <w:pPr>
        <w:jc w:val="both"/>
        <w:rPr>
          <w:b/>
          <w:u w:val="single"/>
        </w:rPr>
      </w:pPr>
      <w:r w:rsidRPr="00D154CE">
        <w:rPr>
          <w:b/>
          <w:u w:val="single"/>
        </w:rPr>
        <w:t>Proposal</w:t>
      </w:r>
      <w:r>
        <w:rPr>
          <w:b/>
          <w:u w:val="single"/>
        </w:rPr>
        <w:t xml:space="preserve"> 2</w:t>
      </w:r>
    </w:p>
    <w:p w14:paraId="5106B973" w14:textId="77777777" w:rsidR="00BA50BB" w:rsidRDefault="00BA50BB" w:rsidP="00BA50BB">
      <w:pPr>
        <w:jc w:val="both"/>
        <w:rPr>
          <w:b/>
          <w:u w:val="single"/>
        </w:rPr>
      </w:pPr>
    </w:p>
    <w:p w14:paraId="0A05600D" w14:textId="77777777" w:rsidR="00BA50BB" w:rsidRPr="00937971" w:rsidRDefault="00BA50BB" w:rsidP="00BA50BB">
      <w:pPr>
        <w:pStyle w:val="ListParagraph"/>
        <w:numPr>
          <w:ilvl w:val="0"/>
          <w:numId w:val="28"/>
        </w:numPr>
        <w:jc w:val="both"/>
        <w:rPr>
          <w:b/>
          <w:u w:val="single"/>
        </w:rPr>
      </w:pPr>
      <w:r>
        <w:t xml:space="preserve">For NR-NR DC power control where MCG and SCG are in same frequency range, the following aspects should be considered </w:t>
      </w:r>
    </w:p>
    <w:p w14:paraId="0B427C16" w14:textId="77777777" w:rsidR="00BA50BB" w:rsidRDefault="00BA50BB" w:rsidP="00BA50BB">
      <w:pPr>
        <w:pStyle w:val="ListParagraph"/>
        <w:numPr>
          <w:ilvl w:val="0"/>
          <w:numId w:val="30"/>
        </w:numPr>
        <w:jc w:val="both"/>
      </w:pPr>
      <w:r>
        <w:t>P1t (transmitted power for CG1) can be adjusted based on P2g (power required for CG2) even if the UL grant for CG2 arrives later than the UL grant for CG1 (i.e., look ahead restriction assumed for EN-DC power sharing can be relaxed for NR-NR DC)</w:t>
      </w:r>
    </w:p>
    <w:p w14:paraId="109F15A9" w14:textId="77777777" w:rsidR="00BA50BB" w:rsidRPr="00790405" w:rsidRDefault="00BA50BB" w:rsidP="00BA50BB">
      <w:pPr>
        <w:pStyle w:val="ListParagraph"/>
        <w:numPr>
          <w:ilvl w:val="0"/>
          <w:numId w:val="30"/>
        </w:numPr>
        <w:jc w:val="both"/>
        <w:rPr>
          <w:b/>
          <w:u w:val="single"/>
        </w:rPr>
      </w:pPr>
      <w:r>
        <w:t>fast communication between MCG and SCG modules within the UE can be assumed as baseline (i.e., no need to specify a separate semi-static power sharing capability)</w:t>
      </w:r>
    </w:p>
    <w:p w14:paraId="16CBF5A5" w14:textId="77777777" w:rsidR="00663DEE" w:rsidRDefault="00663DEE" w:rsidP="00663DEE">
      <w:pPr>
        <w:pStyle w:val="Heading1"/>
      </w:pPr>
      <w:r>
        <w:t>References</w:t>
      </w:r>
    </w:p>
    <w:p w14:paraId="17C252AA" w14:textId="38C127A0" w:rsidR="00EB3C7A" w:rsidRPr="00092E4D" w:rsidRDefault="001140A2" w:rsidP="00092E4D">
      <w:pPr>
        <w:pStyle w:val="BodyText"/>
      </w:pPr>
      <w:r w:rsidRPr="00DA3D01">
        <w:t>[</w:t>
      </w:r>
      <w:r w:rsidR="00F81355" w:rsidRPr="00DA3D01">
        <w:t>1</w:t>
      </w:r>
      <w:r w:rsidRPr="00DA3D01">
        <w:t>] R</w:t>
      </w:r>
      <w:r w:rsidR="003C7A68">
        <w:t>P</w:t>
      </w:r>
      <w:r w:rsidRPr="00DA3D01">
        <w:t>-18</w:t>
      </w:r>
      <w:r w:rsidR="003C7A68">
        <w:t>2076</w:t>
      </w:r>
      <w:r w:rsidRPr="00DA3D01">
        <w:t xml:space="preserve"> – “</w:t>
      </w:r>
      <w:r w:rsidR="003746C8" w:rsidRPr="003746C8">
        <w:t>WID on Multi-RAT Dual-Connectivity and Carrier Aggregation enhancements</w:t>
      </w:r>
      <w:r w:rsidRPr="00DA3D01">
        <w:t xml:space="preserve">”, </w:t>
      </w:r>
      <w:r w:rsidR="008E155B" w:rsidRPr="008E155B">
        <w:t>Ericsson, Nokia, Nokia Shanghai Bell, Huawei</w:t>
      </w:r>
      <w:r w:rsidR="008E155B">
        <w:t xml:space="preserve">, </w:t>
      </w:r>
      <w:r w:rsidRPr="00DA3D01">
        <w:t>RAN#</w:t>
      </w:r>
      <w:r w:rsidR="008E155B">
        <w:t>81</w:t>
      </w:r>
      <w:r w:rsidRPr="00DA3D01">
        <w:t xml:space="preserve">, </w:t>
      </w:r>
      <w:r w:rsidR="008E155B">
        <w:t>Gold coast</w:t>
      </w:r>
      <w:r w:rsidRPr="00DA3D01">
        <w:t xml:space="preserve">, </w:t>
      </w:r>
      <w:r w:rsidR="008E155B">
        <w:t>Australia</w:t>
      </w:r>
      <w:r w:rsidRPr="00DA3D01">
        <w:t xml:space="preserve">, </w:t>
      </w:r>
      <w:r w:rsidR="008E155B">
        <w:t>September</w:t>
      </w:r>
      <w:r w:rsidRPr="00DA3D01">
        <w:t xml:space="preserve"> 2018.</w:t>
      </w:r>
    </w:p>
    <w:sectPr w:rsidR="00EB3C7A" w:rsidRPr="00092E4D">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C5943" w14:textId="77777777" w:rsidR="00D93AA1" w:rsidRDefault="00D93AA1">
      <w:r>
        <w:separator/>
      </w:r>
    </w:p>
  </w:endnote>
  <w:endnote w:type="continuationSeparator" w:id="0">
    <w:p w14:paraId="056495CE" w14:textId="77777777" w:rsidR="00D93AA1" w:rsidRDefault="00D93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92862" w14:textId="77777777" w:rsidR="00D93AA1" w:rsidRDefault="00D93AA1">
      <w:r>
        <w:separator/>
      </w:r>
    </w:p>
  </w:footnote>
  <w:footnote w:type="continuationSeparator" w:id="0">
    <w:p w14:paraId="280245E4" w14:textId="77777777" w:rsidR="00D93AA1" w:rsidRDefault="00D93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FD37F" w14:textId="77777777" w:rsidR="00E832CA" w:rsidRDefault="00E832CA" w:rsidP="00C44D46">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A2CA1"/>
    <w:multiLevelType w:val="hybridMultilevel"/>
    <w:tmpl w:val="A1527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96C"/>
    <w:multiLevelType w:val="hybridMultilevel"/>
    <w:tmpl w:val="E9E6A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0585"/>
    <w:multiLevelType w:val="hybridMultilevel"/>
    <w:tmpl w:val="EEE0C22A"/>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 w15:restartNumberingAfterBreak="0">
    <w:nsid w:val="10857F33"/>
    <w:multiLevelType w:val="hybridMultilevel"/>
    <w:tmpl w:val="563A78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7281AD9"/>
    <w:multiLevelType w:val="hybridMultilevel"/>
    <w:tmpl w:val="5AFAC0E8"/>
    <w:lvl w:ilvl="0" w:tplc="6FE87FB8">
      <w:start w:val="1"/>
      <w:numFmt w:val="lowerLetter"/>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7" w15:restartNumberingAfterBreak="0">
    <w:nsid w:val="242F6397"/>
    <w:multiLevelType w:val="hybridMultilevel"/>
    <w:tmpl w:val="E972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497D8C"/>
    <w:multiLevelType w:val="hybridMultilevel"/>
    <w:tmpl w:val="519A1B0E"/>
    <w:lvl w:ilvl="0" w:tplc="04090001">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275F47"/>
    <w:multiLevelType w:val="hybridMultilevel"/>
    <w:tmpl w:val="43521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start w:val="1"/>
      <w:numFmt w:val="bullet"/>
      <w:lvlText w:val="o"/>
      <w:lvlJc w:val="left"/>
      <w:pPr>
        <w:tabs>
          <w:tab w:val="num" w:pos="4014"/>
        </w:tabs>
        <w:ind w:left="4014" w:hanging="360"/>
      </w:pPr>
      <w:rPr>
        <w:rFonts w:ascii="Courier New" w:hAnsi="Courier New" w:cs="Courier New" w:hint="default"/>
      </w:rPr>
    </w:lvl>
    <w:lvl w:ilvl="5" w:tplc="08090005">
      <w:start w:val="1"/>
      <w:numFmt w:val="bullet"/>
      <w:lvlText w:val=""/>
      <w:lvlJc w:val="left"/>
      <w:pPr>
        <w:tabs>
          <w:tab w:val="num" w:pos="4734"/>
        </w:tabs>
        <w:ind w:left="4734" w:hanging="360"/>
      </w:pPr>
      <w:rPr>
        <w:rFonts w:ascii="Wingdings" w:hAnsi="Wingdings" w:hint="default"/>
      </w:rPr>
    </w:lvl>
    <w:lvl w:ilvl="6" w:tplc="08090001">
      <w:start w:val="1"/>
      <w:numFmt w:val="bullet"/>
      <w:lvlText w:val=""/>
      <w:lvlJc w:val="left"/>
      <w:pPr>
        <w:tabs>
          <w:tab w:val="num" w:pos="5454"/>
        </w:tabs>
        <w:ind w:left="5454" w:hanging="360"/>
      </w:pPr>
      <w:rPr>
        <w:rFonts w:ascii="Symbol" w:hAnsi="Symbol" w:hint="default"/>
      </w:rPr>
    </w:lvl>
    <w:lvl w:ilvl="7" w:tplc="08090003">
      <w:start w:val="1"/>
      <w:numFmt w:val="bullet"/>
      <w:lvlText w:val="o"/>
      <w:lvlJc w:val="left"/>
      <w:pPr>
        <w:tabs>
          <w:tab w:val="num" w:pos="6174"/>
        </w:tabs>
        <w:ind w:left="6174" w:hanging="360"/>
      </w:pPr>
      <w:rPr>
        <w:rFonts w:ascii="Courier New" w:hAnsi="Courier New" w:cs="Courier New" w:hint="default"/>
      </w:rPr>
    </w:lvl>
    <w:lvl w:ilvl="8" w:tplc="08090005">
      <w:start w:val="1"/>
      <w:numFmt w:val="bullet"/>
      <w:lvlText w:val=""/>
      <w:lvlJc w:val="left"/>
      <w:pPr>
        <w:tabs>
          <w:tab w:val="num" w:pos="6894"/>
        </w:tabs>
        <w:ind w:left="6894"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043128"/>
    <w:multiLevelType w:val="hybridMultilevel"/>
    <w:tmpl w:val="C7746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1C450B"/>
    <w:multiLevelType w:val="hybridMultilevel"/>
    <w:tmpl w:val="15D26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F51D96"/>
    <w:multiLevelType w:val="hybridMultilevel"/>
    <w:tmpl w:val="7BD40B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20455F0"/>
    <w:multiLevelType w:val="hybridMultilevel"/>
    <w:tmpl w:val="5C046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452A44"/>
    <w:multiLevelType w:val="hybridMultilevel"/>
    <w:tmpl w:val="5AFAC0E8"/>
    <w:lvl w:ilvl="0" w:tplc="6FE87FB8">
      <w:start w:val="1"/>
      <w:numFmt w:val="lowerLetter"/>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19"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0" w15:restartNumberingAfterBreak="0">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BE1F55"/>
    <w:multiLevelType w:val="hybridMultilevel"/>
    <w:tmpl w:val="5EC89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BA6115"/>
    <w:multiLevelType w:val="hybridMultilevel"/>
    <w:tmpl w:val="54967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3B6B43"/>
    <w:multiLevelType w:val="hybridMultilevel"/>
    <w:tmpl w:val="FDDEB2A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5" w15:restartNumberingAfterBreak="0">
    <w:nsid w:val="6B0D1EB9"/>
    <w:multiLevelType w:val="hybridMultilevel"/>
    <w:tmpl w:val="C5C80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281578"/>
    <w:multiLevelType w:val="hybridMultilevel"/>
    <w:tmpl w:val="5E9CE55C"/>
    <w:lvl w:ilvl="0" w:tplc="081D0001">
      <w:start w:val="1"/>
      <w:numFmt w:val="bullet"/>
      <w:lvlText w:val=""/>
      <w:lvlJc w:val="left"/>
      <w:pPr>
        <w:ind w:left="1080" w:hanging="360"/>
      </w:pPr>
      <w:rPr>
        <w:rFonts w:ascii="Symbol" w:hAnsi="Symbol" w:hint="default"/>
      </w:rPr>
    </w:lvl>
    <w:lvl w:ilvl="1" w:tplc="081D0003">
      <w:start w:val="1"/>
      <w:numFmt w:val="bullet"/>
      <w:lvlText w:val="o"/>
      <w:lvlJc w:val="left"/>
      <w:pPr>
        <w:ind w:left="1800" w:hanging="360"/>
      </w:pPr>
      <w:rPr>
        <w:rFonts w:ascii="Courier New" w:hAnsi="Courier New" w:cs="Courier New" w:hint="default"/>
      </w:rPr>
    </w:lvl>
    <w:lvl w:ilvl="2" w:tplc="081D0005">
      <w:start w:val="1"/>
      <w:numFmt w:val="bullet"/>
      <w:lvlText w:val=""/>
      <w:lvlJc w:val="left"/>
      <w:pPr>
        <w:ind w:left="2520" w:hanging="360"/>
      </w:pPr>
      <w:rPr>
        <w:rFonts w:ascii="Wingdings" w:hAnsi="Wingdings" w:hint="default"/>
      </w:rPr>
    </w:lvl>
    <w:lvl w:ilvl="3" w:tplc="081D0001">
      <w:start w:val="1"/>
      <w:numFmt w:val="bullet"/>
      <w:lvlText w:val=""/>
      <w:lvlJc w:val="left"/>
      <w:pPr>
        <w:ind w:left="3240" w:hanging="360"/>
      </w:pPr>
      <w:rPr>
        <w:rFonts w:ascii="Symbol" w:hAnsi="Symbol" w:hint="default"/>
      </w:rPr>
    </w:lvl>
    <w:lvl w:ilvl="4" w:tplc="081D0003" w:tentative="1">
      <w:start w:val="1"/>
      <w:numFmt w:val="bullet"/>
      <w:lvlText w:val="o"/>
      <w:lvlJc w:val="left"/>
      <w:pPr>
        <w:ind w:left="3960" w:hanging="360"/>
      </w:pPr>
      <w:rPr>
        <w:rFonts w:ascii="Courier New" w:hAnsi="Courier New" w:cs="Courier New" w:hint="default"/>
      </w:rPr>
    </w:lvl>
    <w:lvl w:ilvl="5" w:tplc="081D0005" w:tentative="1">
      <w:start w:val="1"/>
      <w:numFmt w:val="bullet"/>
      <w:lvlText w:val=""/>
      <w:lvlJc w:val="left"/>
      <w:pPr>
        <w:ind w:left="4680" w:hanging="360"/>
      </w:pPr>
      <w:rPr>
        <w:rFonts w:ascii="Wingdings" w:hAnsi="Wingdings" w:hint="default"/>
      </w:rPr>
    </w:lvl>
    <w:lvl w:ilvl="6" w:tplc="081D0001" w:tentative="1">
      <w:start w:val="1"/>
      <w:numFmt w:val="bullet"/>
      <w:lvlText w:val=""/>
      <w:lvlJc w:val="left"/>
      <w:pPr>
        <w:ind w:left="5400" w:hanging="360"/>
      </w:pPr>
      <w:rPr>
        <w:rFonts w:ascii="Symbol" w:hAnsi="Symbol" w:hint="default"/>
      </w:rPr>
    </w:lvl>
    <w:lvl w:ilvl="7" w:tplc="081D0003" w:tentative="1">
      <w:start w:val="1"/>
      <w:numFmt w:val="bullet"/>
      <w:lvlText w:val="o"/>
      <w:lvlJc w:val="left"/>
      <w:pPr>
        <w:ind w:left="6120" w:hanging="360"/>
      </w:pPr>
      <w:rPr>
        <w:rFonts w:ascii="Courier New" w:hAnsi="Courier New" w:cs="Courier New" w:hint="default"/>
      </w:rPr>
    </w:lvl>
    <w:lvl w:ilvl="8" w:tplc="081D0005" w:tentative="1">
      <w:start w:val="1"/>
      <w:numFmt w:val="bullet"/>
      <w:lvlText w:val=""/>
      <w:lvlJc w:val="left"/>
      <w:pPr>
        <w:ind w:left="6840" w:hanging="360"/>
      </w:pPr>
      <w:rPr>
        <w:rFonts w:ascii="Wingdings" w:hAnsi="Wingdings" w:hint="default"/>
      </w:rPr>
    </w:lvl>
  </w:abstractNum>
  <w:abstractNum w:abstractNumId="27"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start w:val="1"/>
      <w:numFmt w:val="bullet"/>
      <w:lvlText w:val=""/>
      <w:lvlJc w:val="left"/>
      <w:pPr>
        <w:ind w:left="2663" w:hanging="420"/>
      </w:pPr>
      <w:rPr>
        <w:rFonts w:ascii="Wingdings" w:hAnsi="Wingdings" w:hint="default"/>
      </w:rPr>
    </w:lvl>
    <w:lvl w:ilvl="5" w:tplc="0409000D">
      <w:start w:val="1"/>
      <w:numFmt w:val="bullet"/>
      <w:lvlText w:val=""/>
      <w:lvlJc w:val="left"/>
      <w:pPr>
        <w:ind w:left="3083" w:hanging="420"/>
      </w:pPr>
      <w:rPr>
        <w:rFonts w:ascii="Wingdings" w:hAnsi="Wingdings" w:hint="default"/>
      </w:rPr>
    </w:lvl>
    <w:lvl w:ilvl="6" w:tplc="04090001">
      <w:start w:val="1"/>
      <w:numFmt w:val="bullet"/>
      <w:lvlText w:val=""/>
      <w:lvlJc w:val="left"/>
      <w:pPr>
        <w:ind w:left="3503" w:hanging="420"/>
      </w:pPr>
      <w:rPr>
        <w:rFonts w:ascii="Wingdings" w:hAnsi="Wingdings" w:hint="default"/>
      </w:rPr>
    </w:lvl>
    <w:lvl w:ilvl="7" w:tplc="0409000B">
      <w:start w:val="1"/>
      <w:numFmt w:val="bullet"/>
      <w:lvlText w:val=""/>
      <w:lvlJc w:val="left"/>
      <w:pPr>
        <w:ind w:left="3923" w:hanging="420"/>
      </w:pPr>
      <w:rPr>
        <w:rFonts w:ascii="Wingdings" w:hAnsi="Wingdings" w:hint="default"/>
      </w:rPr>
    </w:lvl>
    <w:lvl w:ilvl="8" w:tplc="0409000D">
      <w:start w:val="1"/>
      <w:numFmt w:val="bullet"/>
      <w:lvlText w:val=""/>
      <w:lvlJc w:val="left"/>
      <w:pPr>
        <w:ind w:left="4343" w:hanging="420"/>
      </w:pPr>
      <w:rPr>
        <w:rFonts w:ascii="Wingdings" w:hAnsi="Wingdings" w:hint="default"/>
      </w:rPr>
    </w:lvl>
  </w:abstractNum>
  <w:abstractNum w:abstractNumId="28" w15:restartNumberingAfterBreak="0">
    <w:nsid w:val="796E37B7"/>
    <w:multiLevelType w:val="hybridMultilevel"/>
    <w:tmpl w:val="3C142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9"/>
  </w:num>
  <w:num w:numId="2">
    <w:abstractNumId w:val="11"/>
  </w:num>
  <w:num w:numId="3">
    <w:abstractNumId w:val="16"/>
  </w:num>
  <w:num w:numId="4">
    <w:abstractNumId w:val="20"/>
  </w:num>
  <w:num w:numId="5">
    <w:abstractNumId w:val="12"/>
  </w:num>
  <w:num w:numId="6">
    <w:abstractNumId w:val="5"/>
  </w:num>
  <w:num w:numId="7">
    <w:abstractNumId w:val="17"/>
  </w:num>
  <w:num w:numId="8">
    <w:abstractNumId w:val="8"/>
  </w:num>
  <w:num w:numId="9">
    <w:abstractNumId w:val="0"/>
  </w:num>
  <w:num w:numId="10">
    <w:abstractNumId w:val="3"/>
  </w:num>
  <w:num w:numId="11">
    <w:abstractNumId w:val="19"/>
  </w:num>
  <w:num w:numId="12">
    <w:abstractNumId w:val="24"/>
  </w:num>
  <w:num w:numId="13">
    <w:abstractNumId w:val="23"/>
  </w:num>
  <w:num w:numId="14">
    <w:abstractNumId w:val="26"/>
  </w:num>
  <w:num w:numId="15">
    <w:abstractNumId w:val="21"/>
  </w:num>
  <w:num w:numId="16">
    <w:abstractNumId w:val="1"/>
  </w:num>
  <w:num w:numId="17">
    <w:abstractNumId w:val="2"/>
  </w:num>
  <w:num w:numId="18">
    <w:abstractNumId w:val="13"/>
  </w:num>
  <w:num w:numId="19">
    <w:abstractNumId w:val="7"/>
  </w:num>
  <w:num w:numId="20">
    <w:abstractNumId w:val="10"/>
  </w:num>
  <w:num w:numId="21">
    <w:abstractNumId w:val="27"/>
  </w:num>
  <w:num w:numId="22">
    <w:abstractNumId w:val="27"/>
  </w:num>
  <w:num w:numId="23">
    <w:abstractNumId w:val="25"/>
  </w:num>
  <w:num w:numId="24">
    <w:abstractNumId w:val="22"/>
  </w:num>
  <w:num w:numId="25">
    <w:abstractNumId w:val="28"/>
  </w:num>
  <w:num w:numId="26">
    <w:abstractNumId w:val="15"/>
  </w:num>
  <w:num w:numId="27">
    <w:abstractNumId w:val="14"/>
  </w:num>
  <w:num w:numId="28">
    <w:abstractNumId w:val="9"/>
  </w:num>
  <w:num w:numId="29">
    <w:abstractNumId w:val="4"/>
  </w:num>
  <w:num w:numId="30">
    <w:abstractNumId w:val="18"/>
  </w:num>
  <w:num w:numId="3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de-DE" w:vendorID="64" w:dllVersion="0" w:nlCheck="1" w:checkStyle="0"/>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2556"/>
    <w:rsid w:val="000058EA"/>
    <w:rsid w:val="000064E4"/>
    <w:rsid w:val="00010021"/>
    <w:rsid w:val="00011C74"/>
    <w:rsid w:val="000128FC"/>
    <w:rsid w:val="00014EA0"/>
    <w:rsid w:val="00017B23"/>
    <w:rsid w:val="000217F8"/>
    <w:rsid w:val="00021F71"/>
    <w:rsid w:val="000249BD"/>
    <w:rsid w:val="00026152"/>
    <w:rsid w:val="00026794"/>
    <w:rsid w:val="00033108"/>
    <w:rsid w:val="000339BF"/>
    <w:rsid w:val="00034A85"/>
    <w:rsid w:val="000374E8"/>
    <w:rsid w:val="000376D7"/>
    <w:rsid w:val="00037C51"/>
    <w:rsid w:val="00041947"/>
    <w:rsid w:val="0004251E"/>
    <w:rsid w:val="00042B95"/>
    <w:rsid w:val="00043940"/>
    <w:rsid w:val="00047833"/>
    <w:rsid w:val="00054BF6"/>
    <w:rsid w:val="00055C3F"/>
    <w:rsid w:val="00056F8C"/>
    <w:rsid w:val="000634C0"/>
    <w:rsid w:val="0006366A"/>
    <w:rsid w:val="00063E6B"/>
    <w:rsid w:val="00077EFD"/>
    <w:rsid w:val="00084446"/>
    <w:rsid w:val="000855BC"/>
    <w:rsid w:val="00086EAD"/>
    <w:rsid w:val="0009038A"/>
    <w:rsid w:val="00091120"/>
    <w:rsid w:val="00092E4D"/>
    <w:rsid w:val="000944E4"/>
    <w:rsid w:val="00096460"/>
    <w:rsid w:val="000A18A9"/>
    <w:rsid w:val="000A258F"/>
    <w:rsid w:val="000A4E5A"/>
    <w:rsid w:val="000A74B8"/>
    <w:rsid w:val="000B017B"/>
    <w:rsid w:val="000B1CAD"/>
    <w:rsid w:val="000B45EF"/>
    <w:rsid w:val="000B5E4E"/>
    <w:rsid w:val="000B6206"/>
    <w:rsid w:val="000B6507"/>
    <w:rsid w:val="000B7036"/>
    <w:rsid w:val="000C02AC"/>
    <w:rsid w:val="000C294C"/>
    <w:rsid w:val="000C49ED"/>
    <w:rsid w:val="000C4A37"/>
    <w:rsid w:val="000D0970"/>
    <w:rsid w:val="000D0B30"/>
    <w:rsid w:val="000E395D"/>
    <w:rsid w:val="000E4B95"/>
    <w:rsid w:val="000F6195"/>
    <w:rsid w:val="0010025E"/>
    <w:rsid w:val="001013A4"/>
    <w:rsid w:val="001018DF"/>
    <w:rsid w:val="001027FF"/>
    <w:rsid w:val="00105036"/>
    <w:rsid w:val="00112E18"/>
    <w:rsid w:val="00113113"/>
    <w:rsid w:val="001131F7"/>
    <w:rsid w:val="001140A2"/>
    <w:rsid w:val="00114B6A"/>
    <w:rsid w:val="00115B55"/>
    <w:rsid w:val="00120E84"/>
    <w:rsid w:val="00124E0D"/>
    <w:rsid w:val="001270EA"/>
    <w:rsid w:val="00131DE4"/>
    <w:rsid w:val="00137769"/>
    <w:rsid w:val="00141448"/>
    <w:rsid w:val="00142260"/>
    <w:rsid w:val="0014474B"/>
    <w:rsid w:val="001464AC"/>
    <w:rsid w:val="001471D9"/>
    <w:rsid w:val="00154C8E"/>
    <w:rsid w:val="001601F1"/>
    <w:rsid w:val="00160407"/>
    <w:rsid w:val="00162F9B"/>
    <w:rsid w:val="001642BA"/>
    <w:rsid w:val="001657AC"/>
    <w:rsid w:val="0016645B"/>
    <w:rsid w:val="00171B31"/>
    <w:rsid w:val="0017310F"/>
    <w:rsid w:val="0017358C"/>
    <w:rsid w:val="00175D32"/>
    <w:rsid w:val="00180134"/>
    <w:rsid w:val="0018365D"/>
    <w:rsid w:val="00191AC7"/>
    <w:rsid w:val="00191E60"/>
    <w:rsid w:val="00196C6F"/>
    <w:rsid w:val="001A6C40"/>
    <w:rsid w:val="001B4110"/>
    <w:rsid w:val="001B66ED"/>
    <w:rsid w:val="001B7D17"/>
    <w:rsid w:val="001C04C3"/>
    <w:rsid w:val="001C0EE0"/>
    <w:rsid w:val="001C4118"/>
    <w:rsid w:val="001C5ABF"/>
    <w:rsid w:val="001C5CE9"/>
    <w:rsid w:val="001D33B3"/>
    <w:rsid w:val="001D4398"/>
    <w:rsid w:val="001D5808"/>
    <w:rsid w:val="001E21F6"/>
    <w:rsid w:val="001E5785"/>
    <w:rsid w:val="001F1207"/>
    <w:rsid w:val="001F2D9F"/>
    <w:rsid w:val="001F5526"/>
    <w:rsid w:val="001F7FB8"/>
    <w:rsid w:val="002029F5"/>
    <w:rsid w:val="00203121"/>
    <w:rsid w:val="00204921"/>
    <w:rsid w:val="00205AF2"/>
    <w:rsid w:val="00210105"/>
    <w:rsid w:val="0021013F"/>
    <w:rsid w:val="00212F01"/>
    <w:rsid w:val="002131B0"/>
    <w:rsid w:val="00214784"/>
    <w:rsid w:val="00214ECF"/>
    <w:rsid w:val="00215911"/>
    <w:rsid w:val="00220D91"/>
    <w:rsid w:val="0022145D"/>
    <w:rsid w:val="0022555C"/>
    <w:rsid w:val="0022659E"/>
    <w:rsid w:val="00227C72"/>
    <w:rsid w:val="00230AE5"/>
    <w:rsid w:val="0023314F"/>
    <w:rsid w:val="00243F21"/>
    <w:rsid w:val="00255221"/>
    <w:rsid w:val="002552B2"/>
    <w:rsid w:val="00255E5D"/>
    <w:rsid w:val="0025780D"/>
    <w:rsid w:val="00257C69"/>
    <w:rsid w:val="00257D9E"/>
    <w:rsid w:val="00260E2E"/>
    <w:rsid w:val="002634F0"/>
    <w:rsid w:val="00264D4E"/>
    <w:rsid w:val="00266937"/>
    <w:rsid w:val="002673ED"/>
    <w:rsid w:val="00276840"/>
    <w:rsid w:val="00282A0D"/>
    <w:rsid w:val="0028777D"/>
    <w:rsid w:val="00290099"/>
    <w:rsid w:val="00290F9F"/>
    <w:rsid w:val="0029409F"/>
    <w:rsid w:val="002A13E7"/>
    <w:rsid w:val="002A1D8F"/>
    <w:rsid w:val="002A31FC"/>
    <w:rsid w:val="002B139C"/>
    <w:rsid w:val="002B3332"/>
    <w:rsid w:val="002B3B98"/>
    <w:rsid w:val="002B5439"/>
    <w:rsid w:val="002B5E78"/>
    <w:rsid w:val="002C0453"/>
    <w:rsid w:val="002C0933"/>
    <w:rsid w:val="002C121A"/>
    <w:rsid w:val="002C3A4F"/>
    <w:rsid w:val="002D0AB6"/>
    <w:rsid w:val="002D7413"/>
    <w:rsid w:val="002E3642"/>
    <w:rsid w:val="002E3CAB"/>
    <w:rsid w:val="002E6A70"/>
    <w:rsid w:val="002F3F91"/>
    <w:rsid w:val="002F4A02"/>
    <w:rsid w:val="00300147"/>
    <w:rsid w:val="00300221"/>
    <w:rsid w:val="00304706"/>
    <w:rsid w:val="00310287"/>
    <w:rsid w:val="00312CEF"/>
    <w:rsid w:val="0031422F"/>
    <w:rsid w:val="00315E1D"/>
    <w:rsid w:val="00317CFE"/>
    <w:rsid w:val="00323753"/>
    <w:rsid w:val="00324829"/>
    <w:rsid w:val="00324A03"/>
    <w:rsid w:val="003263D3"/>
    <w:rsid w:val="00331C9A"/>
    <w:rsid w:val="003335F3"/>
    <w:rsid w:val="00335CE1"/>
    <w:rsid w:val="003410DC"/>
    <w:rsid w:val="00343A18"/>
    <w:rsid w:val="00346938"/>
    <w:rsid w:val="00347030"/>
    <w:rsid w:val="00350180"/>
    <w:rsid w:val="00351AE2"/>
    <w:rsid w:val="00354D94"/>
    <w:rsid w:val="00361CA8"/>
    <w:rsid w:val="00363390"/>
    <w:rsid w:val="00363EBF"/>
    <w:rsid w:val="003729CE"/>
    <w:rsid w:val="003746C8"/>
    <w:rsid w:val="003756BE"/>
    <w:rsid w:val="00376F9D"/>
    <w:rsid w:val="0038144A"/>
    <w:rsid w:val="003875A3"/>
    <w:rsid w:val="00390207"/>
    <w:rsid w:val="00397027"/>
    <w:rsid w:val="003A1432"/>
    <w:rsid w:val="003A1F9F"/>
    <w:rsid w:val="003A2C54"/>
    <w:rsid w:val="003A3E47"/>
    <w:rsid w:val="003A4AD8"/>
    <w:rsid w:val="003A7113"/>
    <w:rsid w:val="003B4771"/>
    <w:rsid w:val="003B515B"/>
    <w:rsid w:val="003B5644"/>
    <w:rsid w:val="003B6C67"/>
    <w:rsid w:val="003C040C"/>
    <w:rsid w:val="003C0BC9"/>
    <w:rsid w:val="003C4CC8"/>
    <w:rsid w:val="003C71AB"/>
    <w:rsid w:val="003C7A68"/>
    <w:rsid w:val="003D14C4"/>
    <w:rsid w:val="003E003F"/>
    <w:rsid w:val="003E1836"/>
    <w:rsid w:val="003E2560"/>
    <w:rsid w:val="003F2472"/>
    <w:rsid w:val="00403D5F"/>
    <w:rsid w:val="0040411A"/>
    <w:rsid w:val="004067C0"/>
    <w:rsid w:val="004161BF"/>
    <w:rsid w:val="004165C9"/>
    <w:rsid w:val="004217B5"/>
    <w:rsid w:val="00422F7B"/>
    <w:rsid w:val="004240DE"/>
    <w:rsid w:val="00437ACB"/>
    <w:rsid w:val="00442C5A"/>
    <w:rsid w:val="00443E1F"/>
    <w:rsid w:val="00445DB1"/>
    <w:rsid w:val="00446E8F"/>
    <w:rsid w:val="00460BA2"/>
    <w:rsid w:val="00462A51"/>
    <w:rsid w:val="00462ED8"/>
    <w:rsid w:val="00466724"/>
    <w:rsid w:val="00467EDC"/>
    <w:rsid w:val="004827A2"/>
    <w:rsid w:val="004837C7"/>
    <w:rsid w:val="0049134C"/>
    <w:rsid w:val="00492A78"/>
    <w:rsid w:val="004972C3"/>
    <w:rsid w:val="004A20E3"/>
    <w:rsid w:val="004B1A5E"/>
    <w:rsid w:val="004B2CA0"/>
    <w:rsid w:val="004B36A1"/>
    <w:rsid w:val="004B411A"/>
    <w:rsid w:val="004B57FD"/>
    <w:rsid w:val="004B7A4E"/>
    <w:rsid w:val="004C321E"/>
    <w:rsid w:val="004C4387"/>
    <w:rsid w:val="004D4E56"/>
    <w:rsid w:val="004D5111"/>
    <w:rsid w:val="004D7360"/>
    <w:rsid w:val="004E4C82"/>
    <w:rsid w:val="004E5255"/>
    <w:rsid w:val="004E66EF"/>
    <w:rsid w:val="004E70DB"/>
    <w:rsid w:val="00502923"/>
    <w:rsid w:val="00505EC1"/>
    <w:rsid w:val="005068F4"/>
    <w:rsid w:val="00511453"/>
    <w:rsid w:val="005119B0"/>
    <w:rsid w:val="00522205"/>
    <w:rsid w:val="00525253"/>
    <w:rsid w:val="00525807"/>
    <w:rsid w:val="00525831"/>
    <w:rsid w:val="005258E7"/>
    <w:rsid w:val="00525911"/>
    <w:rsid w:val="005260BE"/>
    <w:rsid w:val="005278F6"/>
    <w:rsid w:val="00537B4C"/>
    <w:rsid w:val="005412A4"/>
    <w:rsid w:val="0054164C"/>
    <w:rsid w:val="00541E43"/>
    <w:rsid w:val="00543494"/>
    <w:rsid w:val="0054555D"/>
    <w:rsid w:val="005520EE"/>
    <w:rsid w:val="0055264E"/>
    <w:rsid w:val="00554025"/>
    <w:rsid w:val="00562170"/>
    <w:rsid w:val="0056282E"/>
    <w:rsid w:val="00563B19"/>
    <w:rsid w:val="0056520D"/>
    <w:rsid w:val="00566F92"/>
    <w:rsid w:val="00567BDB"/>
    <w:rsid w:val="00570330"/>
    <w:rsid w:val="00570BCE"/>
    <w:rsid w:val="00573F5C"/>
    <w:rsid w:val="00577E4D"/>
    <w:rsid w:val="00580842"/>
    <w:rsid w:val="00580D67"/>
    <w:rsid w:val="00580F30"/>
    <w:rsid w:val="0058194C"/>
    <w:rsid w:val="00587AD2"/>
    <w:rsid w:val="005903E9"/>
    <w:rsid w:val="00593548"/>
    <w:rsid w:val="00594C69"/>
    <w:rsid w:val="00596700"/>
    <w:rsid w:val="005A0E80"/>
    <w:rsid w:val="005A1935"/>
    <w:rsid w:val="005A200F"/>
    <w:rsid w:val="005A2873"/>
    <w:rsid w:val="005A4D1F"/>
    <w:rsid w:val="005A5BAF"/>
    <w:rsid w:val="005B0522"/>
    <w:rsid w:val="005B123C"/>
    <w:rsid w:val="005B2B11"/>
    <w:rsid w:val="005B3DD7"/>
    <w:rsid w:val="005B4012"/>
    <w:rsid w:val="005B7098"/>
    <w:rsid w:val="005C439D"/>
    <w:rsid w:val="005C5556"/>
    <w:rsid w:val="005D0A4E"/>
    <w:rsid w:val="005D3281"/>
    <w:rsid w:val="005D39C4"/>
    <w:rsid w:val="005D67F9"/>
    <w:rsid w:val="005E0AF0"/>
    <w:rsid w:val="005E2BCF"/>
    <w:rsid w:val="005E43AA"/>
    <w:rsid w:val="005E43C0"/>
    <w:rsid w:val="005F24BC"/>
    <w:rsid w:val="005F3136"/>
    <w:rsid w:val="005F322A"/>
    <w:rsid w:val="005F4785"/>
    <w:rsid w:val="005F4B6C"/>
    <w:rsid w:val="005F4F8A"/>
    <w:rsid w:val="005F57CF"/>
    <w:rsid w:val="005F74F6"/>
    <w:rsid w:val="0060203F"/>
    <w:rsid w:val="00605CD2"/>
    <w:rsid w:val="00607EEE"/>
    <w:rsid w:val="0061070F"/>
    <w:rsid w:val="00610767"/>
    <w:rsid w:val="0061162E"/>
    <w:rsid w:val="0061336B"/>
    <w:rsid w:val="00613D63"/>
    <w:rsid w:val="00625696"/>
    <w:rsid w:val="00625D6C"/>
    <w:rsid w:val="006263BF"/>
    <w:rsid w:val="0062673F"/>
    <w:rsid w:val="00627EC4"/>
    <w:rsid w:val="00630CE5"/>
    <w:rsid w:val="006348C5"/>
    <w:rsid w:val="00636F01"/>
    <w:rsid w:val="00637AD0"/>
    <w:rsid w:val="0064164A"/>
    <w:rsid w:val="00643A16"/>
    <w:rsid w:val="00650EDF"/>
    <w:rsid w:val="00652A2C"/>
    <w:rsid w:val="006549E5"/>
    <w:rsid w:val="006554E1"/>
    <w:rsid w:val="006556BF"/>
    <w:rsid w:val="006616B6"/>
    <w:rsid w:val="00661BD3"/>
    <w:rsid w:val="00663DEE"/>
    <w:rsid w:val="0066438B"/>
    <w:rsid w:val="00665D1F"/>
    <w:rsid w:val="00665E2A"/>
    <w:rsid w:val="0066622A"/>
    <w:rsid w:val="0067026D"/>
    <w:rsid w:val="00670FD9"/>
    <w:rsid w:val="00672F4E"/>
    <w:rsid w:val="00673BBB"/>
    <w:rsid w:val="00676C2D"/>
    <w:rsid w:val="00681CFE"/>
    <w:rsid w:val="00682148"/>
    <w:rsid w:val="00694868"/>
    <w:rsid w:val="00696AE8"/>
    <w:rsid w:val="00696B3F"/>
    <w:rsid w:val="00697227"/>
    <w:rsid w:val="006A286A"/>
    <w:rsid w:val="006A4578"/>
    <w:rsid w:val="006B12B7"/>
    <w:rsid w:val="006B271B"/>
    <w:rsid w:val="006B49B1"/>
    <w:rsid w:val="006B52F6"/>
    <w:rsid w:val="006C3316"/>
    <w:rsid w:val="006C4DF9"/>
    <w:rsid w:val="006C6DDA"/>
    <w:rsid w:val="006D397D"/>
    <w:rsid w:val="006D788C"/>
    <w:rsid w:val="006E0D45"/>
    <w:rsid w:val="006F2E3D"/>
    <w:rsid w:val="006F75C2"/>
    <w:rsid w:val="006F7BB6"/>
    <w:rsid w:val="007038E6"/>
    <w:rsid w:val="0071094E"/>
    <w:rsid w:val="00714D20"/>
    <w:rsid w:val="00715DD1"/>
    <w:rsid w:val="0072282D"/>
    <w:rsid w:val="00723690"/>
    <w:rsid w:val="00726A12"/>
    <w:rsid w:val="00726C96"/>
    <w:rsid w:val="007304E1"/>
    <w:rsid w:val="00730CBC"/>
    <w:rsid w:val="007358D3"/>
    <w:rsid w:val="00741E68"/>
    <w:rsid w:val="00745767"/>
    <w:rsid w:val="00746EC8"/>
    <w:rsid w:val="007474D7"/>
    <w:rsid w:val="00747D24"/>
    <w:rsid w:val="007502D6"/>
    <w:rsid w:val="007506C7"/>
    <w:rsid w:val="0075384C"/>
    <w:rsid w:val="00755AE4"/>
    <w:rsid w:val="007563CC"/>
    <w:rsid w:val="007569CA"/>
    <w:rsid w:val="00757619"/>
    <w:rsid w:val="00757EA9"/>
    <w:rsid w:val="00762DF4"/>
    <w:rsid w:val="0076348D"/>
    <w:rsid w:val="00765320"/>
    <w:rsid w:val="00765485"/>
    <w:rsid w:val="007658A1"/>
    <w:rsid w:val="0077121F"/>
    <w:rsid w:val="00772E36"/>
    <w:rsid w:val="00777330"/>
    <w:rsid w:val="0078435A"/>
    <w:rsid w:val="00784A3F"/>
    <w:rsid w:val="00790405"/>
    <w:rsid w:val="0079089C"/>
    <w:rsid w:val="0079167F"/>
    <w:rsid w:val="00794DA9"/>
    <w:rsid w:val="00796F68"/>
    <w:rsid w:val="0079742F"/>
    <w:rsid w:val="00797D82"/>
    <w:rsid w:val="007A018A"/>
    <w:rsid w:val="007A01C0"/>
    <w:rsid w:val="007A25F0"/>
    <w:rsid w:val="007A2C14"/>
    <w:rsid w:val="007A6C01"/>
    <w:rsid w:val="007A7C1A"/>
    <w:rsid w:val="007B0A12"/>
    <w:rsid w:val="007B56F8"/>
    <w:rsid w:val="007B5BF3"/>
    <w:rsid w:val="007C159C"/>
    <w:rsid w:val="007C217E"/>
    <w:rsid w:val="007C3936"/>
    <w:rsid w:val="007C72C0"/>
    <w:rsid w:val="007C7C69"/>
    <w:rsid w:val="007C7E65"/>
    <w:rsid w:val="007D4CBE"/>
    <w:rsid w:val="007D5C0A"/>
    <w:rsid w:val="007D6833"/>
    <w:rsid w:val="007E2C96"/>
    <w:rsid w:val="007E361D"/>
    <w:rsid w:val="007F1741"/>
    <w:rsid w:val="007F3F65"/>
    <w:rsid w:val="00800AFA"/>
    <w:rsid w:val="00811541"/>
    <w:rsid w:val="00815566"/>
    <w:rsid w:val="008246D0"/>
    <w:rsid w:val="00824DB3"/>
    <w:rsid w:val="00826C31"/>
    <w:rsid w:val="008302A2"/>
    <w:rsid w:val="0083401B"/>
    <w:rsid w:val="00834DE7"/>
    <w:rsid w:val="0083523B"/>
    <w:rsid w:val="0083689E"/>
    <w:rsid w:val="00836E6C"/>
    <w:rsid w:val="00840BC6"/>
    <w:rsid w:val="00841BE8"/>
    <w:rsid w:val="008428F6"/>
    <w:rsid w:val="00843FE9"/>
    <w:rsid w:val="00845F9D"/>
    <w:rsid w:val="00852208"/>
    <w:rsid w:val="00854EA0"/>
    <w:rsid w:val="0086087F"/>
    <w:rsid w:val="008739DF"/>
    <w:rsid w:val="00880D27"/>
    <w:rsid w:val="008822F4"/>
    <w:rsid w:val="008847A2"/>
    <w:rsid w:val="00885853"/>
    <w:rsid w:val="00885DEB"/>
    <w:rsid w:val="0089228F"/>
    <w:rsid w:val="00895275"/>
    <w:rsid w:val="008A0B64"/>
    <w:rsid w:val="008A3AF2"/>
    <w:rsid w:val="008A42AF"/>
    <w:rsid w:val="008A766A"/>
    <w:rsid w:val="008B1B81"/>
    <w:rsid w:val="008B23D4"/>
    <w:rsid w:val="008B29A3"/>
    <w:rsid w:val="008B38BA"/>
    <w:rsid w:val="008B6594"/>
    <w:rsid w:val="008B72B5"/>
    <w:rsid w:val="008C3B31"/>
    <w:rsid w:val="008C5291"/>
    <w:rsid w:val="008C67A2"/>
    <w:rsid w:val="008C7431"/>
    <w:rsid w:val="008D1E1F"/>
    <w:rsid w:val="008D245B"/>
    <w:rsid w:val="008D5137"/>
    <w:rsid w:val="008D5A95"/>
    <w:rsid w:val="008E155B"/>
    <w:rsid w:val="008E1713"/>
    <w:rsid w:val="008E2308"/>
    <w:rsid w:val="008E2334"/>
    <w:rsid w:val="008E31D2"/>
    <w:rsid w:val="008E5F2A"/>
    <w:rsid w:val="008E6502"/>
    <w:rsid w:val="008E7AA2"/>
    <w:rsid w:val="008F141B"/>
    <w:rsid w:val="008F258A"/>
    <w:rsid w:val="008F4C53"/>
    <w:rsid w:val="008F69BB"/>
    <w:rsid w:val="008F77A7"/>
    <w:rsid w:val="008F78F4"/>
    <w:rsid w:val="00900126"/>
    <w:rsid w:val="00901394"/>
    <w:rsid w:val="0090481E"/>
    <w:rsid w:val="0091224C"/>
    <w:rsid w:val="00912AB6"/>
    <w:rsid w:val="00913DD9"/>
    <w:rsid w:val="0091488F"/>
    <w:rsid w:val="00915932"/>
    <w:rsid w:val="00916947"/>
    <w:rsid w:val="009171F1"/>
    <w:rsid w:val="00917C1A"/>
    <w:rsid w:val="00925DF3"/>
    <w:rsid w:val="00927B9D"/>
    <w:rsid w:val="00937971"/>
    <w:rsid w:val="00940959"/>
    <w:rsid w:val="00944B89"/>
    <w:rsid w:val="00950DEA"/>
    <w:rsid w:val="009549B6"/>
    <w:rsid w:val="00957C49"/>
    <w:rsid w:val="0096027F"/>
    <w:rsid w:val="00960E16"/>
    <w:rsid w:val="0096318F"/>
    <w:rsid w:val="00967ED1"/>
    <w:rsid w:val="009702CD"/>
    <w:rsid w:val="00970632"/>
    <w:rsid w:val="009707F9"/>
    <w:rsid w:val="00973F63"/>
    <w:rsid w:val="00973F8C"/>
    <w:rsid w:val="0097401A"/>
    <w:rsid w:val="009742BF"/>
    <w:rsid w:val="00976421"/>
    <w:rsid w:val="00977B9E"/>
    <w:rsid w:val="00981F4F"/>
    <w:rsid w:val="00984022"/>
    <w:rsid w:val="009845C6"/>
    <w:rsid w:val="00985B73"/>
    <w:rsid w:val="00987CDC"/>
    <w:rsid w:val="00993B8B"/>
    <w:rsid w:val="00995048"/>
    <w:rsid w:val="00997D4D"/>
    <w:rsid w:val="009A1C1D"/>
    <w:rsid w:val="009A6BB8"/>
    <w:rsid w:val="009A7E9E"/>
    <w:rsid w:val="009B122D"/>
    <w:rsid w:val="009B2E48"/>
    <w:rsid w:val="009C05D5"/>
    <w:rsid w:val="009C60EA"/>
    <w:rsid w:val="009D3405"/>
    <w:rsid w:val="009D3649"/>
    <w:rsid w:val="009E324F"/>
    <w:rsid w:val="009E4F34"/>
    <w:rsid w:val="009E70EF"/>
    <w:rsid w:val="009F0F87"/>
    <w:rsid w:val="009F4079"/>
    <w:rsid w:val="00A04388"/>
    <w:rsid w:val="00A10CC9"/>
    <w:rsid w:val="00A10F85"/>
    <w:rsid w:val="00A17307"/>
    <w:rsid w:val="00A25022"/>
    <w:rsid w:val="00A2540F"/>
    <w:rsid w:val="00A3059E"/>
    <w:rsid w:val="00A3080D"/>
    <w:rsid w:val="00A321D8"/>
    <w:rsid w:val="00A33BC0"/>
    <w:rsid w:val="00A36FE0"/>
    <w:rsid w:val="00A37001"/>
    <w:rsid w:val="00A37C74"/>
    <w:rsid w:val="00A41E84"/>
    <w:rsid w:val="00A44A4F"/>
    <w:rsid w:val="00A44F86"/>
    <w:rsid w:val="00A47015"/>
    <w:rsid w:val="00A52E52"/>
    <w:rsid w:val="00A57560"/>
    <w:rsid w:val="00A677A0"/>
    <w:rsid w:val="00A7428A"/>
    <w:rsid w:val="00A757B8"/>
    <w:rsid w:val="00A808F6"/>
    <w:rsid w:val="00A81AA1"/>
    <w:rsid w:val="00A81EFF"/>
    <w:rsid w:val="00A82899"/>
    <w:rsid w:val="00A838B7"/>
    <w:rsid w:val="00A85E54"/>
    <w:rsid w:val="00A93AEC"/>
    <w:rsid w:val="00A942ED"/>
    <w:rsid w:val="00A9431A"/>
    <w:rsid w:val="00A94C24"/>
    <w:rsid w:val="00A9565E"/>
    <w:rsid w:val="00A96ABD"/>
    <w:rsid w:val="00A96BEA"/>
    <w:rsid w:val="00AA0A42"/>
    <w:rsid w:val="00AA13EF"/>
    <w:rsid w:val="00AA7952"/>
    <w:rsid w:val="00AB4558"/>
    <w:rsid w:val="00AB51E7"/>
    <w:rsid w:val="00AB6372"/>
    <w:rsid w:val="00AB7A25"/>
    <w:rsid w:val="00AC2A5F"/>
    <w:rsid w:val="00AC3289"/>
    <w:rsid w:val="00AC40A2"/>
    <w:rsid w:val="00AC5D0F"/>
    <w:rsid w:val="00AD125F"/>
    <w:rsid w:val="00AD1DBA"/>
    <w:rsid w:val="00AD2FE3"/>
    <w:rsid w:val="00AD4321"/>
    <w:rsid w:val="00AD59DE"/>
    <w:rsid w:val="00AD5F57"/>
    <w:rsid w:val="00AE3947"/>
    <w:rsid w:val="00AE5141"/>
    <w:rsid w:val="00AE6102"/>
    <w:rsid w:val="00AE64FA"/>
    <w:rsid w:val="00AE7791"/>
    <w:rsid w:val="00AE7A97"/>
    <w:rsid w:val="00AF518D"/>
    <w:rsid w:val="00AF5DAC"/>
    <w:rsid w:val="00AF7D8D"/>
    <w:rsid w:val="00B00FDB"/>
    <w:rsid w:val="00B07741"/>
    <w:rsid w:val="00B10BAD"/>
    <w:rsid w:val="00B11BA8"/>
    <w:rsid w:val="00B15ABA"/>
    <w:rsid w:val="00B15BA9"/>
    <w:rsid w:val="00B20E35"/>
    <w:rsid w:val="00B20FBD"/>
    <w:rsid w:val="00B255FC"/>
    <w:rsid w:val="00B334D3"/>
    <w:rsid w:val="00B34FDB"/>
    <w:rsid w:val="00B36811"/>
    <w:rsid w:val="00B368D9"/>
    <w:rsid w:val="00B421E3"/>
    <w:rsid w:val="00B42F5C"/>
    <w:rsid w:val="00B43C47"/>
    <w:rsid w:val="00B45AA1"/>
    <w:rsid w:val="00B52C5F"/>
    <w:rsid w:val="00B540ED"/>
    <w:rsid w:val="00B5516A"/>
    <w:rsid w:val="00B6042B"/>
    <w:rsid w:val="00B6089B"/>
    <w:rsid w:val="00B62604"/>
    <w:rsid w:val="00B62C09"/>
    <w:rsid w:val="00B62C30"/>
    <w:rsid w:val="00B63298"/>
    <w:rsid w:val="00B63DFA"/>
    <w:rsid w:val="00B75D39"/>
    <w:rsid w:val="00B760DF"/>
    <w:rsid w:val="00B77867"/>
    <w:rsid w:val="00B82D41"/>
    <w:rsid w:val="00B8400F"/>
    <w:rsid w:val="00B85DCB"/>
    <w:rsid w:val="00B85FE2"/>
    <w:rsid w:val="00B90A6B"/>
    <w:rsid w:val="00B922A7"/>
    <w:rsid w:val="00B93B4B"/>
    <w:rsid w:val="00B977A0"/>
    <w:rsid w:val="00BA07C4"/>
    <w:rsid w:val="00BA2CDD"/>
    <w:rsid w:val="00BA3D9B"/>
    <w:rsid w:val="00BA4A20"/>
    <w:rsid w:val="00BA50BB"/>
    <w:rsid w:val="00BA76BC"/>
    <w:rsid w:val="00BA7FED"/>
    <w:rsid w:val="00BB134B"/>
    <w:rsid w:val="00BB73A0"/>
    <w:rsid w:val="00BC1BB8"/>
    <w:rsid w:val="00BC2B9C"/>
    <w:rsid w:val="00BC3ECF"/>
    <w:rsid w:val="00BD3682"/>
    <w:rsid w:val="00BD446E"/>
    <w:rsid w:val="00BD765F"/>
    <w:rsid w:val="00BE5F05"/>
    <w:rsid w:val="00BF063E"/>
    <w:rsid w:val="00BF127F"/>
    <w:rsid w:val="00BF58B6"/>
    <w:rsid w:val="00BF7536"/>
    <w:rsid w:val="00BF7E13"/>
    <w:rsid w:val="00C04905"/>
    <w:rsid w:val="00C04B3F"/>
    <w:rsid w:val="00C04FDA"/>
    <w:rsid w:val="00C05024"/>
    <w:rsid w:val="00C073DB"/>
    <w:rsid w:val="00C10D60"/>
    <w:rsid w:val="00C13452"/>
    <w:rsid w:val="00C13965"/>
    <w:rsid w:val="00C14FDB"/>
    <w:rsid w:val="00C1560A"/>
    <w:rsid w:val="00C16DB9"/>
    <w:rsid w:val="00C22F87"/>
    <w:rsid w:val="00C23D4B"/>
    <w:rsid w:val="00C23DB7"/>
    <w:rsid w:val="00C2497D"/>
    <w:rsid w:val="00C25458"/>
    <w:rsid w:val="00C25D54"/>
    <w:rsid w:val="00C325A2"/>
    <w:rsid w:val="00C326A6"/>
    <w:rsid w:val="00C43515"/>
    <w:rsid w:val="00C43B81"/>
    <w:rsid w:val="00C44D46"/>
    <w:rsid w:val="00C46D0D"/>
    <w:rsid w:val="00C50B3C"/>
    <w:rsid w:val="00C5351A"/>
    <w:rsid w:val="00C55346"/>
    <w:rsid w:val="00C61496"/>
    <w:rsid w:val="00C631E0"/>
    <w:rsid w:val="00C64FEE"/>
    <w:rsid w:val="00C65E25"/>
    <w:rsid w:val="00C76E90"/>
    <w:rsid w:val="00C824F5"/>
    <w:rsid w:val="00C87B22"/>
    <w:rsid w:val="00C93774"/>
    <w:rsid w:val="00C9483A"/>
    <w:rsid w:val="00C97E2F"/>
    <w:rsid w:val="00CA11AB"/>
    <w:rsid w:val="00CA6397"/>
    <w:rsid w:val="00CB4D3D"/>
    <w:rsid w:val="00CD4A0C"/>
    <w:rsid w:val="00CD5508"/>
    <w:rsid w:val="00CD6E52"/>
    <w:rsid w:val="00CE02E7"/>
    <w:rsid w:val="00CE0A36"/>
    <w:rsid w:val="00CE1E70"/>
    <w:rsid w:val="00CE28B2"/>
    <w:rsid w:val="00CE3E00"/>
    <w:rsid w:val="00CE4484"/>
    <w:rsid w:val="00CE4D9C"/>
    <w:rsid w:val="00CE4E11"/>
    <w:rsid w:val="00CE570E"/>
    <w:rsid w:val="00CE6EDD"/>
    <w:rsid w:val="00CE7B9E"/>
    <w:rsid w:val="00CE7F2E"/>
    <w:rsid w:val="00CF2225"/>
    <w:rsid w:val="00CF3BF7"/>
    <w:rsid w:val="00CF67BE"/>
    <w:rsid w:val="00CF7534"/>
    <w:rsid w:val="00D02349"/>
    <w:rsid w:val="00D03119"/>
    <w:rsid w:val="00D03A97"/>
    <w:rsid w:val="00D04257"/>
    <w:rsid w:val="00D04820"/>
    <w:rsid w:val="00D06633"/>
    <w:rsid w:val="00D06A93"/>
    <w:rsid w:val="00D11960"/>
    <w:rsid w:val="00D1296D"/>
    <w:rsid w:val="00D154CE"/>
    <w:rsid w:val="00D20006"/>
    <w:rsid w:val="00D20F7A"/>
    <w:rsid w:val="00D236A3"/>
    <w:rsid w:val="00D23CBA"/>
    <w:rsid w:val="00D25707"/>
    <w:rsid w:val="00D338CE"/>
    <w:rsid w:val="00D349F5"/>
    <w:rsid w:val="00D350E3"/>
    <w:rsid w:val="00D367AB"/>
    <w:rsid w:val="00D40CBB"/>
    <w:rsid w:val="00D516DD"/>
    <w:rsid w:val="00D5649B"/>
    <w:rsid w:val="00D61E4B"/>
    <w:rsid w:val="00D63209"/>
    <w:rsid w:val="00D63ECA"/>
    <w:rsid w:val="00D650BD"/>
    <w:rsid w:val="00D701A0"/>
    <w:rsid w:val="00D73682"/>
    <w:rsid w:val="00D81C0C"/>
    <w:rsid w:val="00D83B62"/>
    <w:rsid w:val="00D83C96"/>
    <w:rsid w:val="00D871FE"/>
    <w:rsid w:val="00D93823"/>
    <w:rsid w:val="00D93AA1"/>
    <w:rsid w:val="00D958C1"/>
    <w:rsid w:val="00DA02A8"/>
    <w:rsid w:val="00DA05B7"/>
    <w:rsid w:val="00DA110D"/>
    <w:rsid w:val="00DA3D01"/>
    <w:rsid w:val="00DA6E23"/>
    <w:rsid w:val="00DB14EF"/>
    <w:rsid w:val="00DB1ED1"/>
    <w:rsid w:val="00DB3BC8"/>
    <w:rsid w:val="00DB3CF0"/>
    <w:rsid w:val="00DC085D"/>
    <w:rsid w:val="00DC0996"/>
    <w:rsid w:val="00DC1D53"/>
    <w:rsid w:val="00DC2DE3"/>
    <w:rsid w:val="00DC32CC"/>
    <w:rsid w:val="00DC509D"/>
    <w:rsid w:val="00DD1935"/>
    <w:rsid w:val="00DD4245"/>
    <w:rsid w:val="00DD48EB"/>
    <w:rsid w:val="00DD4974"/>
    <w:rsid w:val="00DE3421"/>
    <w:rsid w:val="00DE4E89"/>
    <w:rsid w:val="00DE5946"/>
    <w:rsid w:val="00DE63BC"/>
    <w:rsid w:val="00DF0102"/>
    <w:rsid w:val="00DF49ED"/>
    <w:rsid w:val="00DF6135"/>
    <w:rsid w:val="00DF71DB"/>
    <w:rsid w:val="00DF762C"/>
    <w:rsid w:val="00E00E7D"/>
    <w:rsid w:val="00E0407B"/>
    <w:rsid w:val="00E047E4"/>
    <w:rsid w:val="00E13BDA"/>
    <w:rsid w:val="00E1404D"/>
    <w:rsid w:val="00E14337"/>
    <w:rsid w:val="00E155F4"/>
    <w:rsid w:val="00E204FA"/>
    <w:rsid w:val="00E220C0"/>
    <w:rsid w:val="00E25932"/>
    <w:rsid w:val="00E30E59"/>
    <w:rsid w:val="00E31041"/>
    <w:rsid w:val="00E329D8"/>
    <w:rsid w:val="00E4531D"/>
    <w:rsid w:val="00E45CC6"/>
    <w:rsid w:val="00E45EB0"/>
    <w:rsid w:val="00E57CED"/>
    <w:rsid w:val="00E6268C"/>
    <w:rsid w:val="00E63D88"/>
    <w:rsid w:val="00E65BC8"/>
    <w:rsid w:val="00E724C0"/>
    <w:rsid w:val="00E74FD7"/>
    <w:rsid w:val="00E83054"/>
    <w:rsid w:val="00E832CA"/>
    <w:rsid w:val="00E9198F"/>
    <w:rsid w:val="00E92A9B"/>
    <w:rsid w:val="00E944C0"/>
    <w:rsid w:val="00E9545F"/>
    <w:rsid w:val="00E97B95"/>
    <w:rsid w:val="00EA13A0"/>
    <w:rsid w:val="00EA148A"/>
    <w:rsid w:val="00EA172F"/>
    <w:rsid w:val="00EA1984"/>
    <w:rsid w:val="00EA479A"/>
    <w:rsid w:val="00EA5015"/>
    <w:rsid w:val="00EA5EA3"/>
    <w:rsid w:val="00EB13DC"/>
    <w:rsid w:val="00EB3C7A"/>
    <w:rsid w:val="00EB6037"/>
    <w:rsid w:val="00EB78BF"/>
    <w:rsid w:val="00EC1E57"/>
    <w:rsid w:val="00EC4285"/>
    <w:rsid w:val="00EC61BE"/>
    <w:rsid w:val="00EC76D4"/>
    <w:rsid w:val="00ED391C"/>
    <w:rsid w:val="00ED3D7F"/>
    <w:rsid w:val="00ED3F4B"/>
    <w:rsid w:val="00ED78C7"/>
    <w:rsid w:val="00EE44BA"/>
    <w:rsid w:val="00EE478D"/>
    <w:rsid w:val="00EF4B30"/>
    <w:rsid w:val="00EF590C"/>
    <w:rsid w:val="00F00806"/>
    <w:rsid w:val="00F01767"/>
    <w:rsid w:val="00F0420F"/>
    <w:rsid w:val="00F04743"/>
    <w:rsid w:val="00F0587F"/>
    <w:rsid w:val="00F13890"/>
    <w:rsid w:val="00F15802"/>
    <w:rsid w:val="00F1631F"/>
    <w:rsid w:val="00F21365"/>
    <w:rsid w:val="00F21F7D"/>
    <w:rsid w:val="00F22291"/>
    <w:rsid w:val="00F233B8"/>
    <w:rsid w:val="00F2406D"/>
    <w:rsid w:val="00F24DDE"/>
    <w:rsid w:val="00F302D9"/>
    <w:rsid w:val="00F30460"/>
    <w:rsid w:val="00F33401"/>
    <w:rsid w:val="00F36213"/>
    <w:rsid w:val="00F37D49"/>
    <w:rsid w:val="00F4190F"/>
    <w:rsid w:val="00F42167"/>
    <w:rsid w:val="00F47068"/>
    <w:rsid w:val="00F51EB4"/>
    <w:rsid w:val="00F65326"/>
    <w:rsid w:val="00F67C37"/>
    <w:rsid w:val="00F73A48"/>
    <w:rsid w:val="00F81355"/>
    <w:rsid w:val="00F82736"/>
    <w:rsid w:val="00F87832"/>
    <w:rsid w:val="00F90229"/>
    <w:rsid w:val="00F9068C"/>
    <w:rsid w:val="00F972E6"/>
    <w:rsid w:val="00FA0D9A"/>
    <w:rsid w:val="00FA3201"/>
    <w:rsid w:val="00FA3B0E"/>
    <w:rsid w:val="00FA79E1"/>
    <w:rsid w:val="00FB0139"/>
    <w:rsid w:val="00FB04C4"/>
    <w:rsid w:val="00FB1971"/>
    <w:rsid w:val="00FB1B57"/>
    <w:rsid w:val="00FB2684"/>
    <w:rsid w:val="00FB63C3"/>
    <w:rsid w:val="00FC1048"/>
    <w:rsid w:val="00FD16CC"/>
    <w:rsid w:val="00FD4D0F"/>
    <w:rsid w:val="00FD6553"/>
    <w:rsid w:val="00FD6BED"/>
    <w:rsid w:val="00FD733E"/>
    <w:rsid w:val="00FD7C82"/>
    <w:rsid w:val="00FE304E"/>
    <w:rsid w:val="00FE5799"/>
    <w:rsid w:val="00FE5E61"/>
    <w:rsid w:val="00FE6E6F"/>
    <w:rsid w:val="00FF4A6B"/>
    <w:rsid w:val="00FF4D4A"/>
    <w:rsid w:val="00FF52BB"/>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AAE3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3BC8"/>
    <w:rPr>
      <w:rFonts w:ascii="Times New Roman" w:eastAsia="Times New Roman" w:hAnsi="Times New Roman"/>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556B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552B2"/>
    <w:pPr>
      <w:keepNext/>
      <w:numPr>
        <w:ilvl w:val="2"/>
        <w:numId w:val="1"/>
      </w:numPr>
      <w:spacing w:before="240" w:after="60"/>
      <w:ind w:left="0" w:firstLine="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556BF"/>
    <w:rPr>
      <w:rFonts w:ascii="Helvetica"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link w:val="Heading2"/>
    <w:rsid w:val="00FE5799"/>
    <w:rPr>
      <w:rFonts w:ascii="Helvetica" w:hAnsi="Helvetica" w:cs="Arial"/>
      <w:b/>
      <w:bCs/>
      <w:iCs/>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552B2"/>
    <w:rPr>
      <w:rFonts w:ascii="Arial" w:hAnsi="Arial" w:cs="Arial"/>
      <w:b/>
      <w:bCs/>
      <w:i/>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hAnsi="Times New Roman"/>
      <w:b/>
      <w:bCs/>
      <w:sz w:val="28"/>
      <w:szCs w:val="28"/>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uiPriority w:val="99"/>
    <w:rsid w:val="0061336B"/>
    <w:rPr>
      <w:sz w:val="16"/>
      <w:szCs w:val="16"/>
    </w:rPr>
  </w:style>
  <w:style w:type="paragraph" w:styleId="CommentText">
    <w:name w:val="annotation text"/>
    <w:basedOn w:val="Normal"/>
    <w:link w:val="CommentTextChar"/>
    <w:uiPriority w:val="99"/>
    <w:rsid w:val="0061336B"/>
    <w:pPr>
      <w:overflowPunct w:val="0"/>
      <w:autoSpaceDE w:val="0"/>
      <w:autoSpaceDN w:val="0"/>
      <w:adjustRightInd w:val="0"/>
      <w:spacing w:after="120"/>
      <w:jc w:val="both"/>
      <w:textAlignment w:val="baseline"/>
    </w:pPr>
    <w:rPr>
      <w:rFonts w:ascii="Arial" w:eastAsia="MS Mincho" w:hAnsi="Arial"/>
      <w:szCs w:val="20"/>
      <w:lang w:val="en-GB" w:eastAsia="zh-CN"/>
    </w:rPr>
  </w:style>
  <w:style w:type="character" w:customStyle="1" w:styleId="CommentTextChar">
    <w:name w:val="Comment Text Char"/>
    <w:link w:val="CommentText"/>
    <w:uiPriority w:val="99"/>
    <w:rsid w:val="0061336B"/>
    <w:rPr>
      <w:rFonts w:ascii="Arial" w:eastAsia="MS Mincho"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aliases w:val="- Bullets,목록 단락,リスト段落"/>
    <w:basedOn w:val="Normal"/>
    <w:link w:val="ListParagraphChar"/>
    <w:uiPriority w:val="34"/>
    <w:qFormat/>
    <w:rsid w:val="00BA76BC"/>
    <w:pPr>
      <w:ind w:left="720"/>
      <w:contextualSpacing/>
    </w:pPr>
  </w:style>
  <w:style w:type="character" w:styleId="PlaceholderText">
    <w:name w:val="Placeholder Text"/>
    <w:uiPriority w:val="99"/>
    <w:semiHidden/>
    <w:rsid w:val="0056282E"/>
    <w:rPr>
      <w:color w:val="808080"/>
    </w:rPr>
  </w:style>
  <w:style w:type="table" w:styleId="TableGrid">
    <w:name w:val="Table Grid"/>
    <w:basedOn w:val="TableNormal"/>
    <w:uiPriority w:val="59"/>
    <w:rsid w:val="008608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link w:val="H6Char"/>
    <w:rsid w:val="00DC509D"/>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x-none"/>
    </w:rPr>
  </w:style>
  <w:style w:type="character" w:customStyle="1" w:styleId="H6Char">
    <w:name w:val="H6 Char"/>
    <w:link w:val="H6"/>
    <w:rsid w:val="00DC509D"/>
    <w:rPr>
      <w:rFonts w:ascii="Arial" w:eastAsia="Times New Roman" w:hAnsi="Arial" w:cs="Times New Roman"/>
      <w:sz w:val="20"/>
      <w:szCs w:val="20"/>
      <w:lang w:val="en-GB" w:eastAsia="x-none"/>
    </w:rPr>
  </w:style>
  <w:style w:type="paragraph" w:customStyle="1" w:styleId="B2">
    <w:name w:val="B2"/>
    <w:basedOn w:val="List2"/>
    <w:link w:val="B2Char"/>
    <w:qFormat/>
    <w:rsid w:val="00DC509D"/>
    <w:pPr>
      <w:overflowPunct w:val="0"/>
      <w:autoSpaceDE w:val="0"/>
      <w:autoSpaceDN w:val="0"/>
      <w:adjustRightInd w:val="0"/>
      <w:spacing w:after="180"/>
      <w:ind w:left="851" w:hanging="284"/>
      <w:contextualSpacing w:val="0"/>
      <w:textAlignment w:val="baseline"/>
    </w:pPr>
    <w:rPr>
      <w:szCs w:val="20"/>
      <w:lang w:val="en-GB" w:eastAsia="ko-KR"/>
    </w:rPr>
  </w:style>
  <w:style w:type="paragraph" w:styleId="List2">
    <w:name w:val="List 2"/>
    <w:basedOn w:val="Normal"/>
    <w:uiPriority w:val="99"/>
    <w:semiHidden/>
    <w:unhideWhenUsed/>
    <w:rsid w:val="00DC509D"/>
    <w:pPr>
      <w:ind w:left="720" w:hanging="360"/>
      <w:contextualSpacing/>
    </w:pPr>
  </w:style>
  <w:style w:type="paragraph" w:customStyle="1" w:styleId="Proposal">
    <w:name w:val="Proposal"/>
    <w:basedOn w:val="Normal"/>
    <w:qFormat/>
    <w:rsid w:val="00EC4285"/>
    <w:pPr>
      <w:numPr>
        <w:numId w:val="2"/>
      </w:numPr>
      <w:tabs>
        <w:tab w:val="clear" w:pos="1304"/>
        <w:tab w:val="left" w:pos="1701"/>
      </w:tabs>
      <w:spacing w:after="160" w:line="259" w:lineRule="auto"/>
      <w:ind w:left="1701" w:hanging="1701"/>
    </w:pPr>
    <w:rPr>
      <w:rFonts w:ascii="Calibri" w:eastAsia="Calibri" w:hAnsi="Calibri"/>
      <w:b/>
      <w:bCs/>
      <w:sz w:val="22"/>
      <w:szCs w:val="22"/>
    </w:rPr>
  </w:style>
  <w:style w:type="paragraph" w:styleId="TOC1">
    <w:name w:val="toc 1"/>
    <w:aliases w:val="Observation TOC2"/>
    <w:uiPriority w:val="39"/>
    <w:rsid w:val="0089527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noProof/>
      <w:szCs w:val="22"/>
      <w:lang w:eastAsia="zh-CN"/>
    </w:rPr>
  </w:style>
  <w:style w:type="paragraph" w:styleId="TOC4">
    <w:name w:val="toc 4"/>
    <w:basedOn w:val="TOC3"/>
    <w:semiHidden/>
    <w:rsid w:val="00895275"/>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TOC3">
    <w:name w:val="toc 3"/>
    <w:basedOn w:val="Normal"/>
    <w:next w:val="Normal"/>
    <w:autoRedefine/>
    <w:uiPriority w:val="39"/>
    <w:semiHidden/>
    <w:unhideWhenUsed/>
    <w:rsid w:val="00895275"/>
    <w:pPr>
      <w:ind w:left="400"/>
    </w:pPr>
  </w:style>
  <w:style w:type="paragraph" w:customStyle="1" w:styleId="B1">
    <w:name w:val="B1"/>
    <w:basedOn w:val="Normal"/>
    <w:link w:val="B1Zchn"/>
    <w:rsid w:val="00AE6102"/>
    <w:pPr>
      <w:spacing w:after="180"/>
      <w:ind w:left="568" w:hanging="284"/>
    </w:pPr>
    <w:rPr>
      <w:szCs w:val="20"/>
      <w:lang w:val="x-none"/>
    </w:rPr>
  </w:style>
  <w:style w:type="character" w:customStyle="1" w:styleId="B1Zchn">
    <w:name w:val="B1 Zchn"/>
    <w:link w:val="B1"/>
    <w:rsid w:val="00AE6102"/>
    <w:rPr>
      <w:rFonts w:ascii="Times New Roman" w:eastAsia="Times New Roman" w:hAnsi="Times New Roman"/>
      <w:lang w:val="x-none"/>
    </w:rPr>
  </w:style>
  <w:style w:type="character" w:customStyle="1" w:styleId="B2Char">
    <w:name w:val="B2 Char"/>
    <w:link w:val="B2"/>
    <w:rsid w:val="00B75D39"/>
    <w:rPr>
      <w:rFonts w:ascii="Times New Roman" w:eastAsia="Times New Roman" w:hAnsi="Times New Roman"/>
      <w:lang w:val="en-GB" w:eastAsia="ko-KR"/>
    </w:rPr>
  </w:style>
  <w:style w:type="paragraph" w:customStyle="1" w:styleId="PL">
    <w:name w:val="PL"/>
    <w:link w:val="PLChar"/>
    <w:qFormat/>
    <w:rsid w:val="00375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3756BE"/>
    <w:rPr>
      <w:rFonts w:ascii="Courier New" w:eastAsia="Batang" w:hAnsi="Courier New"/>
      <w:noProof/>
      <w:sz w:val="16"/>
      <w:shd w:val="clear" w:color="auto" w:fill="E6E6E6"/>
      <w:lang w:val="en-GB" w:eastAsia="sv-SE"/>
    </w:rPr>
  </w:style>
  <w:style w:type="paragraph" w:customStyle="1" w:styleId="TH">
    <w:name w:val="TH"/>
    <w:basedOn w:val="Normal"/>
    <w:link w:val="THChar"/>
    <w:rsid w:val="003756BE"/>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3756BE"/>
    <w:rPr>
      <w:rFonts w:ascii="Arial" w:eastAsia="Times New Roman" w:hAnsi="Arial"/>
      <w:b/>
      <w:lang w:val="x-none" w:eastAsia="x-none"/>
    </w:rPr>
  </w:style>
  <w:style w:type="character" w:customStyle="1" w:styleId="ListParagraphChar">
    <w:name w:val="List Paragraph Char"/>
    <w:aliases w:val="- Bullets Char,목록 단락 Char,リスト段落 Char"/>
    <w:link w:val="ListParagraph"/>
    <w:uiPriority w:val="34"/>
    <w:qFormat/>
    <w:locked/>
    <w:rsid w:val="00180134"/>
    <w:rPr>
      <w:rFonts w:ascii="Times New Roman" w:eastAsia="Times New Roman" w:hAnsi="Times New Roman"/>
      <w:szCs w:val="24"/>
    </w:rPr>
  </w:style>
  <w:style w:type="paragraph" w:styleId="ListBullet2">
    <w:name w:val="List Bullet 2"/>
    <w:basedOn w:val="ListBullet"/>
    <w:rsid w:val="00002556"/>
    <w:pPr>
      <w:numPr>
        <w:numId w:val="7"/>
      </w:numPr>
      <w:tabs>
        <w:tab w:val="clear" w:pos="794"/>
      </w:tabs>
      <w:overflowPunct w:val="0"/>
      <w:autoSpaceDE w:val="0"/>
      <w:autoSpaceDN w:val="0"/>
      <w:adjustRightInd w:val="0"/>
      <w:spacing w:after="120"/>
      <w:ind w:left="420" w:hanging="420"/>
      <w:contextualSpacing w:val="0"/>
      <w:jc w:val="both"/>
      <w:textAlignment w:val="baseline"/>
    </w:pPr>
    <w:rPr>
      <w:szCs w:val="20"/>
      <w:lang w:val="en-GB" w:eastAsia="zh-CN"/>
    </w:rPr>
  </w:style>
  <w:style w:type="paragraph" w:styleId="ListBullet">
    <w:name w:val="List Bullet"/>
    <w:basedOn w:val="Normal"/>
    <w:uiPriority w:val="99"/>
    <w:semiHidden/>
    <w:unhideWhenUsed/>
    <w:rsid w:val="00002556"/>
    <w:pPr>
      <w:numPr>
        <w:numId w:val="8"/>
      </w:numPr>
      <w:contextualSpacing/>
    </w:pPr>
  </w:style>
  <w:style w:type="paragraph" w:customStyle="1" w:styleId="B3">
    <w:name w:val="B3"/>
    <w:basedOn w:val="List3"/>
    <w:link w:val="B3Char"/>
    <w:rsid w:val="005258E7"/>
    <w:pPr>
      <w:spacing w:after="180" w:line="259" w:lineRule="auto"/>
      <w:ind w:left="1135" w:hanging="284"/>
      <w:contextualSpacing w:val="0"/>
    </w:pPr>
    <w:rPr>
      <w:rFonts w:ascii="Calibri" w:eastAsia="Calibri" w:hAnsi="Calibri"/>
      <w:sz w:val="22"/>
      <w:szCs w:val="22"/>
    </w:rPr>
  </w:style>
  <w:style w:type="character" w:customStyle="1" w:styleId="B3Char">
    <w:name w:val="B3 Char"/>
    <w:link w:val="B3"/>
    <w:rsid w:val="005258E7"/>
    <w:rPr>
      <w:rFonts w:eastAsia="Calibri"/>
      <w:sz w:val="22"/>
      <w:szCs w:val="22"/>
    </w:rPr>
  </w:style>
  <w:style w:type="paragraph" w:styleId="List3">
    <w:name w:val="List 3"/>
    <w:basedOn w:val="Normal"/>
    <w:uiPriority w:val="99"/>
    <w:semiHidden/>
    <w:unhideWhenUsed/>
    <w:rsid w:val="005258E7"/>
    <w:pPr>
      <w:ind w:left="1080" w:hanging="360"/>
      <w:contextualSpacing/>
    </w:pPr>
  </w:style>
  <w:style w:type="paragraph" w:styleId="ListBullet3">
    <w:name w:val="List Bullet 3"/>
    <w:basedOn w:val="ListBullet2"/>
    <w:rsid w:val="007D6833"/>
    <w:pPr>
      <w:numPr>
        <w:numId w:val="13"/>
      </w:numPr>
      <w:overflowPunct/>
      <w:autoSpaceDE/>
      <w:autoSpaceDN/>
      <w:adjustRightInd/>
      <w:spacing w:after="160" w:line="259" w:lineRule="auto"/>
      <w:jc w:val="left"/>
      <w:textAlignment w:val="auto"/>
    </w:pPr>
    <w:rPr>
      <w:rFonts w:ascii="Calibri" w:eastAsia="Calibri" w:hAnsi="Calibri"/>
      <w:sz w:val="22"/>
      <w:szCs w:val="22"/>
      <w:lang w:val="en-US" w:eastAsia="en-US"/>
    </w:rPr>
  </w:style>
  <w:style w:type="character" w:styleId="Hyperlink">
    <w:name w:val="Hyperlink"/>
    <w:uiPriority w:val="99"/>
    <w:rsid w:val="0003310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467282">
      <w:bodyDiv w:val="1"/>
      <w:marLeft w:val="0"/>
      <w:marRight w:val="0"/>
      <w:marTop w:val="0"/>
      <w:marBottom w:val="0"/>
      <w:divBdr>
        <w:top w:val="none" w:sz="0" w:space="0" w:color="auto"/>
        <w:left w:val="none" w:sz="0" w:space="0" w:color="auto"/>
        <w:bottom w:val="none" w:sz="0" w:space="0" w:color="auto"/>
        <w:right w:val="none" w:sz="0" w:space="0" w:color="auto"/>
      </w:divBdr>
    </w:div>
    <w:div w:id="251865352">
      <w:bodyDiv w:val="1"/>
      <w:marLeft w:val="0"/>
      <w:marRight w:val="0"/>
      <w:marTop w:val="0"/>
      <w:marBottom w:val="0"/>
      <w:divBdr>
        <w:top w:val="none" w:sz="0" w:space="0" w:color="auto"/>
        <w:left w:val="none" w:sz="0" w:space="0" w:color="auto"/>
        <w:bottom w:val="none" w:sz="0" w:space="0" w:color="auto"/>
        <w:right w:val="none" w:sz="0" w:space="0" w:color="auto"/>
      </w:divBdr>
    </w:div>
    <w:div w:id="928077140">
      <w:bodyDiv w:val="1"/>
      <w:marLeft w:val="0"/>
      <w:marRight w:val="0"/>
      <w:marTop w:val="0"/>
      <w:marBottom w:val="0"/>
      <w:divBdr>
        <w:top w:val="none" w:sz="0" w:space="0" w:color="auto"/>
        <w:left w:val="none" w:sz="0" w:space="0" w:color="auto"/>
        <w:bottom w:val="none" w:sz="0" w:space="0" w:color="auto"/>
        <w:right w:val="none" w:sz="0" w:space="0" w:color="auto"/>
      </w:divBdr>
      <w:divsChild>
        <w:div w:id="303119262">
          <w:marLeft w:val="835"/>
          <w:marRight w:val="0"/>
          <w:marTop w:val="96"/>
          <w:marBottom w:val="0"/>
          <w:divBdr>
            <w:top w:val="none" w:sz="0" w:space="0" w:color="auto"/>
            <w:left w:val="none" w:sz="0" w:space="0" w:color="auto"/>
            <w:bottom w:val="none" w:sz="0" w:space="0" w:color="auto"/>
            <w:right w:val="none" w:sz="0" w:space="0" w:color="auto"/>
          </w:divBdr>
        </w:div>
        <w:div w:id="570964517">
          <w:marLeft w:val="835"/>
          <w:marRight w:val="0"/>
          <w:marTop w:val="96"/>
          <w:marBottom w:val="0"/>
          <w:divBdr>
            <w:top w:val="none" w:sz="0" w:space="0" w:color="auto"/>
            <w:left w:val="none" w:sz="0" w:space="0" w:color="auto"/>
            <w:bottom w:val="none" w:sz="0" w:space="0" w:color="auto"/>
            <w:right w:val="none" w:sz="0" w:space="0" w:color="auto"/>
          </w:divBdr>
        </w:div>
        <w:div w:id="603341893">
          <w:marLeft w:val="1411"/>
          <w:marRight w:val="0"/>
          <w:marTop w:val="96"/>
          <w:marBottom w:val="0"/>
          <w:divBdr>
            <w:top w:val="none" w:sz="0" w:space="0" w:color="auto"/>
            <w:left w:val="none" w:sz="0" w:space="0" w:color="auto"/>
            <w:bottom w:val="none" w:sz="0" w:space="0" w:color="auto"/>
            <w:right w:val="none" w:sz="0" w:space="0" w:color="auto"/>
          </w:divBdr>
        </w:div>
        <w:div w:id="1011948744">
          <w:marLeft w:val="1411"/>
          <w:marRight w:val="0"/>
          <w:marTop w:val="96"/>
          <w:marBottom w:val="0"/>
          <w:divBdr>
            <w:top w:val="none" w:sz="0" w:space="0" w:color="auto"/>
            <w:left w:val="none" w:sz="0" w:space="0" w:color="auto"/>
            <w:bottom w:val="none" w:sz="0" w:space="0" w:color="auto"/>
            <w:right w:val="none" w:sz="0" w:space="0" w:color="auto"/>
          </w:divBdr>
        </w:div>
        <w:div w:id="2134714021">
          <w:marLeft w:val="1411"/>
          <w:marRight w:val="0"/>
          <w:marTop w:val="96"/>
          <w:marBottom w:val="0"/>
          <w:divBdr>
            <w:top w:val="none" w:sz="0" w:space="0" w:color="auto"/>
            <w:left w:val="none" w:sz="0" w:space="0" w:color="auto"/>
            <w:bottom w:val="none" w:sz="0" w:space="0" w:color="auto"/>
            <w:right w:val="none" w:sz="0" w:space="0" w:color="auto"/>
          </w:divBdr>
        </w:div>
      </w:divsChild>
    </w:div>
    <w:div w:id="1044986889">
      <w:bodyDiv w:val="1"/>
      <w:marLeft w:val="0"/>
      <w:marRight w:val="0"/>
      <w:marTop w:val="0"/>
      <w:marBottom w:val="0"/>
      <w:divBdr>
        <w:top w:val="none" w:sz="0" w:space="0" w:color="auto"/>
        <w:left w:val="none" w:sz="0" w:space="0" w:color="auto"/>
        <w:bottom w:val="none" w:sz="0" w:space="0" w:color="auto"/>
        <w:right w:val="none" w:sz="0" w:space="0" w:color="auto"/>
      </w:divBdr>
    </w:div>
    <w:div w:id="1093942356">
      <w:bodyDiv w:val="1"/>
      <w:marLeft w:val="0"/>
      <w:marRight w:val="0"/>
      <w:marTop w:val="0"/>
      <w:marBottom w:val="0"/>
      <w:divBdr>
        <w:top w:val="none" w:sz="0" w:space="0" w:color="auto"/>
        <w:left w:val="none" w:sz="0" w:space="0" w:color="auto"/>
        <w:bottom w:val="none" w:sz="0" w:space="0" w:color="auto"/>
        <w:right w:val="none" w:sz="0" w:space="0" w:color="auto"/>
      </w:divBdr>
    </w:div>
    <w:div w:id="1235553039">
      <w:bodyDiv w:val="1"/>
      <w:marLeft w:val="0"/>
      <w:marRight w:val="0"/>
      <w:marTop w:val="0"/>
      <w:marBottom w:val="0"/>
      <w:divBdr>
        <w:top w:val="none" w:sz="0" w:space="0" w:color="auto"/>
        <w:left w:val="none" w:sz="0" w:space="0" w:color="auto"/>
        <w:bottom w:val="none" w:sz="0" w:space="0" w:color="auto"/>
        <w:right w:val="none" w:sz="0" w:space="0" w:color="auto"/>
      </w:divBdr>
      <w:divsChild>
        <w:div w:id="696321139">
          <w:marLeft w:val="274"/>
          <w:marRight w:val="0"/>
          <w:marTop w:val="115"/>
          <w:marBottom w:val="0"/>
          <w:divBdr>
            <w:top w:val="none" w:sz="0" w:space="0" w:color="auto"/>
            <w:left w:val="none" w:sz="0" w:space="0" w:color="auto"/>
            <w:bottom w:val="none" w:sz="0" w:space="0" w:color="auto"/>
            <w:right w:val="none" w:sz="0" w:space="0" w:color="auto"/>
          </w:divBdr>
        </w:div>
      </w:divsChild>
    </w:div>
    <w:div w:id="1305350699">
      <w:bodyDiv w:val="1"/>
      <w:marLeft w:val="0"/>
      <w:marRight w:val="0"/>
      <w:marTop w:val="0"/>
      <w:marBottom w:val="0"/>
      <w:divBdr>
        <w:top w:val="none" w:sz="0" w:space="0" w:color="auto"/>
        <w:left w:val="none" w:sz="0" w:space="0" w:color="auto"/>
        <w:bottom w:val="none" w:sz="0" w:space="0" w:color="auto"/>
        <w:right w:val="none" w:sz="0" w:space="0" w:color="auto"/>
      </w:divBdr>
      <w:divsChild>
        <w:div w:id="529419652">
          <w:marLeft w:val="274"/>
          <w:marRight w:val="0"/>
          <w:marTop w:val="115"/>
          <w:marBottom w:val="0"/>
          <w:divBdr>
            <w:top w:val="none" w:sz="0" w:space="0" w:color="auto"/>
            <w:left w:val="none" w:sz="0" w:space="0" w:color="auto"/>
            <w:bottom w:val="none" w:sz="0" w:space="0" w:color="auto"/>
            <w:right w:val="none" w:sz="0" w:space="0" w:color="auto"/>
          </w:divBdr>
        </w:div>
      </w:divsChild>
    </w:div>
    <w:div w:id="1609702503">
      <w:bodyDiv w:val="1"/>
      <w:marLeft w:val="0"/>
      <w:marRight w:val="0"/>
      <w:marTop w:val="0"/>
      <w:marBottom w:val="0"/>
      <w:divBdr>
        <w:top w:val="none" w:sz="0" w:space="0" w:color="auto"/>
        <w:left w:val="none" w:sz="0" w:space="0" w:color="auto"/>
        <w:bottom w:val="none" w:sz="0" w:space="0" w:color="auto"/>
        <w:right w:val="none" w:sz="0" w:space="0" w:color="auto"/>
      </w:divBdr>
      <w:divsChild>
        <w:div w:id="891040347">
          <w:marLeft w:val="720"/>
          <w:marRight w:val="0"/>
          <w:marTop w:val="115"/>
          <w:marBottom w:val="60"/>
          <w:divBdr>
            <w:top w:val="none" w:sz="0" w:space="0" w:color="auto"/>
            <w:left w:val="none" w:sz="0" w:space="0" w:color="auto"/>
            <w:bottom w:val="none" w:sz="0" w:space="0" w:color="auto"/>
            <w:right w:val="none" w:sz="0" w:space="0" w:color="auto"/>
          </w:divBdr>
        </w:div>
      </w:divsChild>
    </w:div>
    <w:div w:id="1934969967">
      <w:bodyDiv w:val="1"/>
      <w:marLeft w:val="0"/>
      <w:marRight w:val="0"/>
      <w:marTop w:val="0"/>
      <w:marBottom w:val="0"/>
      <w:divBdr>
        <w:top w:val="none" w:sz="0" w:space="0" w:color="auto"/>
        <w:left w:val="none" w:sz="0" w:space="0" w:color="auto"/>
        <w:bottom w:val="none" w:sz="0" w:space="0" w:color="auto"/>
        <w:right w:val="none" w:sz="0" w:space="0" w:color="auto"/>
      </w:divBdr>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366487204">
          <w:marLeft w:val="835"/>
          <w:marRight w:val="0"/>
          <w:marTop w:val="96"/>
          <w:marBottom w:val="0"/>
          <w:divBdr>
            <w:top w:val="none" w:sz="0" w:space="0" w:color="auto"/>
            <w:left w:val="none" w:sz="0" w:space="0" w:color="auto"/>
            <w:bottom w:val="none" w:sz="0" w:space="0" w:color="auto"/>
            <w:right w:val="none" w:sz="0" w:space="0" w:color="auto"/>
          </w:divBdr>
        </w:div>
        <w:div w:id="1211764066">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ravnor\Desktop\Swea-L1\Swea-L1\Working%20Areas\RAN1_95ah%20Taipei\Contributions_NR\R1-1809886.zip"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713</Words>
  <Characters>4070</Characters>
  <Application>Microsoft Office Word</Application>
  <DocSecurity>0</DocSecurity>
  <Lines>33</Lines>
  <Paragraphs>9</Paragraphs>
  <ScaleCrop>false</ScaleCrop>
  <Company/>
  <LinksUpToDate>false</LinksUpToDate>
  <CharactersWithSpaces>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2019-01-12T05:55:00Z</dcterms:created>
  <dcterms:modified xsi:type="dcterms:W3CDTF">2019-01-12T05:55:00Z</dcterms:modified>
</cp:coreProperties>
</file>