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028C1" w14:textId="508A66E9" w:rsidR="008530BD" w:rsidRPr="001E0E46" w:rsidRDefault="008530BD" w:rsidP="008530BD">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 xml:space="preserve">AN WG1 </w:t>
      </w:r>
      <w:r w:rsidRPr="00615070">
        <w:rPr>
          <w:rFonts w:ascii="Times New Roman" w:eastAsia="SimSun" w:hAnsi="Times New Roman"/>
          <w:b/>
          <w:sz w:val="24"/>
          <w:lang w:val="en-US" w:eastAsia="zh-CN"/>
        </w:rPr>
        <w:t>Ad-Hoc Meeting 1901</w:t>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122BBF" w:rsidRPr="00122BBF">
        <w:rPr>
          <w:rFonts w:ascii="Times New Roman" w:eastAsia="SimSun" w:hAnsi="Times New Roman"/>
          <w:b/>
          <w:sz w:val="24"/>
          <w:lang w:val="en-US" w:eastAsia="zh-CN"/>
        </w:rPr>
        <w:t>1900790</w:t>
      </w:r>
    </w:p>
    <w:p w14:paraId="53B84A94" w14:textId="77777777" w:rsidR="008530BD" w:rsidRPr="0094525A" w:rsidRDefault="008530BD" w:rsidP="008530BD">
      <w:pPr>
        <w:pStyle w:val="CRCoverPage"/>
        <w:tabs>
          <w:tab w:val="left" w:pos="1980"/>
        </w:tabs>
        <w:rPr>
          <w:rFonts w:ascii="Times New Roman" w:eastAsia="SimSun" w:hAnsi="Times New Roman"/>
          <w:b/>
          <w:sz w:val="24"/>
          <w:lang w:val="en-US" w:eastAsia="zh-CN"/>
        </w:rPr>
      </w:pPr>
      <w:r w:rsidRPr="00615070">
        <w:rPr>
          <w:rFonts w:ascii="Times New Roman" w:eastAsia="SimSun" w:hAnsi="Times New Roman"/>
          <w:b/>
          <w:sz w:val="24"/>
          <w:lang w:val="en-US" w:eastAsia="zh-CN"/>
        </w:rPr>
        <w:t>Taipei, Taiwan, 21</w:t>
      </w:r>
      <w:r w:rsidRPr="00615070">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 25</w:t>
      </w:r>
      <w:r w:rsidRPr="00615070">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proofErr w:type="gramStart"/>
      <w:r w:rsidRPr="00615070">
        <w:rPr>
          <w:rFonts w:ascii="Times New Roman" w:eastAsia="SimSun" w:hAnsi="Times New Roman"/>
          <w:b/>
          <w:sz w:val="24"/>
          <w:lang w:val="en-US" w:eastAsia="zh-CN"/>
        </w:rPr>
        <w:t>January,</w:t>
      </w:r>
      <w:proofErr w:type="gramEnd"/>
      <w:r w:rsidRPr="00615070">
        <w:rPr>
          <w:rFonts w:ascii="Times New Roman" w:eastAsia="SimSun" w:hAnsi="Times New Roman"/>
          <w:b/>
          <w:sz w:val="24"/>
          <w:lang w:val="en-US" w:eastAsia="zh-CN"/>
        </w:rPr>
        <w:t xml:space="preserve"> 2019</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648BDF5D"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132715">
        <w:rPr>
          <w:rFonts w:ascii="Times New Roman" w:hAnsi="Times New Roman"/>
          <w:b/>
          <w:bCs/>
          <w:sz w:val="24"/>
          <w:lang w:val="en-US"/>
        </w:rPr>
        <w:t>7.2.3.1</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407CC3CC" w:rsidR="00AD4269" w:rsidRPr="00C07A4D" w:rsidRDefault="00AD4269" w:rsidP="00AD4269">
      <w:pPr>
        <w:ind w:left="1985" w:hanging="1985"/>
        <w:rPr>
          <w:b/>
          <w:bCs/>
        </w:rPr>
      </w:pPr>
      <w:r w:rsidRPr="00C07A4D">
        <w:rPr>
          <w:b/>
          <w:bCs/>
          <w:sz w:val="24"/>
        </w:rPr>
        <w:t>Title:</w:t>
      </w:r>
      <w:r w:rsidRPr="00C07A4D">
        <w:rPr>
          <w:b/>
          <w:bCs/>
          <w:sz w:val="24"/>
        </w:rPr>
        <w:tab/>
      </w:r>
      <w:r w:rsidR="001F5C2B">
        <w:rPr>
          <w:b/>
          <w:bCs/>
          <w:sz w:val="24"/>
        </w:rPr>
        <w:t>O</w:t>
      </w:r>
      <w:r w:rsidR="00132715">
        <w:rPr>
          <w:b/>
          <w:bCs/>
          <w:sz w:val="24"/>
        </w:rPr>
        <w:t xml:space="preserve">n </w:t>
      </w:r>
      <w:r w:rsidR="00A72BD9" w:rsidRPr="00A72BD9">
        <w:rPr>
          <w:b/>
          <w:bCs/>
          <w:sz w:val="24"/>
        </w:rPr>
        <w:t>S</w:t>
      </w:r>
      <w:r w:rsidR="00683C8D">
        <w:rPr>
          <w:b/>
          <w:bCs/>
          <w:sz w:val="24"/>
        </w:rPr>
        <w:t xml:space="preserve">SB and </w:t>
      </w:r>
      <w:r w:rsidR="008B7696">
        <w:rPr>
          <w:b/>
          <w:bCs/>
          <w:sz w:val="24"/>
        </w:rPr>
        <w:t xml:space="preserve">RMSI for </w:t>
      </w:r>
      <w:r w:rsidR="001F5C2B">
        <w:rPr>
          <w:b/>
          <w:bCs/>
          <w:sz w:val="24"/>
        </w:rPr>
        <w:t xml:space="preserve">IAB </w:t>
      </w:r>
      <w:r w:rsidR="00A72BD9">
        <w:rPr>
          <w:b/>
          <w:bCs/>
          <w:sz w:val="24"/>
        </w:rPr>
        <w:t>Initial A</w:t>
      </w:r>
      <w:r w:rsidR="00A72BD9" w:rsidRPr="00A72BD9">
        <w:rPr>
          <w:b/>
          <w:bCs/>
          <w:sz w:val="24"/>
        </w:rPr>
        <w:t>ccess</w:t>
      </w:r>
      <w:r w:rsidR="008B7696">
        <w:rPr>
          <w:b/>
          <w:bCs/>
          <w:sz w:val="24"/>
        </w:rPr>
        <w:t xml:space="preserve"> in NR</w:t>
      </w:r>
      <w:r w:rsidR="00A72BD9">
        <w:rPr>
          <w:b/>
          <w:bCs/>
          <w:sz w:val="24"/>
        </w:rPr>
        <w:t xml:space="preserve"> </w:t>
      </w:r>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EB33FD">
      <w:pPr>
        <w:pStyle w:val="Heading1"/>
        <w:tabs>
          <w:tab w:val="clear" w:pos="3762"/>
          <w:tab w:val="num" w:pos="432"/>
        </w:tabs>
        <w:ind w:left="432"/>
        <w:rPr>
          <w:sz w:val="32"/>
          <w:szCs w:val="32"/>
          <w:lang w:val="en-US"/>
        </w:rPr>
      </w:pPr>
      <w:r w:rsidRPr="00BD114B">
        <w:rPr>
          <w:sz w:val="32"/>
          <w:szCs w:val="32"/>
          <w:lang w:val="en-US"/>
        </w:rPr>
        <w:t>Introduction</w:t>
      </w:r>
    </w:p>
    <w:p w14:paraId="0210FBEA" w14:textId="0132DEC3" w:rsidR="0055048B" w:rsidRDefault="0055048B" w:rsidP="0055048B">
      <w:bookmarkStart w:id="1" w:name="_Hlk534893166"/>
      <w:r>
        <w:t>In RAN1 meeting #95</w:t>
      </w:r>
      <w:r w:rsidR="00116FA4">
        <w:t xml:space="preserve"> </w:t>
      </w:r>
      <w:r w:rsidR="00116FA4">
        <w:fldChar w:fldCharType="begin"/>
      </w:r>
      <w:r w:rsidR="00116FA4">
        <w:instrText xml:space="preserve"> REF _Ref534973187 \r \h </w:instrText>
      </w:r>
      <w:r w:rsidR="00116FA4">
        <w:fldChar w:fldCharType="separate"/>
      </w:r>
      <w:r w:rsidR="004F1564">
        <w:t>[1]</w:t>
      </w:r>
      <w:r w:rsidR="00116FA4">
        <w:fldChar w:fldCharType="end"/>
      </w:r>
      <w:r>
        <w:t>, the following agreements have been achieved:</w:t>
      </w:r>
    </w:p>
    <w:p w14:paraId="018E9E35" w14:textId="77777777" w:rsidR="0055048B" w:rsidRPr="0025003E" w:rsidRDefault="0055048B" w:rsidP="0055048B">
      <w:pPr>
        <w:rPr>
          <w:b/>
          <w:i/>
          <w:szCs w:val="22"/>
          <w:lang w:eastAsia="x-none"/>
        </w:rPr>
      </w:pPr>
      <w:r w:rsidRPr="0025003E">
        <w:rPr>
          <w:i/>
          <w:szCs w:val="22"/>
          <w:highlight w:val="green"/>
          <w:lang w:eastAsia="x-none"/>
        </w:rPr>
        <w:t>Agreements</w:t>
      </w:r>
      <w:r w:rsidRPr="0025003E">
        <w:rPr>
          <w:b/>
          <w:i/>
          <w:szCs w:val="22"/>
          <w:lang w:eastAsia="x-none"/>
        </w:rPr>
        <w:t>:</w:t>
      </w:r>
    </w:p>
    <w:p w14:paraId="5757FF1D" w14:textId="77777777" w:rsidR="0055048B" w:rsidRPr="0025003E" w:rsidRDefault="0055048B" w:rsidP="0055048B">
      <w:pPr>
        <w:pStyle w:val="maintext"/>
        <w:numPr>
          <w:ilvl w:val="0"/>
          <w:numId w:val="26"/>
        </w:numPr>
        <w:ind w:firstLineChars="0"/>
        <w:rPr>
          <w:i/>
          <w:sz w:val="22"/>
          <w:szCs w:val="22"/>
        </w:rPr>
      </w:pPr>
      <w:bookmarkStart w:id="2" w:name="_Hlk529810053"/>
      <w:r w:rsidRPr="0025003E">
        <w:rPr>
          <w:i/>
          <w:sz w:val="22"/>
          <w:szCs w:val="22"/>
        </w:rPr>
        <w:t xml:space="preserve">In an NSA deployment (from an access UE perspective): </w:t>
      </w:r>
    </w:p>
    <w:p w14:paraId="65E2EDA6" w14:textId="77777777" w:rsidR="0055048B" w:rsidRPr="0025003E" w:rsidRDefault="0055048B" w:rsidP="0055048B">
      <w:pPr>
        <w:pStyle w:val="maintext"/>
        <w:numPr>
          <w:ilvl w:val="1"/>
          <w:numId w:val="26"/>
        </w:numPr>
        <w:ind w:firstLineChars="0"/>
        <w:rPr>
          <w:i/>
          <w:sz w:val="22"/>
          <w:szCs w:val="22"/>
        </w:rPr>
      </w:pPr>
      <w:r w:rsidRPr="0025003E">
        <w:rPr>
          <w:i/>
          <w:sz w:val="22"/>
          <w:szCs w:val="22"/>
        </w:rPr>
        <w:t>When the IAB node MT performs initial access on the NR carrier, it follows the same Stage 1 initial access as in SA deployments (from an access UE perspective).</w:t>
      </w:r>
    </w:p>
    <w:p w14:paraId="4DC3F71C" w14:textId="77777777" w:rsidR="0055048B" w:rsidRPr="0025003E" w:rsidRDefault="0055048B" w:rsidP="0055048B">
      <w:pPr>
        <w:pStyle w:val="maintext"/>
        <w:numPr>
          <w:ilvl w:val="3"/>
          <w:numId w:val="26"/>
        </w:numPr>
        <w:ind w:firstLineChars="0"/>
        <w:rPr>
          <w:i/>
          <w:sz w:val="22"/>
          <w:szCs w:val="22"/>
        </w:rPr>
      </w:pPr>
      <w:r w:rsidRPr="0025003E">
        <w:rPr>
          <w:i/>
          <w:sz w:val="22"/>
          <w:szCs w:val="22"/>
        </w:rPr>
        <w:t>The SSB/RMSI periodicity assumed by the MTs for initial access may be longer than 20ms assumed by Rel-15 UEs, e.g., 40ms, 80ms, 160ms, etc.</w:t>
      </w:r>
    </w:p>
    <w:p w14:paraId="71EBC609" w14:textId="77777777" w:rsidR="0055048B" w:rsidRPr="0025003E" w:rsidRDefault="0055048B" w:rsidP="0055048B">
      <w:pPr>
        <w:pStyle w:val="maintext"/>
        <w:numPr>
          <w:ilvl w:val="4"/>
          <w:numId w:val="26"/>
        </w:numPr>
        <w:ind w:firstLineChars="0"/>
        <w:rPr>
          <w:i/>
          <w:sz w:val="22"/>
          <w:szCs w:val="22"/>
        </w:rPr>
      </w:pPr>
      <w:r w:rsidRPr="0025003E">
        <w:rPr>
          <w:i/>
          <w:sz w:val="22"/>
          <w:szCs w:val="22"/>
        </w:rPr>
        <w:t>Note: one value is to be finalized during WI phase</w:t>
      </w:r>
    </w:p>
    <w:p w14:paraId="7D193171" w14:textId="77777777" w:rsidR="0055048B" w:rsidRPr="0025003E" w:rsidRDefault="0055048B" w:rsidP="0055048B">
      <w:pPr>
        <w:pStyle w:val="maintext"/>
        <w:numPr>
          <w:ilvl w:val="2"/>
          <w:numId w:val="26"/>
        </w:numPr>
        <w:ind w:firstLineChars="0"/>
        <w:rPr>
          <w:i/>
          <w:sz w:val="22"/>
          <w:szCs w:val="22"/>
        </w:rPr>
      </w:pPr>
      <w:r w:rsidRPr="0025003E">
        <w:rPr>
          <w:i/>
          <w:sz w:val="22"/>
          <w:szCs w:val="22"/>
        </w:rPr>
        <w:t xml:space="preserve">Note: This implies that the candidate parent IAB nodes/donors must support both NSA functionality for the UE and SA functionality for the MT on the NR carrier </w:t>
      </w:r>
    </w:p>
    <w:bookmarkEnd w:id="2"/>
    <w:p w14:paraId="4A8AA4BA" w14:textId="77777777" w:rsidR="0055048B" w:rsidRPr="0025003E" w:rsidRDefault="0055048B" w:rsidP="0055048B">
      <w:pPr>
        <w:pStyle w:val="maintext"/>
        <w:numPr>
          <w:ilvl w:val="1"/>
          <w:numId w:val="26"/>
        </w:numPr>
        <w:ind w:firstLineChars="0"/>
        <w:rPr>
          <w:i/>
          <w:sz w:val="22"/>
          <w:szCs w:val="22"/>
        </w:rPr>
      </w:pPr>
      <w:r w:rsidRPr="0025003E">
        <w:rPr>
          <w:i/>
          <w:sz w:val="22"/>
          <w:szCs w:val="22"/>
        </w:rPr>
        <w:t>When IAB node MT performs initial access on a LTE carrier, Stage 2 solutions can be used for inter-IAB node discovery and measurement by the MT on the NR carrier.</w:t>
      </w:r>
    </w:p>
    <w:p w14:paraId="43DE43F8" w14:textId="77777777" w:rsidR="0055048B" w:rsidRPr="0025003E" w:rsidRDefault="0055048B" w:rsidP="0055048B">
      <w:pPr>
        <w:pStyle w:val="maintext"/>
        <w:numPr>
          <w:ilvl w:val="0"/>
          <w:numId w:val="26"/>
        </w:numPr>
        <w:ind w:firstLineChars="0"/>
        <w:rPr>
          <w:i/>
          <w:sz w:val="22"/>
          <w:szCs w:val="22"/>
        </w:rPr>
      </w:pPr>
      <w:r w:rsidRPr="0025003E">
        <w:rPr>
          <w:i/>
          <w:sz w:val="22"/>
          <w:szCs w:val="22"/>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13E57BF8" w14:textId="58C3924C" w:rsidR="0055048B" w:rsidRPr="0025003E" w:rsidRDefault="0055048B" w:rsidP="008A4160">
      <w:pPr>
        <w:rPr>
          <w:i/>
          <w:szCs w:val="22"/>
        </w:rPr>
      </w:pPr>
    </w:p>
    <w:p w14:paraId="36E2A484" w14:textId="77777777" w:rsidR="0055048B" w:rsidRPr="0025003E" w:rsidRDefault="0055048B" w:rsidP="0055048B">
      <w:pPr>
        <w:rPr>
          <w:b/>
          <w:i/>
          <w:szCs w:val="22"/>
          <w:highlight w:val="green"/>
          <w:lang w:eastAsia="x-none"/>
        </w:rPr>
      </w:pPr>
      <w:r w:rsidRPr="0025003E">
        <w:rPr>
          <w:b/>
          <w:i/>
          <w:szCs w:val="22"/>
          <w:highlight w:val="green"/>
          <w:lang w:eastAsia="x-none"/>
        </w:rPr>
        <w:t>Agreements:</w:t>
      </w:r>
    </w:p>
    <w:p w14:paraId="2FCE26E2" w14:textId="77777777" w:rsidR="0055048B" w:rsidRPr="0025003E" w:rsidRDefault="0055048B" w:rsidP="0055048B">
      <w:pPr>
        <w:spacing w:after="180"/>
        <w:rPr>
          <w:rFonts w:eastAsia="Calibri"/>
          <w:i/>
          <w:szCs w:val="22"/>
        </w:rPr>
      </w:pPr>
      <w:r w:rsidRPr="0025003E">
        <w:rPr>
          <w:rFonts w:eastAsia="Calibri"/>
          <w:i/>
          <w:szCs w:val="22"/>
        </w:rPr>
        <w:t>Capture the following conclusions for the IAB SI TR:</w:t>
      </w:r>
    </w:p>
    <w:p w14:paraId="12B67828" w14:textId="77777777" w:rsidR="0055048B" w:rsidRPr="0025003E" w:rsidRDefault="0055048B" w:rsidP="0055048B">
      <w:pPr>
        <w:spacing w:after="180"/>
        <w:rPr>
          <w:rFonts w:eastAsia="Calibri"/>
          <w:i/>
          <w:szCs w:val="22"/>
        </w:rPr>
      </w:pPr>
      <w:r w:rsidRPr="0025003E">
        <w:rPr>
          <w:rFonts w:eastAsia="Calibri"/>
          <w:i/>
          <w:szCs w:val="22"/>
        </w:rPr>
        <w:t>RAN1 has studied various physical layer aspects for Integrated Access and Backhaul, and from a RAN1 perspective, support for the following features and solutions has been determined to be beneficial and feasible:</w:t>
      </w:r>
    </w:p>
    <w:p w14:paraId="7D2C5804" w14:textId="77777777" w:rsidR="0055048B" w:rsidRPr="0025003E" w:rsidRDefault="0055048B" w:rsidP="0055048B">
      <w:pPr>
        <w:numPr>
          <w:ilvl w:val="0"/>
          <w:numId w:val="27"/>
        </w:numPr>
        <w:overflowPunct/>
        <w:autoSpaceDE/>
        <w:autoSpaceDN/>
        <w:adjustRightInd/>
        <w:spacing w:after="0"/>
        <w:jc w:val="left"/>
        <w:textAlignment w:val="auto"/>
        <w:rPr>
          <w:rFonts w:eastAsia="Calibri"/>
          <w:i/>
          <w:szCs w:val="22"/>
        </w:rPr>
      </w:pPr>
      <w:r w:rsidRPr="0025003E">
        <w:rPr>
          <w:rFonts w:eastAsia="Calibri"/>
          <w:i/>
          <w:szCs w:val="22"/>
        </w:rPr>
        <w:t xml:space="preserve">Mechanisms for discovery of IAB nodes and management of backhaul links in both SA and NSA deployments, </w:t>
      </w:r>
      <w:proofErr w:type="gramStart"/>
      <w:r w:rsidRPr="0025003E">
        <w:rPr>
          <w:rFonts w:eastAsia="Calibri"/>
          <w:i/>
          <w:szCs w:val="22"/>
        </w:rPr>
        <w:t>taking into account</w:t>
      </w:r>
      <w:proofErr w:type="gramEnd"/>
      <w:r w:rsidRPr="0025003E">
        <w:rPr>
          <w:rFonts w:eastAsia="Calibri"/>
          <w:i/>
          <w:szCs w:val="22"/>
        </w:rPr>
        <w:t xml:space="preserve"> the half-duplex constraint at an IAB node and multi-hop topologies, including:</w:t>
      </w:r>
    </w:p>
    <w:p w14:paraId="29398837" w14:textId="77777777" w:rsidR="0055048B" w:rsidRPr="0025003E" w:rsidRDefault="0055048B" w:rsidP="0055048B">
      <w:pPr>
        <w:numPr>
          <w:ilvl w:val="1"/>
          <w:numId w:val="27"/>
        </w:numPr>
        <w:spacing w:after="180"/>
        <w:jc w:val="left"/>
        <w:rPr>
          <w:rFonts w:eastAsia="Calibri"/>
          <w:i/>
          <w:szCs w:val="22"/>
        </w:rPr>
      </w:pPr>
      <w:r w:rsidRPr="0025003E">
        <w:rPr>
          <w:rFonts w:eastAsia="Calibri"/>
          <w:i/>
          <w:szCs w:val="22"/>
        </w:rPr>
        <w:t>Solutions reusing the same set of SSBs used for access UEs and solutions which use of SSBs which are orthogonal (TDM and/or FDM) with SSBs used for access UEs</w:t>
      </w:r>
    </w:p>
    <w:p w14:paraId="4A0C8D02" w14:textId="77777777" w:rsidR="0055048B" w:rsidRPr="0025003E" w:rsidRDefault="0055048B" w:rsidP="0055048B">
      <w:pPr>
        <w:rPr>
          <w:b/>
          <w:i/>
          <w:szCs w:val="22"/>
          <w:lang w:eastAsia="x-none"/>
        </w:rPr>
      </w:pPr>
      <w:r w:rsidRPr="0025003E">
        <w:rPr>
          <w:i/>
          <w:szCs w:val="22"/>
          <w:highlight w:val="green"/>
          <w:lang w:eastAsia="x-none"/>
        </w:rPr>
        <w:t>Agreements</w:t>
      </w:r>
      <w:r w:rsidRPr="0025003E">
        <w:rPr>
          <w:b/>
          <w:i/>
          <w:szCs w:val="22"/>
          <w:lang w:eastAsia="x-none"/>
        </w:rPr>
        <w:t>:</w:t>
      </w:r>
    </w:p>
    <w:p w14:paraId="5E8A6329" w14:textId="77777777" w:rsidR="0055048B" w:rsidRPr="0025003E" w:rsidRDefault="0055048B" w:rsidP="0055048B">
      <w:pPr>
        <w:spacing w:after="180"/>
        <w:rPr>
          <w:rFonts w:eastAsia="Calibri"/>
          <w:i/>
          <w:szCs w:val="22"/>
        </w:rPr>
      </w:pPr>
      <w:r w:rsidRPr="0025003E">
        <w:rPr>
          <w:rFonts w:eastAsia="Calibri"/>
          <w:i/>
          <w:szCs w:val="22"/>
        </w:rPr>
        <w:t>Capture the following recommendations for the IAB SI TR:</w:t>
      </w:r>
    </w:p>
    <w:p w14:paraId="7E0B0923" w14:textId="77777777" w:rsidR="0055048B" w:rsidRPr="0025003E" w:rsidRDefault="0055048B" w:rsidP="0055048B">
      <w:pPr>
        <w:spacing w:after="180"/>
        <w:rPr>
          <w:rFonts w:eastAsia="Calibri"/>
          <w:i/>
          <w:szCs w:val="22"/>
        </w:rPr>
      </w:pPr>
      <w:r w:rsidRPr="0025003E">
        <w:rPr>
          <w:rFonts w:eastAsia="Calibri"/>
          <w:i/>
          <w:szCs w:val="22"/>
        </w:rPr>
        <w:t>The following physical layer features and solutions are recommended to be specified as part of a Rel.16 IAB WI from a RAN1 perspective:</w:t>
      </w:r>
    </w:p>
    <w:p w14:paraId="086A7D7A" w14:textId="77777777" w:rsidR="0055048B" w:rsidRPr="0025003E" w:rsidRDefault="0055048B" w:rsidP="0055048B">
      <w:pPr>
        <w:numPr>
          <w:ilvl w:val="0"/>
          <w:numId w:val="28"/>
        </w:numPr>
        <w:spacing w:after="180"/>
        <w:jc w:val="left"/>
        <w:rPr>
          <w:rFonts w:eastAsia="Calibri"/>
          <w:i/>
          <w:szCs w:val="22"/>
        </w:rPr>
      </w:pPr>
      <w:r w:rsidRPr="0025003E">
        <w:rPr>
          <w:rFonts w:eastAsia="Calibri"/>
          <w:i/>
          <w:szCs w:val="22"/>
        </w:rPr>
        <w:t>SSB/RMSI periodicity values assumed by the IAB node MT for initial access</w:t>
      </w:r>
    </w:p>
    <w:p w14:paraId="785C6B3D" w14:textId="77777777" w:rsidR="0055048B" w:rsidRPr="0025003E" w:rsidRDefault="0055048B" w:rsidP="0055048B">
      <w:pPr>
        <w:numPr>
          <w:ilvl w:val="0"/>
          <w:numId w:val="28"/>
        </w:numPr>
        <w:spacing w:after="180"/>
        <w:jc w:val="left"/>
        <w:rPr>
          <w:rFonts w:eastAsia="Calibri"/>
          <w:i/>
          <w:szCs w:val="22"/>
        </w:rPr>
      </w:pPr>
      <w:r w:rsidRPr="0025003E">
        <w:rPr>
          <w:rFonts w:eastAsia="Calibri"/>
          <w:i/>
          <w:szCs w:val="22"/>
        </w:rPr>
        <w:lastRenderedPageBreak/>
        <w:t>Enhancements for use of SSBs which are orthogonal (TDM and/or FDM) with SSBs used for access UEs, including new periodicities and time-domain mapping/muting patterns</w:t>
      </w:r>
    </w:p>
    <w:bookmarkEnd w:id="1"/>
    <w:p w14:paraId="61D05ED3" w14:textId="77777777" w:rsidR="0055048B" w:rsidRPr="00B72824" w:rsidRDefault="0055048B" w:rsidP="008A4160"/>
    <w:p w14:paraId="77FD4718" w14:textId="6DA62BB6" w:rsidR="001B7907" w:rsidRDefault="001B7907" w:rsidP="00DE5E4C">
      <w:r>
        <w:t xml:space="preserve">In this contribution we considered </w:t>
      </w:r>
      <w:r w:rsidR="007D6931">
        <w:t>some aspect</w:t>
      </w:r>
      <w:r>
        <w:t xml:space="preserve"> in </w:t>
      </w:r>
      <w:r w:rsidR="00B72824">
        <w:t>IAB</w:t>
      </w:r>
      <w:r>
        <w:t>. The</w:t>
      </w:r>
      <w:r w:rsidRPr="00BB3EA2">
        <w:t xml:space="preserve"> related observations </w:t>
      </w:r>
      <w:r>
        <w:t xml:space="preserve">including </w:t>
      </w:r>
      <w:r w:rsidR="007D6931">
        <w:t>SS/PBCH block and RMSI transmission</w:t>
      </w:r>
      <w:r w:rsidR="00445CBA">
        <w:t xml:space="preserve"> of IAB node</w:t>
      </w:r>
      <w:r w:rsidRPr="00BB3EA2">
        <w:t xml:space="preserve"> </w:t>
      </w:r>
      <w:r>
        <w:t>were discussed</w:t>
      </w:r>
      <w:r w:rsidRPr="00BB3EA2">
        <w:t>.</w:t>
      </w:r>
    </w:p>
    <w:p w14:paraId="644526CB" w14:textId="77777777" w:rsidR="002C75FA" w:rsidRDefault="002C75FA" w:rsidP="002C75FA"/>
    <w:p w14:paraId="0BAB028B" w14:textId="448E812F" w:rsidR="002C75FA" w:rsidRPr="002C75FA" w:rsidRDefault="002C75FA" w:rsidP="002C75FA">
      <w:pPr>
        <w:pStyle w:val="Heading1"/>
        <w:tabs>
          <w:tab w:val="clear" w:pos="3762"/>
          <w:tab w:val="num" w:pos="432"/>
        </w:tabs>
        <w:ind w:left="432"/>
        <w:rPr>
          <w:sz w:val="32"/>
          <w:szCs w:val="32"/>
          <w:lang w:val="en-US"/>
        </w:rPr>
      </w:pPr>
      <w:r w:rsidRPr="002C75FA">
        <w:rPr>
          <w:sz w:val="32"/>
          <w:szCs w:val="32"/>
          <w:lang w:val="en-US"/>
        </w:rPr>
        <w:t xml:space="preserve">Consideration on </w:t>
      </w:r>
      <w:r w:rsidR="009C782C">
        <w:rPr>
          <w:sz w:val="32"/>
          <w:szCs w:val="32"/>
          <w:lang w:val="en-US"/>
        </w:rPr>
        <w:t>SSB/RMSI Periodicity</w:t>
      </w:r>
      <w:r w:rsidRPr="002C75FA">
        <w:rPr>
          <w:sz w:val="32"/>
          <w:szCs w:val="32"/>
          <w:lang w:val="en-US"/>
        </w:rPr>
        <w:t xml:space="preserve"> </w:t>
      </w:r>
    </w:p>
    <w:p w14:paraId="6CF9B046" w14:textId="36BA1E1D" w:rsidR="009C782C" w:rsidRDefault="009C782C" w:rsidP="002C75FA">
      <w:pPr>
        <w:rPr>
          <w:lang w:val="en-US"/>
        </w:rPr>
      </w:pPr>
      <w:r>
        <w:rPr>
          <w:lang w:val="en-US"/>
        </w:rPr>
        <w:t xml:space="preserve">It was agreed that in an NSA deployment, from an access UE perspective, when the IAB node MT performs initial access on the NR carrier, it follows the same Stage 1 initial access as in SA deployments. It is beneficial to consider some modification for initial access procedure such as the modification for SSB/RMSI periodicity. For example, IAB node can assume that periodicity of SS/PBCH block can be long, e.g., longer than the default 20ms. This can allow IAB node including donor to transmit SS/PBCH block </w:t>
      </w:r>
      <w:r w:rsidR="00507221">
        <w:rPr>
          <w:lang w:val="en-US"/>
        </w:rPr>
        <w:t xml:space="preserve">in a longer periodicity </w:t>
      </w:r>
      <w:r>
        <w:rPr>
          <w:lang w:val="en-US"/>
        </w:rPr>
        <w:t>when it operates in NSA</w:t>
      </w:r>
      <w:r w:rsidR="00507221">
        <w:rPr>
          <w:lang w:val="en-US"/>
        </w:rPr>
        <w:t>.</w:t>
      </w:r>
      <w:r>
        <w:rPr>
          <w:lang w:val="en-US"/>
        </w:rPr>
        <w:t xml:space="preserve"> </w:t>
      </w:r>
      <w:r w:rsidR="00507221">
        <w:rPr>
          <w:lang w:val="en-US"/>
        </w:rPr>
        <w:t xml:space="preserve">For example, IAB node can transmit SS/PBCH block in a periodicity </w:t>
      </w:r>
      <w:r w:rsidR="00BA395E">
        <w:rPr>
          <w:lang w:val="en-US"/>
        </w:rPr>
        <w:t xml:space="preserve">of </w:t>
      </w:r>
      <w:r w:rsidR="00507221">
        <w:rPr>
          <w:lang w:val="en-US"/>
        </w:rPr>
        <w:t>80ms or 160ms or longer.</w:t>
      </w:r>
    </w:p>
    <w:p w14:paraId="6B0A734F" w14:textId="1DE4E926" w:rsidR="00507221" w:rsidRDefault="00507221" w:rsidP="002C75FA">
      <w:pPr>
        <w:rPr>
          <w:lang w:val="en-US"/>
        </w:rPr>
      </w:pPr>
      <w:r>
        <w:rPr>
          <w:lang w:val="en-US"/>
        </w:rPr>
        <w:t xml:space="preserve">IAB node can also transmit RMSI in a long periodicity. </w:t>
      </w:r>
      <w:r w:rsidR="00BA395E">
        <w:rPr>
          <w:lang w:val="en-US"/>
        </w:rPr>
        <w:t xml:space="preserve">In addition, </w:t>
      </w:r>
      <w:r>
        <w:rPr>
          <w:lang w:val="en-US"/>
        </w:rPr>
        <w:t>IAB node can transmit RMSI in a longer periodicity than SS/PBCH block. RMSI may only be needed for initial access performed by IAB</w:t>
      </w:r>
      <w:r w:rsidR="00BA395E">
        <w:rPr>
          <w:lang w:val="en-US"/>
        </w:rPr>
        <w:t xml:space="preserve"> node</w:t>
      </w:r>
      <w:r>
        <w:rPr>
          <w:lang w:val="en-US"/>
        </w:rPr>
        <w:t>. Therefore, frequent transmission of RMSI may not be necessary. For example, IAB</w:t>
      </w:r>
      <w:r w:rsidR="00BA395E">
        <w:rPr>
          <w:lang w:val="en-US"/>
        </w:rPr>
        <w:t xml:space="preserve"> node can transmit RMSI</w:t>
      </w:r>
      <w:r>
        <w:rPr>
          <w:lang w:val="en-US"/>
        </w:rPr>
        <w:t xml:space="preserve"> in a periodicity </w:t>
      </w:r>
      <w:r w:rsidR="00BA395E">
        <w:rPr>
          <w:lang w:val="en-US"/>
        </w:rPr>
        <w:t xml:space="preserve">of </w:t>
      </w:r>
      <w:r>
        <w:rPr>
          <w:lang w:val="en-US"/>
        </w:rPr>
        <w:t xml:space="preserve">160ms or 320ms or longer. </w:t>
      </w:r>
    </w:p>
    <w:p w14:paraId="1777A40A" w14:textId="77EB6988" w:rsidR="009C782C" w:rsidRDefault="00507221" w:rsidP="002C75FA">
      <w:pPr>
        <w:rPr>
          <w:lang w:val="en-US"/>
        </w:rPr>
      </w:pPr>
      <w:r>
        <w:rPr>
          <w:lang w:val="en-US"/>
        </w:rPr>
        <w:t>For IAB node, RMSI may be used for acquiring some minimum system information for initial access</w:t>
      </w:r>
      <w:r w:rsidR="00716A4D">
        <w:rPr>
          <w:lang w:val="en-US"/>
        </w:rPr>
        <w:t xml:space="preserve"> by IAB node</w:t>
      </w:r>
      <w:r>
        <w:rPr>
          <w:lang w:val="en-US"/>
        </w:rPr>
        <w:t xml:space="preserve">. For example, RACH configuration may be part of RMSI for IAB. </w:t>
      </w:r>
      <w:r w:rsidR="00716A4D">
        <w:rPr>
          <w:lang w:val="en-US"/>
        </w:rPr>
        <w:t>However, s</w:t>
      </w:r>
      <w:r>
        <w:rPr>
          <w:lang w:val="en-US"/>
        </w:rPr>
        <w:t>ome information in RMSI may not be necessary</w:t>
      </w:r>
      <w:r w:rsidR="00716A4D">
        <w:rPr>
          <w:lang w:val="en-US"/>
        </w:rPr>
        <w:t xml:space="preserve"> for IAB</w:t>
      </w:r>
      <w:r>
        <w:rPr>
          <w:lang w:val="en-US"/>
        </w:rPr>
        <w:t xml:space="preserve">. What is needed and what is not needed </w:t>
      </w:r>
      <w:r w:rsidR="00716A4D">
        <w:rPr>
          <w:lang w:val="en-US"/>
        </w:rPr>
        <w:t>can</w:t>
      </w:r>
      <w:r>
        <w:rPr>
          <w:lang w:val="en-US"/>
        </w:rPr>
        <w:t xml:space="preserve"> be further discussed.</w:t>
      </w:r>
    </w:p>
    <w:p w14:paraId="64BFE2AF" w14:textId="2E3F2FC2" w:rsidR="00507221" w:rsidRDefault="00896E78" w:rsidP="002C75FA">
      <w:pPr>
        <w:rPr>
          <w:lang w:val="en-US"/>
        </w:rPr>
      </w:pPr>
      <w:r>
        <w:rPr>
          <w:lang w:val="en-US"/>
        </w:rPr>
        <w:t>SS/PBCH block and RMSI could</w:t>
      </w:r>
      <w:r w:rsidR="00507221">
        <w:rPr>
          <w:lang w:val="en-US"/>
        </w:rPr>
        <w:t xml:space="preserve"> be transmitted in t</w:t>
      </w:r>
      <w:r>
        <w:rPr>
          <w:lang w:val="en-US"/>
        </w:rPr>
        <w:t>he same or different periodicities</w:t>
      </w:r>
      <w:r w:rsidR="00507221">
        <w:rPr>
          <w:lang w:val="en-US"/>
        </w:rPr>
        <w:t xml:space="preserve">. If SS/PBCH block and RMSI are transmitted at the same periodicity, additional information may not be needed in RMSI. However, if SS/PBCH block and RMSI are transmitted at the different periodicities, additional information </w:t>
      </w:r>
      <w:r>
        <w:rPr>
          <w:lang w:val="en-US"/>
        </w:rPr>
        <w:t>could</w:t>
      </w:r>
      <w:r w:rsidR="00507221">
        <w:rPr>
          <w:lang w:val="en-US"/>
        </w:rPr>
        <w:t xml:space="preserve"> be needed in PBCH or RMSI to indicate the presence or absence of PBCH or RMSI. If SS/PBCH block is transmitted less frequently than RMSI, information may be needed in RMSI to indicate the presence or absence of </w:t>
      </w:r>
      <w:r>
        <w:rPr>
          <w:lang w:val="en-US"/>
        </w:rPr>
        <w:t>SS/</w:t>
      </w:r>
      <w:r w:rsidR="00507221">
        <w:rPr>
          <w:lang w:val="en-US"/>
        </w:rPr>
        <w:t xml:space="preserve">PBCH. On the other hand, if SS/PBCH block is transmitted more frequently than RMSI, information may be needed in </w:t>
      </w:r>
      <w:r>
        <w:rPr>
          <w:lang w:val="en-US"/>
        </w:rPr>
        <w:t>SS/</w:t>
      </w:r>
      <w:r w:rsidR="00507221">
        <w:rPr>
          <w:lang w:val="en-US"/>
        </w:rPr>
        <w:t xml:space="preserve">PBCH to indicate the presence or absence of RMSI. Since there is association between SS/PBCH and RMSI, if SS/PBCH block is transmitted less frequently than RMSI, additional information </w:t>
      </w:r>
      <w:r>
        <w:rPr>
          <w:lang w:val="en-US"/>
        </w:rPr>
        <w:t>could</w:t>
      </w:r>
      <w:r w:rsidR="00507221">
        <w:rPr>
          <w:lang w:val="en-US"/>
        </w:rPr>
        <w:t xml:space="preserve"> be needed in RMSI to indicate that </w:t>
      </w:r>
      <w:r>
        <w:rPr>
          <w:lang w:val="en-US"/>
        </w:rPr>
        <w:t>SS/</w:t>
      </w:r>
      <w:r w:rsidR="00507221">
        <w:rPr>
          <w:lang w:val="en-US"/>
        </w:rPr>
        <w:t xml:space="preserve">PBCH is not present and association does not hold. However, if SS/PBCH block is transmitted more frequently than RMSI, additional information </w:t>
      </w:r>
      <w:r>
        <w:rPr>
          <w:lang w:val="en-US"/>
        </w:rPr>
        <w:t>could</w:t>
      </w:r>
      <w:r w:rsidR="00507221">
        <w:rPr>
          <w:lang w:val="en-US"/>
        </w:rPr>
        <w:t xml:space="preserve"> be needed in </w:t>
      </w:r>
      <w:r>
        <w:rPr>
          <w:lang w:val="en-US"/>
        </w:rPr>
        <w:t>SS/</w:t>
      </w:r>
      <w:r w:rsidR="00507221">
        <w:rPr>
          <w:lang w:val="en-US"/>
        </w:rPr>
        <w:t xml:space="preserve">PBCH to indicate that RMSI is not present and association does not hold. </w:t>
      </w:r>
    </w:p>
    <w:p w14:paraId="6B647425" w14:textId="4278028E" w:rsidR="00507221" w:rsidRDefault="00507221" w:rsidP="002C75FA">
      <w:pPr>
        <w:rPr>
          <w:lang w:val="en-US"/>
        </w:rPr>
      </w:pPr>
      <w:r>
        <w:rPr>
          <w:lang w:val="en-US"/>
        </w:rPr>
        <w:t xml:space="preserve">For simplicity, SS/PBCH and RMSI </w:t>
      </w:r>
      <w:r w:rsidR="00896E78">
        <w:rPr>
          <w:lang w:val="en-US"/>
        </w:rPr>
        <w:t>could also</w:t>
      </w:r>
      <w:r>
        <w:rPr>
          <w:lang w:val="en-US"/>
        </w:rPr>
        <w:t xml:space="preserve"> be designed to have the same periodicity to avoid the need for such indication. For example, SS/PBCH and RMSI </w:t>
      </w:r>
      <w:r w:rsidR="00896E78">
        <w:rPr>
          <w:lang w:val="en-US"/>
        </w:rPr>
        <w:t>could</w:t>
      </w:r>
      <w:r>
        <w:rPr>
          <w:lang w:val="en-US"/>
        </w:rPr>
        <w:t xml:space="preserve"> be transmitted at the same periodicity 160ms which is longer than default 20ms.</w:t>
      </w:r>
    </w:p>
    <w:p w14:paraId="01650C20" w14:textId="3A2AC5F9" w:rsidR="002C75FA" w:rsidRDefault="002C75FA" w:rsidP="007D6931"/>
    <w:p w14:paraId="1C8ECD8B" w14:textId="17E2B30D" w:rsidR="002C75FA" w:rsidRDefault="002C75FA" w:rsidP="002C75FA">
      <w:pPr>
        <w:rPr>
          <w:i/>
          <w:lang w:val="en-US"/>
        </w:rPr>
      </w:pPr>
      <w:r w:rsidRPr="00C01C5A">
        <w:rPr>
          <w:b/>
          <w:i/>
          <w:u w:val="single"/>
          <w:lang w:val="en-US"/>
        </w:rPr>
        <w:t xml:space="preserve">Proposal </w:t>
      </w:r>
      <w:r w:rsidRPr="00C01C5A">
        <w:rPr>
          <w:rFonts w:hint="eastAsia"/>
          <w:b/>
          <w:i/>
          <w:u w:val="single"/>
          <w:lang w:val="en-US"/>
        </w:rPr>
        <w:t>1</w:t>
      </w:r>
      <w:r w:rsidRPr="00B24767">
        <w:rPr>
          <w:i/>
          <w:lang w:val="en-US"/>
        </w:rPr>
        <w:t>:</w:t>
      </w:r>
      <w:r w:rsidR="00896E78">
        <w:rPr>
          <w:i/>
          <w:lang w:val="en-US"/>
        </w:rPr>
        <w:t xml:space="preserve"> </w:t>
      </w:r>
      <w:r w:rsidR="007D6931">
        <w:rPr>
          <w:i/>
        </w:rPr>
        <w:t>SS/PBCH</w:t>
      </w:r>
      <w:r w:rsidR="00896E78">
        <w:rPr>
          <w:i/>
        </w:rPr>
        <w:t xml:space="preserve"> block</w:t>
      </w:r>
      <w:r w:rsidR="007D6931">
        <w:rPr>
          <w:i/>
        </w:rPr>
        <w:t xml:space="preserve"> and RMSI are transmitted at </w:t>
      </w:r>
      <w:r w:rsidR="00896E78">
        <w:rPr>
          <w:i/>
        </w:rPr>
        <w:t xml:space="preserve">the </w:t>
      </w:r>
      <w:r w:rsidR="007D6931">
        <w:rPr>
          <w:i/>
        </w:rPr>
        <w:t>same periodicity longer than NR R-15 default periodicity 20ms, e.g., 160ms</w:t>
      </w:r>
      <w:r>
        <w:rPr>
          <w:i/>
          <w:lang w:val="en-US"/>
        </w:rPr>
        <w:t>.</w:t>
      </w:r>
      <w:r w:rsidRPr="00EB115E">
        <w:rPr>
          <w:i/>
          <w:lang w:val="en-US"/>
        </w:rPr>
        <w:t xml:space="preserve"> </w:t>
      </w:r>
    </w:p>
    <w:p w14:paraId="5FE6FD34" w14:textId="4569C737" w:rsidR="007D6931" w:rsidRDefault="007D6931" w:rsidP="007D6931">
      <w:pPr>
        <w:rPr>
          <w:i/>
          <w:lang w:val="en-US"/>
        </w:rPr>
      </w:pPr>
      <w:r w:rsidRPr="00C01C5A">
        <w:rPr>
          <w:b/>
          <w:i/>
          <w:u w:val="single"/>
          <w:lang w:val="en-US"/>
        </w:rPr>
        <w:t xml:space="preserve">Proposal </w:t>
      </w:r>
      <w:proofErr w:type="gramStart"/>
      <w:r>
        <w:rPr>
          <w:b/>
          <w:i/>
          <w:u w:val="single"/>
          <w:lang w:val="en-US"/>
        </w:rPr>
        <w:t>2</w:t>
      </w:r>
      <w:r w:rsidRPr="00B24767">
        <w:rPr>
          <w:i/>
          <w:lang w:val="en-US"/>
        </w:rPr>
        <w:t>:</w:t>
      </w:r>
      <w:r>
        <w:rPr>
          <w:i/>
          <w:lang w:val="en-US"/>
        </w:rPr>
        <w:t>When</w:t>
      </w:r>
      <w:proofErr w:type="gramEnd"/>
      <w:r>
        <w:rPr>
          <w:i/>
          <w:lang w:val="en-US"/>
        </w:rPr>
        <w:t xml:space="preserve"> </w:t>
      </w:r>
      <w:r>
        <w:rPr>
          <w:i/>
        </w:rPr>
        <w:t>SS/PBCH and RMSI are transmitted at different periodicities</w:t>
      </w:r>
      <w:r w:rsidR="004F1564">
        <w:rPr>
          <w:i/>
          <w:lang w:val="en-US"/>
        </w:rPr>
        <w:t>, it should be indicated whether</w:t>
      </w:r>
      <w:r>
        <w:rPr>
          <w:i/>
          <w:lang w:val="en-US"/>
        </w:rPr>
        <w:t xml:space="preserve"> </w:t>
      </w:r>
      <w:r w:rsidR="004F1564">
        <w:rPr>
          <w:i/>
          <w:lang w:val="en-US"/>
        </w:rPr>
        <w:t xml:space="preserve">the </w:t>
      </w:r>
      <w:r>
        <w:rPr>
          <w:i/>
          <w:lang w:val="en-US"/>
        </w:rPr>
        <w:t>association between SS/PBCH block and RMSI holds or not.</w:t>
      </w:r>
      <w:r w:rsidRPr="00EB115E">
        <w:rPr>
          <w:i/>
          <w:lang w:val="en-US"/>
        </w:rPr>
        <w:t xml:space="preserve"> </w:t>
      </w:r>
    </w:p>
    <w:p w14:paraId="7D4D8890" w14:textId="249B3D47" w:rsidR="00454BD7" w:rsidRDefault="00454BD7" w:rsidP="00C30A97">
      <w:pPr>
        <w:rPr>
          <w:sz w:val="28"/>
          <w:szCs w:val="28"/>
        </w:rPr>
      </w:pPr>
    </w:p>
    <w:p w14:paraId="2FAD0FC4" w14:textId="5CE65583" w:rsidR="00821C42" w:rsidRPr="00BD114B" w:rsidRDefault="00356D3B" w:rsidP="002C75FA">
      <w:pPr>
        <w:pStyle w:val="Heading1"/>
        <w:tabs>
          <w:tab w:val="clear" w:pos="3762"/>
          <w:tab w:val="num" w:pos="432"/>
        </w:tabs>
        <w:ind w:left="432"/>
        <w:rPr>
          <w:sz w:val="32"/>
          <w:szCs w:val="32"/>
          <w:lang w:val="en-US"/>
        </w:rPr>
      </w:pPr>
      <w:r w:rsidRPr="00BD114B">
        <w:rPr>
          <w:sz w:val="32"/>
          <w:szCs w:val="32"/>
          <w:lang w:val="en-US"/>
        </w:rPr>
        <w:t>Conclusions</w:t>
      </w:r>
    </w:p>
    <w:p w14:paraId="1D429AE3" w14:textId="5E9AB8DA" w:rsidR="00F4232E" w:rsidRDefault="003A237A" w:rsidP="00F4232E">
      <w:r>
        <w:t xml:space="preserve">In this </w:t>
      </w:r>
      <w:r w:rsidR="000C13AE">
        <w:t>contribution</w:t>
      </w:r>
      <w:r>
        <w:t xml:space="preserve"> we considered </w:t>
      </w:r>
      <w:r w:rsidR="00312615">
        <w:t xml:space="preserve">initial access </w:t>
      </w:r>
      <w:r w:rsidR="00312615">
        <w:rPr>
          <w:rFonts w:hint="eastAsia"/>
        </w:rPr>
        <w:t>and mobility in IAB system</w:t>
      </w:r>
      <w:r w:rsidR="007E09C2">
        <w:t>. The</w:t>
      </w:r>
      <w:r w:rsidR="004F721A" w:rsidRPr="00BB3EA2">
        <w:t xml:space="preserve"> related observations for </w:t>
      </w:r>
      <w:r w:rsidR="001B7907">
        <w:t xml:space="preserve">initial access including </w:t>
      </w:r>
      <w:r w:rsidR="007D6931">
        <w:t>SS/PBCH and RMSI</w:t>
      </w:r>
      <w:r w:rsidR="00312615">
        <w:t xml:space="preserve"> in IAB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7C9EE250" w14:textId="77777777" w:rsidR="004F1564" w:rsidRDefault="004F1564" w:rsidP="004F1564">
      <w:pPr>
        <w:rPr>
          <w:i/>
          <w:lang w:val="en-US"/>
        </w:rPr>
      </w:pPr>
      <w:r w:rsidRPr="00C01C5A">
        <w:rPr>
          <w:b/>
          <w:i/>
          <w:u w:val="single"/>
          <w:lang w:val="en-US"/>
        </w:rPr>
        <w:lastRenderedPageBreak/>
        <w:t xml:space="preserve">Proposal </w:t>
      </w:r>
      <w:r w:rsidRPr="00C01C5A">
        <w:rPr>
          <w:rFonts w:hint="eastAsia"/>
          <w:b/>
          <w:i/>
          <w:u w:val="single"/>
          <w:lang w:val="en-US"/>
        </w:rPr>
        <w:t>1</w:t>
      </w:r>
      <w:r w:rsidRPr="00B24767">
        <w:rPr>
          <w:i/>
          <w:lang w:val="en-US"/>
        </w:rPr>
        <w:t>:</w:t>
      </w:r>
      <w:r>
        <w:rPr>
          <w:i/>
          <w:lang w:val="en-US"/>
        </w:rPr>
        <w:t xml:space="preserve"> </w:t>
      </w:r>
      <w:r>
        <w:rPr>
          <w:i/>
        </w:rPr>
        <w:t>SS/PBCH block and RMSI are transmitted at the same periodicity longer than NR R-15 default periodicity 20ms, e.g., 160ms</w:t>
      </w:r>
      <w:r>
        <w:rPr>
          <w:i/>
          <w:lang w:val="en-US"/>
        </w:rPr>
        <w:t>.</w:t>
      </w:r>
      <w:r w:rsidRPr="00EB115E">
        <w:rPr>
          <w:i/>
          <w:lang w:val="en-US"/>
        </w:rPr>
        <w:t xml:space="preserve"> </w:t>
      </w:r>
    </w:p>
    <w:p w14:paraId="765D134A" w14:textId="77777777" w:rsidR="004F1564" w:rsidRDefault="004F1564" w:rsidP="004F1564">
      <w:pPr>
        <w:rPr>
          <w:i/>
          <w:lang w:val="en-US"/>
        </w:rPr>
      </w:pPr>
      <w:r w:rsidRPr="00C01C5A">
        <w:rPr>
          <w:b/>
          <w:i/>
          <w:u w:val="single"/>
          <w:lang w:val="en-US"/>
        </w:rPr>
        <w:t xml:space="preserve">Proposal </w:t>
      </w:r>
      <w:proofErr w:type="gramStart"/>
      <w:r>
        <w:rPr>
          <w:b/>
          <w:i/>
          <w:u w:val="single"/>
          <w:lang w:val="en-US"/>
        </w:rPr>
        <w:t>2</w:t>
      </w:r>
      <w:r w:rsidRPr="00B24767">
        <w:rPr>
          <w:i/>
          <w:lang w:val="en-US"/>
        </w:rPr>
        <w:t>:</w:t>
      </w:r>
      <w:r>
        <w:rPr>
          <w:i/>
          <w:lang w:val="en-US"/>
        </w:rPr>
        <w:t>When</w:t>
      </w:r>
      <w:proofErr w:type="gramEnd"/>
      <w:r>
        <w:rPr>
          <w:i/>
          <w:lang w:val="en-US"/>
        </w:rPr>
        <w:t xml:space="preserve"> </w:t>
      </w:r>
      <w:r>
        <w:rPr>
          <w:i/>
        </w:rPr>
        <w:t>SS/PBCH and RMSI are transmitted at different periodicities</w:t>
      </w:r>
      <w:r>
        <w:rPr>
          <w:i/>
          <w:lang w:val="en-US"/>
        </w:rPr>
        <w:t>, it should be indicated whether the association between SS/PBCH block and RMSI holds or not.</w:t>
      </w:r>
      <w:r w:rsidRPr="00EB115E">
        <w:rPr>
          <w:i/>
          <w:lang w:val="en-US"/>
        </w:rPr>
        <w:t xml:space="preserve"> </w:t>
      </w:r>
    </w:p>
    <w:p w14:paraId="148C020B" w14:textId="12DF8761" w:rsidR="00454BD7" w:rsidRDefault="00454BD7" w:rsidP="0086267A">
      <w:pPr>
        <w:rPr>
          <w:i/>
        </w:rPr>
      </w:pPr>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610F1C66" w14:textId="77777777" w:rsidR="0060129B" w:rsidRPr="00454BD7" w:rsidRDefault="0060129B" w:rsidP="0060129B">
      <w:pPr>
        <w:pStyle w:val="Reference"/>
        <w:numPr>
          <w:ilvl w:val="0"/>
          <w:numId w:val="10"/>
        </w:numPr>
        <w:rPr>
          <w:lang w:val="en-US"/>
        </w:rPr>
      </w:pPr>
      <w:bookmarkStart w:id="3" w:name="_Ref534973187"/>
      <w:r w:rsidRPr="00EA1B6B">
        <w:rPr>
          <w:lang w:val="en-US"/>
        </w:rPr>
        <w:t>Chair</w:t>
      </w:r>
      <w:r>
        <w:rPr>
          <w:lang w:val="en-US"/>
        </w:rPr>
        <w:t>man’s notes, 3GPP TSG RAN WG1#95</w:t>
      </w:r>
      <w:r w:rsidRPr="00EA1B6B">
        <w:rPr>
          <w:lang w:val="en-US"/>
        </w:rPr>
        <w:t xml:space="preserve">, </w:t>
      </w:r>
      <w:r>
        <w:rPr>
          <w:lang w:val="en-US"/>
        </w:rPr>
        <w:t>Spokane</w:t>
      </w:r>
      <w:r w:rsidRPr="00E846CE">
        <w:rPr>
          <w:lang w:val="en-US"/>
        </w:rPr>
        <w:t xml:space="preserve">, </w:t>
      </w:r>
      <w:r>
        <w:rPr>
          <w:lang w:val="en-US"/>
        </w:rPr>
        <w:t>USA</w:t>
      </w:r>
      <w:r w:rsidRPr="00E846CE">
        <w:rPr>
          <w:lang w:val="en-US"/>
        </w:rPr>
        <w:t xml:space="preserve">, </w:t>
      </w:r>
      <w:r>
        <w:rPr>
          <w:lang w:val="en-US"/>
        </w:rPr>
        <w:t>November 12</w:t>
      </w:r>
      <w:r w:rsidRPr="00B47F0C">
        <w:rPr>
          <w:vertAlign w:val="superscript"/>
          <w:lang w:val="en-US"/>
        </w:rPr>
        <w:t>th</w:t>
      </w:r>
      <w:r>
        <w:rPr>
          <w:lang w:val="en-US"/>
        </w:rPr>
        <w:t xml:space="preserve"> – 16</w:t>
      </w:r>
      <w:r w:rsidRPr="00B47F0C">
        <w:rPr>
          <w:vertAlign w:val="superscript"/>
          <w:lang w:val="en-US"/>
        </w:rPr>
        <w:t>th</w:t>
      </w:r>
      <w:r w:rsidRPr="00E846CE">
        <w:rPr>
          <w:lang w:val="en-US"/>
        </w:rPr>
        <w:t>, 2018</w:t>
      </w:r>
      <w:bookmarkEnd w:id="3"/>
    </w:p>
    <w:p w14:paraId="18982AE2" w14:textId="77777777" w:rsidR="00A110F0" w:rsidRPr="00E846CE" w:rsidRDefault="00A110F0" w:rsidP="00A110F0">
      <w:pPr>
        <w:pStyle w:val="Reference"/>
        <w:numPr>
          <w:ilvl w:val="0"/>
          <w:numId w:val="0"/>
        </w:numPr>
        <w:rPr>
          <w:lang w:val="en-US"/>
        </w:rPr>
      </w:pPr>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C9FDF" w14:textId="77777777" w:rsidR="00E16DB8" w:rsidRDefault="00E16DB8">
      <w:r>
        <w:separator/>
      </w:r>
    </w:p>
  </w:endnote>
  <w:endnote w:type="continuationSeparator" w:id="0">
    <w:p w14:paraId="366D8F93" w14:textId="77777777" w:rsidR="00E16DB8" w:rsidRDefault="00E16DB8">
      <w:r>
        <w:continuationSeparator/>
      </w:r>
    </w:p>
  </w:endnote>
  <w:endnote w:type="continuationNotice" w:id="1">
    <w:p w14:paraId="6F88C0B8" w14:textId="77777777" w:rsidR="00E16DB8" w:rsidRDefault="00E16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6688A271" w:rsidR="00507221" w:rsidRDefault="005072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06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6C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24585" w14:textId="77777777" w:rsidR="00E16DB8" w:rsidRDefault="00E16DB8">
      <w:r>
        <w:separator/>
      </w:r>
    </w:p>
  </w:footnote>
  <w:footnote w:type="continuationSeparator" w:id="0">
    <w:p w14:paraId="28CE8A31" w14:textId="77777777" w:rsidR="00E16DB8" w:rsidRDefault="00E16DB8">
      <w:r>
        <w:continuationSeparator/>
      </w:r>
    </w:p>
  </w:footnote>
  <w:footnote w:type="continuationNotice" w:id="1">
    <w:p w14:paraId="6B241F63" w14:textId="77777777" w:rsidR="00E16DB8" w:rsidRDefault="00E16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3762"/>
        </w:tabs>
        <w:ind w:left="376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2"/>
  </w:num>
  <w:num w:numId="4">
    <w:abstractNumId w:val="13"/>
  </w:num>
  <w:num w:numId="5">
    <w:abstractNumId w:val="8"/>
  </w:num>
  <w:num w:numId="6">
    <w:abstractNumId w:val="14"/>
  </w:num>
  <w:num w:numId="7">
    <w:abstractNumId w:val="16"/>
  </w:num>
  <w:num w:numId="8">
    <w:abstractNumId w:val="9"/>
  </w:num>
  <w:num w:numId="9">
    <w:abstractNumId w:val="17"/>
  </w:num>
  <w:num w:numId="10">
    <w:abstractNumId w:val="11"/>
  </w:num>
  <w:num w:numId="11">
    <w:abstractNumId w:val="7"/>
  </w:num>
  <w:num w:numId="12">
    <w:abstractNumId w:val="4"/>
  </w:num>
  <w:num w:numId="13">
    <w:abstractNumId w:val="5"/>
  </w:num>
  <w:num w:numId="14">
    <w:abstractNumId w:val="2"/>
  </w:num>
  <w:num w:numId="15">
    <w:abstractNumId w:val="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0"/>
  </w:num>
  <w:num w:numId="27">
    <w:abstractNumId w:val="3"/>
  </w:num>
  <w:num w:numId="2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405A0"/>
    <w:rsid w:val="00040B78"/>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1E1"/>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AD6"/>
    <w:rsid w:val="00112DEF"/>
    <w:rsid w:val="00113CF4"/>
    <w:rsid w:val="00115027"/>
    <w:rsid w:val="001153EA"/>
    <w:rsid w:val="00115643"/>
    <w:rsid w:val="001161C1"/>
    <w:rsid w:val="00116765"/>
    <w:rsid w:val="00116896"/>
    <w:rsid w:val="00116C54"/>
    <w:rsid w:val="00116FA4"/>
    <w:rsid w:val="0011747E"/>
    <w:rsid w:val="00117AE6"/>
    <w:rsid w:val="00117CEA"/>
    <w:rsid w:val="00117D41"/>
    <w:rsid w:val="0012189E"/>
    <w:rsid w:val="001218CE"/>
    <w:rsid w:val="001219F5"/>
    <w:rsid w:val="00121A20"/>
    <w:rsid w:val="00121D09"/>
    <w:rsid w:val="00122BBF"/>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442"/>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5C2B"/>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47B60"/>
    <w:rsid w:val="0025003E"/>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5FA"/>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78"/>
    <w:rsid w:val="003C6D1B"/>
    <w:rsid w:val="003C6E0C"/>
    <w:rsid w:val="003C733E"/>
    <w:rsid w:val="003C7806"/>
    <w:rsid w:val="003D109F"/>
    <w:rsid w:val="003D1E01"/>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874"/>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4BD7"/>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1B2"/>
    <w:rsid w:val="004669E2"/>
    <w:rsid w:val="00466F5E"/>
    <w:rsid w:val="00466FFC"/>
    <w:rsid w:val="00467451"/>
    <w:rsid w:val="00467A2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06CD"/>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564"/>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07221"/>
    <w:rsid w:val="005104E2"/>
    <w:rsid w:val="005108D8"/>
    <w:rsid w:val="00511392"/>
    <w:rsid w:val="005116F9"/>
    <w:rsid w:val="00511B0B"/>
    <w:rsid w:val="00512181"/>
    <w:rsid w:val="0051249C"/>
    <w:rsid w:val="00512811"/>
    <w:rsid w:val="00514531"/>
    <w:rsid w:val="005146A4"/>
    <w:rsid w:val="005153A7"/>
    <w:rsid w:val="005167FF"/>
    <w:rsid w:val="00516D5E"/>
    <w:rsid w:val="00517A44"/>
    <w:rsid w:val="00517B4C"/>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048B"/>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29B"/>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3C8D"/>
    <w:rsid w:val="00684179"/>
    <w:rsid w:val="00684721"/>
    <w:rsid w:val="0068481F"/>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8AA"/>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43B"/>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A4D"/>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D59"/>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931"/>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30BD"/>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6E78"/>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69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13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191"/>
    <w:rsid w:val="009A24C8"/>
    <w:rsid w:val="009A257B"/>
    <w:rsid w:val="009A2C9B"/>
    <w:rsid w:val="009A2F05"/>
    <w:rsid w:val="009A2F3C"/>
    <w:rsid w:val="009A42E3"/>
    <w:rsid w:val="009A462D"/>
    <w:rsid w:val="009A58CF"/>
    <w:rsid w:val="009A5CBA"/>
    <w:rsid w:val="009A6274"/>
    <w:rsid w:val="009A627F"/>
    <w:rsid w:val="009A645B"/>
    <w:rsid w:val="009A66F6"/>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62EF"/>
    <w:rsid w:val="009C6698"/>
    <w:rsid w:val="009C6897"/>
    <w:rsid w:val="009C690A"/>
    <w:rsid w:val="009C6A81"/>
    <w:rsid w:val="009C742A"/>
    <w:rsid w:val="009C782C"/>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0F0"/>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AF1"/>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BD9"/>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C7A"/>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30F"/>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395E"/>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206"/>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9CD"/>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6DB8"/>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3FD"/>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1031"/>
    <w:rsid w:val="00ED2A60"/>
    <w:rsid w:val="00ED3766"/>
    <w:rsid w:val="00ED3808"/>
    <w:rsid w:val="00ED3CA8"/>
    <w:rsid w:val="00ED454D"/>
    <w:rsid w:val="00ED4AFA"/>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BA"/>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6F0"/>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2F5B"/>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3A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E26C6834-5B83-4485-A818-CB98FFEB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2019-01-12T04:25:00Z</dcterms:created>
  <dcterms:modified xsi:type="dcterms:W3CDTF">2019-01-12T04:25:00Z</dcterms:modified>
  <cp:category/>
</cp:coreProperties>
</file>