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178F062" w:rsidR="00E90E49" w:rsidRPr="006F3862" w:rsidRDefault="00AE2834" w:rsidP="00E35559">
      <w:pPr>
        <w:pStyle w:val="3GPPHeader"/>
        <w:spacing w:after="60"/>
        <w:rPr>
          <w:sz w:val="32"/>
          <w:szCs w:val="32"/>
          <w:lang w:val="en-US"/>
        </w:rPr>
      </w:pPr>
      <w:r w:rsidRPr="006F3862">
        <w:rPr>
          <w:lang w:val="en-US"/>
        </w:rPr>
        <w:t>3GPP RAN</w:t>
      </w:r>
      <w:r w:rsidR="007C7741" w:rsidRPr="006F3862">
        <w:rPr>
          <w:lang w:val="en-US"/>
        </w:rPr>
        <w:t>1-AH-1901</w:t>
      </w:r>
      <w:r w:rsidRPr="006F3862">
        <w:rPr>
          <w:lang w:val="en-US"/>
        </w:rPr>
        <w:t xml:space="preserve"> Meeting</w:t>
      </w:r>
      <w:r w:rsidR="00E90E49" w:rsidRPr="006F3862">
        <w:rPr>
          <w:lang w:val="en-US"/>
        </w:rPr>
        <w:tab/>
      </w:r>
      <w:r w:rsidR="00091557" w:rsidRPr="006F3862">
        <w:rPr>
          <w:sz w:val="32"/>
          <w:szCs w:val="32"/>
          <w:lang w:val="en-US"/>
        </w:rPr>
        <w:t>R</w:t>
      </w:r>
      <w:r w:rsidRPr="006F3862">
        <w:rPr>
          <w:sz w:val="32"/>
          <w:szCs w:val="32"/>
          <w:lang w:val="en-US"/>
        </w:rPr>
        <w:t>1</w:t>
      </w:r>
      <w:r w:rsidR="00091557" w:rsidRPr="006F3862">
        <w:rPr>
          <w:sz w:val="32"/>
          <w:szCs w:val="32"/>
          <w:lang w:val="en-US"/>
        </w:rPr>
        <w:t>-</w:t>
      </w:r>
      <w:r w:rsidR="005F3025" w:rsidRPr="006F3862">
        <w:rPr>
          <w:sz w:val="32"/>
          <w:szCs w:val="32"/>
          <w:lang w:val="en-US"/>
        </w:rPr>
        <w:t>1</w:t>
      </w:r>
      <w:r w:rsidR="007C7741" w:rsidRPr="006F3862">
        <w:rPr>
          <w:sz w:val="32"/>
          <w:szCs w:val="32"/>
          <w:lang w:val="en-US"/>
        </w:rPr>
        <w:t>9</w:t>
      </w:r>
      <w:r w:rsidRPr="006F3862">
        <w:rPr>
          <w:sz w:val="32"/>
          <w:szCs w:val="32"/>
          <w:lang w:val="en-US"/>
        </w:rPr>
        <w:t>0</w:t>
      </w:r>
      <w:r w:rsidR="00BA00E0" w:rsidRPr="006F3862">
        <w:rPr>
          <w:sz w:val="32"/>
          <w:szCs w:val="32"/>
          <w:lang w:val="en-US"/>
        </w:rPr>
        <w:t>0733</w:t>
      </w:r>
    </w:p>
    <w:p w14:paraId="51C3CE46" w14:textId="20F28349" w:rsidR="00E90E49" w:rsidRPr="006F3862" w:rsidRDefault="007C7741" w:rsidP="00311702">
      <w:pPr>
        <w:pStyle w:val="3GPPHeader"/>
        <w:rPr>
          <w:lang w:val="en-US"/>
        </w:rPr>
      </w:pPr>
      <w:r w:rsidRPr="006F3862">
        <w:rPr>
          <w:lang w:val="en-US"/>
        </w:rPr>
        <w:t>Taipei</w:t>
      </w:r>
      <w:r w:rsidR="00115057" w:rsidRPr="006F3862">
        <w:rPr>
          <w:lang w:val="en-US"/>
        </w:rPr>
        <w:t xml:space="preserve">, </w:t>
      </w:r>
      <w:r w:rsidRPr="006F3862">
        <w:rPr>
          <w:lang w:val="en-US"/>
        </w:rPr>
        <w:t>Taiwan</w:t>
      </w:r>
      <w:r w:rsidR="00115057" w:rsidRPr="006F3862">
        <w:rPr>
          <w:lang w:val="en-US"/>
        </w:rPr>
        <w:t xml:space="preserve">, </w:t>
      </w:r>
      <w:r w:rsidRPr="006F3862">
        <w:rPr>
          <w:lang w:val="en-US"/>
        </w:rPr>
        <w:t>21</w:t>
      </w:r>
      <w:r w:rsidRPr="006F3862">
        <w:rPr>
          <w:vertAlign w:val="superscript"/>
          <w:lang w:val="en-US"/>
        </w:rPr>
        <w:t>st</w:t>
      </w:r>
      <w:r w:rsidRPr="006F3862">
        <w:rPr>
          <w:lang w:val="en-US"/>
        </w:rPr>
        <w:t xml:space="preserve"> </w:t>
      </w:r>
      <w:r w:rsidR="00115057" w:rsidRPr="006F3862">
        <w:rPr>
          <w:lang w:val="en-US"/>
        </w:rPr>
        <w:t xml:space="preserve">– </w:t>
      </w:r>
      <w:r w:rsidRPr="006F3862">
        <w:rPr>
          <w:lang w:val="en-US"/>
        </w:rPr>
        <w:t>25</w:t>
      </w:r>
      <w:r w:rsidRPr="006F3862">
        <w:rPr>
          <w:vertAlign w:val="superscript"/>
          <w:lang w:val="en-US"/>
        </w:rPr>
        <w:t>th</w:t>
      </w:r>
      <w:r w:rsidRPr="006F3862">
        <w:rPr>
          <w:lang w:val="en-US"/>
        </w:rPr>
        <w:t xml:space="preserve"> Jan.</w:t>
      </w:r>
      <w:r w:rsidR="00115057" w:rsidRPr="006F3862">
        <w:rPr>
          <w:lang w:val="en-US"/>
        </w:rPr>
        <w:t xml:space="preserve"> 201</w:t>
      </w:r>
      <w:r w:rsidRPr="006F3862">
        <w:rPr>
          <w:lang w:val="en-US"/>
        </w:rPr>
        <w:t>9</w:t>
      </w:r>
    </w:p>
    <w:p w14:paraId="5FCD4219" w14:textId="77777777" w:rsidR="00E90E49" w:rsidRPr="006F3862" w:rsidRDefault="00E90E49" w:rsidP="00357380">
      <w:pPr>
        <w:pStyle w:val="3GPPHeader"/>
        <w:rPr>
          <w:rFonts w:eastAsiaTheme="minorEastAsia"/>
          <w:lang w:val="en-US"/>
        </w:rPr>
      </w:pPr>
    </w:p>
    <w:p w14:paraId="606D9DC9" w14:textId="67AA9433" w:rsidR="00E90E49" w:rsidRPr="006F3862" w:rsidRDefault="00E90E49" w:rsidP="00311702">
      <w:pPr>
        <w:pStyle w:val="3GPPHeader"/>
        <w:rPr>
          <w:sz w:val="22"/>
          <w:szCs w:val="22"/>
          <w:lang w:val="en-US"/>
        </w:rPr>
      </w:pPr>
      <w:r w:rsidRPr="006F3862">
        <w:rPr>
          <w:sz w:val="22"/>
          <w:szCs w:val="22"/>
          <w:lang w:val="en-US"/>
        </w:rPr>
        <w:t>Agenda Item:</w:t>
      </w:r>
      <w:r w:rsidRPr="006F3862">
        <w:rPr>
          <w:sz w:val="22"/>
          <w:szCs w:val="22"/>
          <w:lang w:val="en-US"/>
        </w:rPr>
        <w:tab/>
      </w:r>
      <w:r w:rsidR="00E4062D" w:rsidRPr="006F3862">
        <w:rPr>
          <w:sz w:val="22"/>
          <w:szCs w:val="22"/>
          <w:lang w:val="en-US"/>
        </w:rPr>
        <w:t>7.2.3.</w:t>
      </w:r>
      <w:r w:rsidR="00BA00E0" w:rsidRPr="006F3862">
        <w:rPr>
          <w:sz w:val="22"/>
          <w:szCs w:val="22"/>
          <w:lang w:val="en-US"/>
        </w:rPr>
        <w:t>5</w:t>
      </w:r>
    </w:p>
    <w:p w14:paraId="684B06A7" w14:textId="77777777" w:rsidR="00E90E49" w:rsidRPr="006F3862" w:rsidRDefault="003D3C45" w:rsidP="00F64C2B">
      <w:pPr>
        <w:pStyle w:val="3GPPHeader"/>
        <w:rPr>
          <w:sz w:val="22"/>
          <w:szCs w:val="22"/>
          <w:lang w:val="en-US"/>
        </w:rPr>
      </w:pPr>
      <w:r w:rsidRPr="006F3862">
        <w:rPr>
          <w:sz w:val="22"/>
          <w:szCs w:val="22"/>
          <w:lang w:val="en-US"/>
        </w:rPr>
        <w:t>Source:</w:t>
      </w:r>
      <w:r w:rsidR="00E90E49" w:rsidRPr="006F3862">
        <w:rPr>
          <w:sz w:val="22"/>
          <w:szCs w:val="22"/>
          <w:lang w:val="en-US"/>
        </w:rPr>
        <w:tab/>
      </w:r>
      <w:r w:rsidR="00F64C2B" w:rsidRPr="006F3862">
        <w:rPr>
          <w:sz w:val="22"/>
          <w:szCs w:val="22"/>
          <w:lang w:val="en-US"/>
        </w:rPr>
        <w:t>Ericsson</w:t>
      </w:r>
    </w:p>
    <w:p w14:paraId="214B1E52" w14:textId="39CEA988" w:rsidR="00E90E49" w:rsidRPr="006F3862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6F3862">
        <w:rPr>
          <w:sz w:val="22"/>
          <w:szCs w:val="22"/>
          <w:lang w:val="en-US"/>
        </w:rPr>
        <w:t>Title:</w:t>
      </w:r>
      <w:r w:rsidR="006B5B0F" w:rsidRPr="006F3862">
        <w:rPr>
          <w:sz w:val="22"/>
          <w:szCs w:val="22"/>
          <w:lang w:val="en-US"/>
        </w:rPr>
        <w:tab/>
      </w:r>
      <w:r w:rsidR="0075490C" w:rsidRPr="006F3862">
        <w:rPr>
          <w:sz w:val="22"/>
          <w:szCs w:val="22"/>
          <w:lang w:val="en-US"/>
        </w:rPr>
        <w:t xml:space="preserve">IAB </w:t>
      </w:r>
      <w:r w:rsidR="007C7741" w:rsidRPr="006F3862">
        <w:rPr>
          <w:sz w:val="22"/>
          <w:szCs w:val="22"/>
          <w:lang w:val="en-US"/>
        </w:rPr>
        <w:t>OTA Timing Alignment</w:t>
      </w:r>
    </w:p>
    <w:p w14:paraId="59D6E79C" w14:textId="7735E5CC" w:rsidR="00E90E49" w:rsidRPr="006F3862" w:rsidRDefault="00E90E49" w:rsidP="00D546FF">
      <w:pPr>
        <w:pStyle w:val="3GPPHeader"/>
        <w:rPr>
          <w:sz w:val="22"/>
          <w:szCs w:val="22"/>
          <w:lang w:val="en-US"/>
        </w:rPr>
      </w:pPr>
      <w:r w:rsidRPr="006F3862">
        <w:rPr>
          <w:sz w:val="22"/>
          <w:szCs w:val="22"/>
          <w:lang w:val="en-US"/>
        </w:rPr>
        <w:t>Document for:</w:t>
      </w:r>
      <w:r w:rsidRPr="006F3862">
        <w:rPr>
          <w:sz w:val="22"/>
          <w:szCs w:val="22"/>
          <w:lang w:val="en-US"/>
        </w:rPr>
        <w:tab/>
      </w:r>
      <w:r w:rsidR="000A4D8A" w:rsidRPr="006F3862">
        <w:rPr>
          <w:sz w:val="22"/>
          <w:szCs w:val="22"/>
          <w:lang w:val="en-US"/>
        </w:rPr>
        <w:t>Discussion</w:t>
      </w:r>
    </w:p>
    <w:p w14:paraId="248031E0" w14:textId="77777777" w:rsidR="00E90E49" w:rsidRPr="006F3862" w:rsidRDefault="00E90E49" w:rsidP="00E90E49">
      <w:pPr>
        <w:rPr>
          <w:lang w:val="en-US"/>
        </w:rPr>
      </w:pPr>
    </w:p>
    <w:p w14:paraId="65062EEC" w14:textId="77777777" w:rsidR="00E90E49" w:rsidRPr="006F3862" w:rsidRDefault="00E90E49" w:rsidP="00CE0424">
      <w:pPr>
        <w:pStyle w:val="Heading1"/>
        <w:rPr>
          <w:lang w:val="en-US"/>
        </w:rPr>
      </w:pPr>
      <w:r w:rsidRPr="006F3862">
        <w:rPr>
          <w:lang w:val="en-US"/>
        </w:rPr>
        <w:t>Introduction</w:t>
      </w:r>
    </w:p>
    <w:p w14:paraId="0D36AF5A" w14:textId="3FF0DAD2" w:rsidR="000A4D8A" w:rsidRPr="006F3862" w:rsidRDefault="0075490C" w:rsidP="000A4D8A">
      <w:pPr>
        <w:pStyle w:val="BodyText"/>
        <w:rPr>
          <w:rFonts w:cs="Arial"/>
          <w:lang w:val="en-US"/>
        </w:rPr>
      </w:pPr>
      <w:r w:rsidRPr="006F3862">
        <w:rPr>
          <w:rFonts w:cs="Arial"/>
          <w:lang w:val="en-US"/>
        </w:rPr>
        <w:t>In RAN#82</w:t>
      </w:r>
      <w:r w:rsidR="000A4D8A" w:rsidRPr="006F3862">
        <w:rPr>
          <w:rFonts w:cs="Arial"/>
          <w:lang w:val="en-US"/>
        </w:rPr>
        <w:t xml:space="preserve">, the following </w:t>
      </w:r>
      <w:r w:rsidR="00115057" w:rsidRPr="006F3862">
        <w:rPr>
          <w:rFonts w:cs="Arial"/>
          <w:lang w:val="en-US"/>
        </w:rPr>
        <w:t>objectives of</w:t>
      </w:r>
      <w:r w:rsidR="007A04B2" w:rsidRPr="006F3862">
        <w:rPr>
          <w:rFonts w:cs="Arial"/>
          <w:lang w:val="en-US"/>
        </w:rPr>
        <w:t xml:space="preserve"> IAB</w:t>
      </w:r>
      <w:r w:rsidR="00115057" w:rsidRPr="006F3862">
        <w:rPr>
          <w:rFonts w:cs="Arial"/>
          <w:lang w:val="en-US"/>
        </w:rPr>
        <w:t xml:space="preserve"> work item</w:t>
      </w:r>
      <w:r w:rsidR="000A4D8A" w:rsidRPr="006F3862">
        <w:rPr>
          <w:rFonts w:cs="Arial"/>
          <w:lang w:val="en-US"/>
        </w:rPr>
        <w:t xml:space="preserve"> were </w:t>
      </w:r>
      <w:r w:rsidR="00115057" w:rsidRPr="006F3862">
        <w:rPr>
          <w:rFonts w:cs="Arial"/>
          <w:lang w:val="en-US"/>
        </w:rPr>
        <w:t>agreed</w:t>
      </w:r>
      <w:r w:rsidR="00BA00E0" w:rsidRPr="006F3862">
        <w:rPr>
          <w:rFonts w:cs="Arial"/>
          <w:lang w:val="en-US"/>
        </w:rPr>
        <w:t xml:space="preserve"> [1]</w:t>
      </w:r>
      <w:r w:rsidR="000A4D8A" w:rsidRPr="006F3862">
        <w:rPr>
          <w:rFonts w:cs="Arial"/>
          <w:lang w:val="en-US"/>
        </w:rPr>
        <w:t>:</w:t>
      </w:r>
    </w:p>
    <w:p w14:paraId="05F1B743" w14:textId="77777777" w:rsidR="000A4D8A" w:rsidRPr="006F3862" w:rsidRDefault="000A4D8A" w:rsidP="000A4D8A">
      <w:pPr>
        <w:pStyle w:val="BodyText"/>
        <w:rPr>
          <w:rFonts w:cs="Arial"/>
          <w:lang w:val="en-US"/>
        </w:rPr>
      </w:pPr>
      <w:r w:rsidRPr="006F3862">
        <w:rPr>
          <w:rFonts w:cs="Arial"/>
          <w:noProof/>
          <w:lang w:val="en-US" w:eastAsia="sv-SE"/>
        </w:rPr>
        <mc:AlternateContent>
          <mc:Choice Requires="wps">
            <w:drawing>
              <wp:inline distT="0" distB="0" distL="0" distR="0" wp14:anchorId="79D681CD" wp14:editId="353E9B38">
                <wp:extent cx="5943600" cy="1543306"/>
                <wp:effectExtent l="0" t="0" r="12700" b="1714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B80BD" w14:textId="0FE4C79E" w:rsidR="00D94DB2" w:rsidRPr="0075490C" w:rsidRDefault="00E326F4" w:rsidP="00E4062D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E326F4">
                              <w:rPr>
                                <w:rFonts w:eastAsia="MS Mincho"/>
                                <w:lang w:val="en-US" w:eastAsia="ja-JP"/>
                              </w:rPr>
                              <w:t>Specification of mechanism to support the “</w:t>
                            </w:r>
                            <w:r w:rsidR="005B7CBB">
                              <w:rPr>
                                <w:rFonts w:eastAsia="MS Mincho"/>
                                <w:lang w:val="en-US" w:eastAsia="ja-JP"/>
                              </w:rPr>
                              <w:t>C</w:t>
                            </w:r>
                            <w:r w:rsidRPr="00E326F4">
                              <w:rPr>
                                <w:rFonts w:eastAsia="MS Mincho"/>
                                <w:lang w:val="en-US" w:eastAsia="ja-JP"/>
                              </w:rPr>
                              <w:t>ase-1” OTA timing alignment</w:t>
                            </w:r>
                            <w:r w:rsidR="00D94DB2">
                              <w:rPr>
                                <w:rFonts w:eastAsia="MS Mincho"/>
                                <w:lang w:val="en-US"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D681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" fillcolor="white [3201]" strokeweight=".5pt">
                <v:textbox style="mso-fit-shape-to-text:t">
                  <w:txbxContent>
                    <w:p w14:paraId="4E6B80BD" w14:textId="0FE4C79E" w:rsidR="00D94DB2" w:rsidRPr="0075490C" w:rsidRDefault="00E326F4" w:rsidP="00E4062D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E326F4">
                        <w:rPr>
                          <w:rFonts w:eastAsia="MS Mincho"/>
                          <w:lang w:val="en-US" w:eastAsia="ja-JP"/>
                        </w:rPr>
                        <w:t>Specification of mechanism to support the “</w:t>
                      </w:r>
                      <w:r w:rsidR="005B7CBB">
                        <w:rPr>
                          <w:rFonts w:eastAsia="MS Mincho"/>
                          <w:lang w:val="en-US" w:eastAsia="ja-JP"/>
                        </w:rPr>
                        <w:t>C</w:t>
                      </w:r>
                      <w:r w:rsidRPr="00E326F4">
                        <w:rPr>
                          <w:rFonts w:eastAsia="MS Mincho"/>
                          <w:lang w:val="en-US" w:eastAsia="ja-JP"/>
                        </w:rPr>
                        <w:t>ase-1” OTA timing alignment</w:t>
                      </w:r>
                      <w:r w:rsidR="00D94DB2">
                        <w:rPr>
                          <w:rFonts w:eastAsia="MS Mincho"/>
                          <w:lang w:val="en-US" w:eastAsia="ja-JP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C6C7E5" w14:textId="7A5E6E07" w:rsidR="00830167" w:rsidRPr="006F3862" w:rsidRDefault="000A4D8A" w:rsidP="00FA74F5">
      <w:pPr>
        <w:pStyle w:val="BodyText"/>
        <w:rPr>
          <w:lang w:val="en-US"/>
        </w:rPr>
      </w:pPr>
      <w:r w:rsidRPr="006F3862">
        <w:rPr>
          <w:rFonts w:cs="Arial"/>
          <w:lang w:val="en-US"/>
        </w:rPr>
        <w:t xml:space="preserve">In this contribution, </w:t>
      </w:r>
      <w:r w:rsidR="00FA74F5" w:rsidRPr="006F3862">
        <w:rPr>
          <w:rFonts w:cs="Arial"/>
          <w:lang w:val="en-US"/>
        </w:rPr>
        <w:t>the</w:t>
      </w:r>
      <w:r w:rsidR="00BA00E0" w:rsidRPr="006F3862">
        <w:rPr>
          <w:rFonts w:cs="Arial"/>
          <w:lang w:val="en-US"/>
        </w:rPr>
        <w:t xml:space="preserve"> case #1 OTA timing derivation and provisioning of required information</w:t>
      </w:r>
      <w:r w:rsidR="00FA74F5" w:rsidRPr="006F3862">
        <w:rPr>
          <w:rFonts w:cs="Arial"/>
          <w:lang w:val="en-US"/>
        </w:rPr>
        <w:t xml:space="preserve"> are discussed. </w:t>
      </w:r>
    </w:p>
    <w:p w14:paraId="2AE25B55" w14:textId="22B3B346" w:rsidR="004C5E5B" w:rsidRPr="006F3862" w:rsidRDefault="00BA00E0" w:rsidP="00E4062D">
      <w:pPr>
        <w:pStyle w:val="Heading1"/>
        <w:rPr>
          <w:lang w:val="en-US"/>
        </w:rPr>
      </w:pPr>
      <w:r w:rsidRPr="006F3862">
        <w:rPr>
          <w:lang w:val="en-US"/>
        </w:rPr>
        <w:t xml:space="preserve">OTA </w:t>
      </w:r>
      <w:r w:rsidR="00402ED9" w:rsidRPr="006F3862">
        <w:rPr>
          <w:lang w:val="en-US"/>
        </w:rPr>
        <w:t>Downlink Transmit Timing</w:t>
      </w:r>
      <w:r w:rsidR="00144BF0" w:rsidRPr="006F3862">
        <w:rPr>
          <w:lang w:val="en-US"/>
        </w:rPr>
        <w:t xml:space="preserve"> Derivation</w:t>
      </w:r>
    </w:p>
    <w:p w14:paraId="3BD997E3" w14:textId="2837219E" w:rsidR="005B7CBB" w:rsidRPr="006F3862" w:rsidRDefault="005B7CBB" w:rsidP="006C2F68">
      <w:pPr>
        <w:rPr>
          <w:lang w:val="en-US"/>
        </w:rPr>
      </w:pPr>
      <w:r w:rsidRPr="006F3862">
        <w:rPr>
          <w:lang w:val="en-US"/>
        </w:rPr>
        <w:t>In [2], the Case #1 transmission timing alignment across IAB-nodes and IAB-donors is defined as</w:t>
      </w:r>
    </w:p>
    <w:p w14:paraId="24623C16" w14:textId="4E487058" w:rsidR="005B7CBB" w:rsidRPr="006F3862" w:rsidRDefault="005B7CBB" w:rsidP="004D0B76">
      <w:pPr>
        <w:pStyle w:val="ListParagraph"/>
        <w:numPr>
          <w:ilvl w:val="0"/>
          <w:numId w:val="23"/>
        </w:numPr>
        <w:rPr>
          <w:lang w:val="en-US"/>
        </w:rPr>
      </w:pPr>
      <w:r w:rsidRPr="006F3862">
        <w:rPr>
          <w:lang w:val="en-US"/>
        </w:rPr>
        <w:t>Case #1: DL transmission timing alignment across IAB-nodes and IAB-donors.</w:t>
      </w:r>
    </w:p>
    <w:p w14:paraId="2250D314" w14:textId="77777777" w:rsidR="0082754A" w:rsidRPr="006F3862" w:rsidRDefault="0082754A" w:rsidP="005B7CBB">
      <w:pPr>
        <w:rPr>
          <w:lang w:val="en-US"/>
        </w:rPr>
      </w:pPr>
    </w:p>
    <w:p w14:paraId="0FDA16C5" w14:textId="72397BD7" w:rsidR="0069574F" w:rsidRPr="006F3862" w:rsidRDefault="00BF67E3" w:rsidP="005B7CBB">
      <w:pPr>
        <w:rPr>
          <w:lang w:val="en-US"/>
        </w:rPr>
      </w:pPr>
      <w:r w:rsidRPr="006F3862">
        <w:rPr>
          <w:lang w:val="en-US"/>
        </w:rPr>
        <w:t>In [3], the different timing cases are discussed</w:t>
      </w:r>
      <w:r w:rsidR="00120A86" w:rsidRPr="006F3862">
        <w:rPr>
          <w:lang w:val="en-US"/>
        </w:rPr>
        <w:t>,</w:t>
      </w:r>
      <w:r w:rsidRPr="006F3862">
        <w:rPr>
          <w:lang w:val="en-US"/>
        </w:rPr>
        <w:t xml:space="preserve"> and it was noted that </w:t>
      </w:r>
      <w:r w:rsidR="002F4B33" w:rsidRPr="006F3862">
        <w:rPr>
          <w:lang w:val="en-US"/>
        </w:rPr>
        <w:t xml:space="preserve">for timing alignment Case #1 </w:t>
      </w:r>
      <w:r w:rsidRPr="006F3862">
        <w:rPr>
          <w:lang w:val="en-US"/>
        </w:rPr>
        <w:t>the IAB-node UL reception timing should be assumed to be (approximately) aligned with the IAB-node DL transmission timing, as in typical operation of a bi-directional TDD link.</w:t>
      </w:r>
      <w:r w:rsidR="00120A86" w:rsidRPr="006F3862">
        <w:rPr>
          <w:lang w:val="en-US"/>
        </w:rPr>
        <w:t xml:space="preserve"> It was also observed that from a specification point-of-view, there should be no difference between timing alignment Case #1 and Case #7 [2]. That is, any mechanism to support Case #1 OTA timing alignment would also support Case #7, even not required by the IAB work item.</w:t>
      </w:r>
    </w:p>
    <w:p w14:paraId="54524E4C" w14:textId="0648DBDB" w:rsidR="00120A86" w:rsidRPr="006F3862" w:rsidRDefault="00D758E2" w:rsidP="005B7CBB">
      <w:pPr>
        <w:rPr>
          <w:lang w:val="en-US"/>
        </w:rPr>
      </w:pPr>
      <w:r w:rsidRPr="006F3862">
        <w:rPr>
          <w:lang w:val="en-US"/>
        </w:rPr>
        <w:t xml:space="preserve">To enable </w:t>
      </w:r>
      <w:r w:rsidR="00322EB6" w:rsidRPr="006F3862">
        <w:rPr>
          <w:lang w:val="en-US"/>
        </w:rPr>
        <w:t>C</w:t>
      </w:r>
      <w:r w:rsidRPr="006F3862">
        <w:rPr>
          <w:lang w:val="en-US"/>
        </w:rPr>
        <w:t xml:space="preserve">ase #1, it has been suggested that the IAB node should set its </w:t>
      </w:r>
      <w:r w:rsidR="00322EB6" w:rsidRPr="006F3862">
        <w:rPr>
          <w:lang w:val="en-US"/>
        </w:rPr>
        <w:t>DL</w:t>
      </w:r>
      <w:r w:rsidRPr="006F3862">
        <w:rPr>
          <w:lang w:val="en-US"/>
        </w:rPr>
        <w:t xml:space="preserve"> transmission timing so that it precedes the </w:t>
      </w:r>
      <w:r w:rsidR="00322EB6" w:rsidRPr="006F3862">
        <w:rPr>
          <w:lang w:val="en-US"/>
        </w:rPr>
        <w:t>DL</w:t>
      </w:r>
      <w:r w:rsidRPr="006F3862">
        <w:rPr>
          <w:lang w:val="en-US"/>
        </w:rPr>
        <w:t xml:space="preserve"> reception timing by T</w:t>
      </w:r>
      <w:r w:rsidRPr="006F3862">
        <w:rPr>
          <w:vertAlign w:val="subscript"/>
          <w:lang w:val="en-US"/>
        </w:rPr>
        <w:t>A</w:t>
      </w:r>
      <w:r w:rsidRPr="006F3862">
        <w:rPr>
          <w:lang w:val="en-US"/>
        </w:rPr>
        <w:t>/2 where T</w:t>
      </w:r>
      <w:r w:rsidRPr="006F3862">
        <w:rPr>
          <w:vertAlign w:val="subscript"/>
          <w:lang w:val="en-US"/>
        </w:rPr>
        <w:t>A</w:t>
      </w:r>
      <w:r w:rsidRPr="006F3862">
        <w:rPr>
          <w:lang w:val="en-US"/>
        </w:rPr>
        <w:t xml:space="preserve"> is the difference between the timing of the IAB node </w:t>
      </w:r>
      <w:r w:rsidR="00322EB6" w:rsidRPr="006F3862">
        <w:rPr>
          <w:lang w:val="en-US"/>
        </w:rPr>
        <w:t>DL</w:t>
      </w:r>
      <w:r w:rsidRPr="006F3862">
        <w:rPr>
          <w:lang w:val="en-US"/>
        </w:rPr>
        <w:t xml:space="preserve"> reception and the timing of the IAB node </w:t>
      </w:r>
      <w:r w:rsidR="00322EB6" w:rsidRPr="006F3862">
        <w:rPr>
          <w:lang w:val="en-US"/>
        </w:rPr>
        <w:t>UL</w:t>
      </w:r>
      <w:r w:rsidRPr="006F3862">
        <w:rPr>
          <w:lang w:val="en-US"/>
        </w:rPr>
        <w:t xml:space="preserve"> transmission</w:t>
      </w:r>
      <w:r w:rsidR="00EE41EA" w:rsidRPr="006F3862">
        <w:rPr>
          <w:lang w:val="en-US"/>
        </w:rPr>
        <w:t xml:space="preserve"> (commonly referred to as timing advance)</w:t>
      </w:r>
      <w:r w:rsidRPr="006F3862">
        <w:rPr>
          <w:lang w:val="en-US"/>
        </w:rPr>
        <w:t xml:space="preserve">, see left part of Figure </w:t>
      </w:r>
      <w:r w:rsidR="00322EB6" w:rsidRPr="006F3862">
        <w:rPr>
          <w:lang w:val="en-US"/>
        </w:rPr>
        <w:t>1</w:t>
      </w:r>
      <w:r w:rsidRPr="006F3862">
        <w:rPr>
          <w:lang w:val="en-US"/>
        </w:rPr>
        <w:t>.</w:t>
      </w:r>
    </w:p>
    <w:p w14:paraId="53E3582A" w14:textId="1ED5DC45" w:rsidR="00EB2EBE" w:rsidRPr="006F3862" w:rsidRDefault="00EB2EBE" w:rsidP="00EB2EBE">
      <w:pPr>
        <w:jc w:val="center"/>
        <w:rPr>
          <w:lang w:val="en-US"/>
        </w:rPr>
      </w:pPr>
    </w:p>
    <w:p w14:paraId="106C3815" w14:textId="591860C3" w:rsidR="00921E84" w:rsidRPr="006F3862" w:rsidRDefault="002556D2" w:rsidP="00EB2EBE">
      <w:pPr>
        <w:jc w:val="center"/>
        <w:rPr>
          <w:lang w:val="en-US"/>
        </w:rPr>
      </w:pPr>
      <w:r w:rsidRPr="006F3862">
        <w:rPr>
          <w:noProof/>
        </w:rPr>
        <w:lastRenderedPageBreak/>
        <w:drawing>
          <wp:inline distT="0" distB="0" distL="0" distR="0" wp14:anchorId="1C7BC5C3" wp14:editId="748A2E2F">
            <wp:extent cx="5152091" cy="260517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1955" cy="2655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7B596" w14:textId="367D1201" w:rsidR="00322EB6" w:rsidRPr="006F3862" w:rsidRDefault="00322EB6" w:rsidP="00EB2EBE">
      <w:pPr>
        <w:jc w:val="center"/>
        <w:rPr>
          <w:b/>
          <w:lang w:val="en-US"/>
        </w:rPr>
      </w:pPr>
      <w:r w:rsidRPr="006F3862">
        <w:rPr>
          <w:b/>
          <w:lang w:val="en-US"/>
        </w:rPr>
        <w:t>Figure 1</w:t>
      </w:r>
    </w:p>
    <w:p w14:paraId="1DB648A0" w14:textId="77777777" w:rsidR="002556D2" w:rsidRPr="006F3862" w:rsidRDefault="002556D2" w:rsidP="005B7CBB">
      <w:pPr>
        <w:rPr>
          <w:lang w:val="en-US"/>
        </w:rPr>
      </w:pPr>
    </w:p>
    <w:p w14:paraId="724D993F" w14:textId="33BAD8F9" w:rsidR="00EB2EBE" w:rsidRPr="006F3862" w:rsidRDefault="00EB2EBE" w:rsidP="005B7CBB">
      <w:pPr>
        <w:rPr>
          <w:lang w:val="en-US"/>
        </w:rPr>
      </w:pPr>
      <w:r w:rsidRPr="006F3862">
        <w:rPr>
          <w:lang w:val="en-US"/>
        </w:rPr>
        <w:t xml:space="preserve">This is based on an assumption that </w:t>
      </w:r>
      <w:r w:rsidR="00322EB6" w:rsidRPr="006F3862">
        <w:rPr>
          <w:lang w:val="en-US"/>
        </w:rPr>
        <w:t>UL</w:t>
      </w:r>
      <w:r w:rsidRPr="006F3862">
        <w:rPr>
          <w:lang w:val="en-US"/>
        </w:rPr>
        <w:t xml:space="preserve"> reception and </w:t>
      </w:r>
      <w:r w:rsidR="00322EB6" w:rsidRPr="006F3862">
        <w:rPr>
          <w:lang w:val="en-US"/>
        </w:rPr>
        <w:t>DL</w:t>
      </w:r>
      <w:r w:rsidRPr="006F3862">
        <w:rPr>
          <w:lang w:val="en-US"/>
        </w:rPr>
        <w:t xml:space="preserve"> transmission at the parent node are aligned, i.e. assumes a certain </w:t>
      </w:r>
      <w:r w:rsidR="00322EB6" w:rsidRPr="006F3862">
        <w:rPr>
          <w:lang w:val="en-US"/>
        </w:rPr>
        <w:t>UL</w:t>
      </w:r>
      <w:r w:rsidRPr="006F3862">
        <w:rPr>
          <w:lang w:val="en-US"/>
        </w:rPr>
        <w:t xml:space="preserve"> reception-timing strategy.</w:t>
      </w:r>
      <w:r w:rsidR="006363B2" w:rsidRPr="006F3862">
        <w:rPr>
          <w:lang w:val="en-US"/>
        </w:rPr>
        <w:t xml:space="preserve"> In this case, T</w:t>
      </w:r>
      <w:r w:rsidR="006363B2" w:rsidRPr="006F3862">
        <w:rPr>
          <w:vertAlign w:val="subscript"/>
          <w:lang w:val="en-US"/>
        </w:rPr>
        <w:t>A</w:t>
      </w:r>
      <w:r w:rsidRPr="006F3862">
        <w:rPr>
          <w:lang w:val="en-US"/>
        </w:rPr>
        <w:t xml:space="preserve"> </w:t>
      </w:r>
      <w:r w:rsidR="006363B2" w:rsidRPr="006F3862">
        <w:rPr>
          <w:lang w:val="en-US"/>
        </w:rPr>
        <w:t xml:space="preserve">is assumed to be equal to twice the propagation delay. </w:t>
      </w:r>
      <w:r w:rsidR="00322EB6" w:rsidRPr="006F3862">
        <w:rPr>
          <w:lang w:val="en-US"/>
        </w:rPr>
        <w:t>However</w:t>
      </w:r>
      <w:r w:rsidRPr="006F3862">
        <w:rPr>
          <w:lang w:val="en-US"/>
        </w:rPr>
        <w:t xml:space="preserve">, in the general case the </w:t>
      </w:r>
      <w:r w:rsidR="00322EB6" w:rsidRPr="006F3862">
        <w:rPr>
          <w:lang w:val="en-US"/>
        </w:rPr>
        <w:t xml:space="preserve">UL </w:t>
      </w:r>
      <w:r w:rsidRPr="006F3862">
        <w:rPr>
          <w:lang w:val="en-US"/>
        </w:rPr>
        <w:t>reception timing has a certain offset T</w:t>
      </w:r>
      <w:r w:rsidR="00322EB6"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compared to the </w:t>
      </w:r>
      <w:r w:rsidR="00322EB6" w:rsidRPr="006F3862">
        <w:rPr>
          <w:lang w:val="en-US"/>
        </w:rPr>
        <w:t xml:space="preserve">DL </w:t>
      </w:r>
      <w:r w:rsidRPr="006F3862">
        <w:rPr>
          <w:lang w:val="en-US"/>
        </w:rPr>
        <w:t xml:space="preserve">transmission timing at the parent node that “propagates” down to the IAB node </w:t>
      </w:r>
      <w:r w:rsidR="00322EB6" w:rsidRPr="006F3862">
        <w:rPr>
          <w:lang w:val="en-US"/>
        </w:rPr>
        <w:t xml:space="preserve">UL </w:t>
      </w:r>
      <w:r w:rsidRPr="006F3862">
        <w:rPr>
          <w:lang w:val="en-US"/>
        </w:rPr>
        <w:t xml:space="preserve">transmission timing. </w:t>
      </w:r>
      <w:r w:rsidR="00DB7089" w:rsidRPr="006F3862">
        <w:rPr>
          <w:lang w:val="en-US"/>
        </w:rPr>
        <w:t>In practical situations, the value of T</w:t>
      </w:r>
      <w:r w:rsidR="00DB7089" w:rsidRPr="006F3862">
        <w:rPr>
          <w:vertAlign w:val="subscript"/>
          <w:lang w:val="en-US"/>
        </w:rPr>
        <w:sym w:font="Symbol" w:char="F044"/>
      </w:r>
      <w:r w:rsidR="00DB7089" w:rsidRPr="006F3862">
        <w:rPr>
          <w:lang w:val="en-US"/>
        </w:rPr>
        <w:t xml:space="preserve"> can, and typically will, take values</w:t>
      </w:r>
      <w:r w:rsidR="00926561" w:rsidRPr="006F3862">
        <w:rPr>
          <w:lang w:val="en-US"/>
        </w:rPr>
        <w:t xml:space="preserve"> different from zero</w:t>
      </w:r>
      <w:r w:rsidR="00DB7089" w:rsidRPr="006F3862">
        <w:rPr>
          <w:lang w:val="en-US"/>
        </w:rPr>
        <w:t xml:space="preserve">, for example to take into account receiver/transmitter switching times at the parent node. </w:t>
      </w:r>
      <w:r w:rsidRPr="006F3862">
        <w:rPr>
          <w:lang w:val="en-US"/>
        </w:rPr>
        <w:t xml:space="preserve">This offset must be taken into account when the IAB node decides its </w:t>
      </w:r>
      <w:r w:rsidR="00322EB6" w:rsidRPr="006F3862">
        <w:rPr>
          <w:lang w:val="en-US"/>
        </w:rPr>
        <w:t xml:space="preserve">DL </w:t>
      </w:r>
      <w:r w:rsidRPr="006F3862">
        <w:rPr>
          <w:lang w:val="en-US"/>
        </w:rPr>
        <w:t>transmission timing.</w:t>
      </w:r>
    </w:p>
    <w:p w14:paraId="7A26D31A" w14:textId="77777777" w:rsidR="00402ED9" w:rsidRPr="006F3862" w:rsidRDefault="006363B2" w:rsidP="00065A2C">
      <w:pPr>
        <w:rPr>
          <w:lang w:val="en-US"/>
        </w:rPr>
      </w:pPr>
      <w:r w:rsidRPr="006F3862">
        <w:rPr>
          <w:lang w:val="en-US"/>
        </w:rPr>
        <w:t>Information about t</w:t>
      </w:r>
      <w:r w:rsidR="00065A2C" w:rsidRPr="006F3862">
        <w:rPr>
          <w:lang w:val="en-US"/>
        </w:rPr>
        <w:t xml:space="preserve">he offset </w:t>
      </w:r>
      <w:r w:rsidR="00DB7089" w:rsidRPr="006F3862">
        <w:rPr>
          <w:lang w:val="en-US"/>
        </w:rPr>
        <w:t>T</w:t>
      </w:r>
      <w:r w:rsidR="00DB7089" w:rsidRPr="006F3862">
        <w:rPr>
          <w:vertAlign w:val="subscript"/>
          <w:lang w:val="en-US"/>
        </w:rPr>
        <w:sym w:font="Symbol" w:char="F044"/>
      </w:r>
      <w:r w:rsidR="00065A2C" w:rsidRPr="006F3862">
        <w:rPr>
          <w:lang w:val="en-US"/>
        </w:rPr>
        <w:t xml:space="preserve"> thus needs to be provided to the IAB node in order for the IAB node to properly set its downlink transmission timing</w:t>
      </w:r>
      <w:r w:rsidRPr="006F3862">
        <w:rPr>
          <w:lang w:val="en-US"/>
        </w:rPr>
        <w:t xml:space="preserve"> [2].</w:t>
      </w:r>
    </w:p>
    <w:p w14:paraId="0389955C" w14:textId="7F081EBB" w:rsidR="00065A2C" w:rsidRPr="006F3862" w:rsidRDefault="002556D2" w:rsidP="00065A2C">
      <w:pPr>
        <w:rPr>
          <w:lang w:val="en-US"/>
        </w:rPr>
      </w:pPr>
      <w:r w:rsidRPr="006F3862">
        <w:rPr>
          <w:lang w:val="en-US"/>
        </w:rPr>
        <w:t>If an IAB node knows 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(as defined in the right part of Fig. 1) and T</w:t>
      </w:r>
      <w:r w:rsidRPr="006F3862">
        <w:rPr>
          <w:vertAlign w:val="subscript"/>
          <w:lang w:val="en-US"/>
        </w:rPr>
        <w:t>A</w:t>
      </w:r>
      <w:r w:rsidR="00C10E48" w:rsidRPr="006F3862">
        <w:rPr>
          <w:lang w:val="en-US"/>
        </w:rPr>
        <w:t xml:space="preserve"> from its parent node,</w:t>
      </w:r>
      <w:r w:rsidRPr="006F3862">
        <w:rPr>
          <w:lang w:val="en-US"/>
        </w:rPr>
        <w:t xml:space="preserve"> it can derive the </w:t>
      </w:r>
      <w:r w:rsidR="00C10E48" w:rsidRPr="006F3862">
        <w:rPr>
          <w:lang w:val="en-US"/>
        </w:rPr>
        <w:t xml:space="preserve">exact </w:t>
      </w:r>
      <w:r w:rsidRPr="006F3862">
        <w:rPr>
          <w:lang w:val="en-US"/>
        </w:rPr>
        <w:t>propagation delay</w:t>
      </w:r>
      <w:r w:rsidR="009315CF" w:rsidRPr="006F3862">
        <w:rPr>
          <w:lang w:val="en-US"/>
        </w:rPr>
        <w:t xml:space="preserve"> TP</w:t>
      </w:r>
      <w:r w:rsidR="00C10E48" w:rsidRPr="006F3862">
        <w:rPr>
          <w:lang w:val="en-US"/>
        </w:rPr>
        <w:t xml:space="preserve"> between itself and its parent node as TP = 0.5 x (T</w:t>
      </w:r>
      <w:r w:rsidR="00C10E48" w:rsidRPr="006F3862">
        <w:rPr>
          <w:vertAlign w:val="subscript"/>
          <w:lang w:val="en-US"/>
        </w:rPr>
        <w:t>A</w:t>
      </w:r>
      <w:r w:rsidR="00C10E48" w:rsidRPr="006F3862">
        <w:rPr>
          <w:lang w:val="en-US"/>
        </w:rPr>
        <w:t xml:space="preserve"> + T</w:t>
      </w:r>
      <w:r w:rsidR="00C10E48" w:rsidRPr="006F3862">
        <w:rPr>
          <w:vertAlign w:val="subscript"/>
          <w:lang w:val="en-US"/>
        </w:rPr>
        <w:sym w:font="Symbol" w:char="F044"/>
      </w:r>
      <w:r w:rsidR="00C10E48" w:rsidRPr="006F3862">
        <w:rPr>
          <w:lang w:val="en-US"/>
        </w:rPr>
        <w:t>).</w:t>
      </w:r>
    </w:p>
    <w:p w14:paraId="3B37B914" w14:textId="7EC95FAC" w:rsidR="005B7CBB" w:rsidRPr="006F3862" w:rsidRDefault="00144BF0" w:rsidP="005B7CBB">
      <w:pPr>
        <w:rPr>
          <w:lang w:val="en-US"/>
        </w:rPr>
      </w:pPr>
      <w:r w:rsidRPr="006F3862">
        <w:rPr>
          <w:b/>
          <w:lang w:val="en-US"/>
        </w:rPr>
        <w:t>Proposal 1:</w:t>
      </w:r>
      <w:r w:rsidRPr="006F3862">
        <w:rPr>
          <w:lang w:val="en-US"/>
        </w:rPr>
        <w:t xml:space="preserve"> An IAB parent node provides information about the timing difference between its DL transmission and its set UL reception timing to all its IAB child nodes.</w:t>
      </w:r>
    </w:p>
    <w:p w14:paraId="45DCABC1" w14:textId="75168C4D" w:rsidR="00F6526C" w:rsidRPr="006F3862" w:rsidRDefault="00F6526C" w:rsidP="00402ED9">
      <w:pPr>
        <w:rPr>
          <w:lang w:val="en-US"/>
        </w:rPr>
      </w:pPr>
    </w:p>
    <w:p w14:paraId="67865578" w14:textId="2AD263D9" w:rsidR="00C51204" w:rsidRPr="006F3862" w:rsidRDefault="00144BF0" w:rsidP="00C51204">
      <w:pPr>
        <w:pStyle w:val="Heading1"/>
        <w:rPr>
          <w:lang w:val="en-US"/>
        </w:rPr>
      </w:pPr>
      <w:r w:rsidRPr="006F3862">
        <w:rPr>
          <w:lang w:val="en-US"/>
        </w:rPr>
        <w:t>Timing Parameter Provisioning</w:t>
      </w:r>
    </w:p>
    <w:p w14:paraId="41B855B4" w14:textId="4580ABAC" w:rsidR="00CC0035" w:rsidRPr="006F3862" w:rsidRDefault="00CC0035" w:rsidP="00CC0035">
      <w:pPr>
        <w:rPr>
          <w:lang w:val="en-US"/>
        </w:rPr>
      </w:pPr>
      <w:r w:rsidRPr="006F3862">
        <w:rPr>
          <w:lang w:val="en-US"/>
        </w:rPr>
        <w:t>According to [2], IAB-node integration has the following phases:</w:t>
      </w:r>
    </w:p>
    <w:p w14:paraId="1CE2C68E" w14:textId="2A3446AF" w:rsidR="00254981" w:rsidRPr="006F3862" w:rsidRDefault="00CC0035" w:rsidP="005066D9">
      <w:pPr>
        <w:pStyle w:val="ListParagraph"/>
        <w:numPr>
          <w:ilvl w:val="0"/>
          <w:numId w:val="25"/>
        </w:numPr>
        <w:rPr>
          <w:lang w:val="en-US"/>
        </w:rPr>
      </w:pPr>
      <w:r w:rsidRPr="006F3862">
        <w:rPr>
          <w:lang w:val="en-US"/>
        </w:rPr>
        <w:t>The IAB-node authenticates with the operator’s network and establishes IP connectivity to reach OAM functionality for OAM configuration</w:t>
      </w:r>
      <w:r w:rsidR="005066D9" w:rsidRPr="006F3862">
        <w:rPr>
          <w:lang w:val="en-US"/>
        </w:rPr>
        <w:t xml:space="preserve">. </w:t>
      </w:r>
      <w:r w:rsidRPr="006F3862">
        <w:rPr>
          <w:lang w:val="en-US"/>
        </w:rPr>
        <w:t xml:space="preserve">This phase includes discovery and selection of a serving </w:t>
      </w:r>
      <w:r w:rsidR="00254981" w:rsidRPr="006F3862">
        <w:rPr>
          <w:lang w:val="en-US"/>
        </w:rPr>
        <w:t xml:space="preserve">IAB </w:t>
      </w:r>
      <w:r w:rsidRPr="006F3862">
        <w:rPr>
          <w:lang w:val="en-US"/>
        </w:rPr>
        <w:t>node</w:t>
      </w:r>
      <w:r w:rsidR="0045323F" w:rsidRPr="006F3862">
        <w:rPr>
          <w:lang w:val="en-US"/>
        </w:rPr>
        <w:t xml:space="preserve">, </w:t>
      </w:r>
      <w:r w:rsidRPr="006F3862">
        <w:rPr>
          <w:lang w:val="en-US"/>
        </w:rPr>
        <w:t>setting up connectivity to other RAN nodes and CN</w:t>
      </w:r>
      <w:r w:rsidR="0045323F" w:rsidRPr="006F3862">
        <w:rPr>
          <w:lang w:val="en-US"/>
        </w:rPr>
        <w:t xml:space="preserve"> and </w:t>
      </w:r>
      <w:r w:rsidRPr="006F3862">
        <w:rPr>
          <w:lang w:val="en-US"/>
        </w:rPr>
        <w:t>involves the MT function on the IAB-node.</w:t>
      </w:r>
    </w:p>
    <w:p w14:paraId="17D847A6" w14:textId="779F3933" w:rsidR="00254981" w:rsidRPr="006F3862" w:rsidRDefault="00CC0035" w:rsidP="000D34EE">
      <w:pPr>
        <w:pStyle w:val="ListParagraph"/>
        <w:numPr>
          <w:ilvl w:val="0"/>
          <w:numId w:val="25"/>
        </w:numPr>
        <w:rPr>
          <w:lang w:val="en-US"/>
        </w:rPr>
      </w:pPr>
      <w:r w:rsidRPr="006F3862">
        <w:rPr>
          <w:lang w:val="en-US"/>
        </w:rPr>
        <w:t>The IAB-node’s DU, gNB, or UPF are set up together with all interfaces to other RAN-nodes and CN. This phase must be performed before the IAB-node can start serving UEs or before further IAB-nodes can connect</w:t>
      </w:r>
      <w:r w:rsidR="0045323F" w:rsidRPr="006F3862">
        <w:rPr>
          <w:lang w:val="en-US"/>
        </w:rPr>
        <w:t>.</w:t>
      </w:r>
      <w:r w:rsidR="000D34EE" w:rsidRPr="006F3862">
        <w:rPr>
          <w:lang w:val="en-US"/>
        </w:rPr>
        <w:t xml:space="preserve"> For architectures 1a and 1b, this phase involves setup of the IAB-node's DU and the F1-establishment to the IAB-donor's CU-CP and CU-UP.</w:t>
      </w:r>
    </w:p>
    <w:p w14:paraId="68B058D9" w14:textId="47D215CA" w:rsidR="00CC0035" w:rsidRPr="006F3862" w:rsidRDefault="00CC0035" w:rsidP="0045323F">
      <w:pPr>
        <w:pStyle w:val="ListParagraph"/>
        <w:numPr>
          <w:ilvl w:val="0"/>
          <w:numId w:val="25"/>
        </w:numPr>
        <w:rPr>
          <w:lang w:val="en-US"/>
        </w:rPr>
      </w:pPr>
      <w:r w:rsidRPr="006F3862">
        <w:rPr>
          <w:lang w:val="en-US"/>
        </w:rPr>
        <w:t>The IAB-node provides service to UEs or to other integrated IAB-nodes</w:t>
      </w:r>
      <w:r w:rsidR="0045323F" w:rsidRPr="006F3862">
        <w:rPr>
          <w:lang w:val="en-US"/>
        </w:rPr>
        <w:t>.</w:t>
      </w:r>
    </w:p>
    <w:p w14:paraId="71B8A296" w14:textId="6DFF8D18" w:rsidR="00254981" w:rsidRPr="006F3862" w:rsidRDefault="005066D9" w:rsidP="00254981">
      <w:pPr>
        <w:rPr>
          <w:lang w:val="en-US"/>
        </w:rPr>
      </w:pPr>
      <w:r w:rsidRPr="006F3862">
        <w:rPr>
          <w:lang w:val="en-US"/>
        </w:rPr>
        <w:t>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only depends on the parent node and therefore could be broadcaste</w:t>
      </w:r>
      <w:bookmarkStart w:id="0" w:name="_GoBack"/>
      <w:bookmarkEnd w:id="0"/>
      <w:r w:rsidRPr="006F3862">
        <w:rPr>
          <w:lang w:val="en-US"/>
        </w:rPr>
        <w:t>d. However, 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is not relevant before phase 3. On the other hand, information regarding T</w:t>
      </w:r>
      <w:r w:rsidRPr="006F3862">
        <w:rPr>
          <w:vertAlign w:val="subscript"/>
          <w:lang w:val="en-US"/>
        </w:rPr>
        <w:t>A</w:t>
      </w:r>
      <w:r w:rsidRPr="006F3862">
        <w:rPr>
          <w:lang w:val="en-US"/>
        </w:rPr>
        <w:t xml:space="preserve"> is provided by the parent node to the IAB node already in phase 1 in form of initial timing advance information during random access of the IAB node’s MT and following timing advance adjustment commands, if decided so by the parent node.</w:t>
      </w:r>
      <w:r w:rsidR="00494B31" w:rsidRPr="006F3862">
        <w:rPr>
          <w:lang w:val="en-US"/>
        </w:rPr>
        <w:t xml:space="preserve"> Information about T</w:t>
      </w:r>
      <w:r w:rsidR="00494B31" w:rsidRPr="006F3862">
        <w:rPr>
          <w:vertAlign w:val="subscript"/>
          <w:lang w:val="en-US"/>
        </w:rPr>
        <w:sym w:font="Symbol" w:char="F044"/>
      </w:r>
      <w:r w:rsidR="00494B31" w:rsidRPr="006F3862">
        <w:rPr>
          <w:lang w:val="en-US"/>
        </w:rPr>
        <w:t xml:space="preserve"> can be provided after phase 1 and before phase 3 as part of dedicated and/or IAB-specific signaling.</w:t>
      </w:r>
      <w:r w:rsidR="00494B31" w:rsidRPr="006F3862">
        <w:rPr>
          <w:lang w:val="en-US"/>
        </w:rPr>
        <w:br/>
      </w:r>
      <w:r w:rsidRPr="006F3862">
        <w:rPr>
          <w:lang w:val="en-US"/>
        </w:rPr>
        <w:t xml:space="preserve">It is therefore questionable whether the </w:t>
      </w:r>
      <w:r w:rsidR="00494B31" w:rsidRPr="006F3862">
        <w:rPr>
          <w:lang w:val="en-US"/>
        </w:rPr>
        <w:t>additional complexity for another broadcast element for T</w:t>
      </w:r>
      <w:r w:rsidR="00494B31" w:rsidRPr="006F3862">
        <w:rPr>
          <w:vertAlign w:val="subscript"/>
          <w:lang w:val="en-US"/>
        </w:rPr>
        <w:sym w:font="Symbol" w:char="F044"/>
      </w:r>
      <w:r w:rsidR="00494B31" w:rsidRPr="006F3862">
        <w:rPr>
          <w:lang w:val="en-US"/>
        </w:rPr>
        <w:t xml:space="preserve"> and required standardization efforts, potentially falling out of the IAB specification, can be justified.</w:t>
      </w:r>
    </w:p>
    <w:p w14:paraId="6584FE4F" w14:textId="3A907319" w:rsidR="00494B31" w:rsidRPr="006F3862" w:rsidRDefault="00494B31" w:rsidP="00CC0035">
      <w:pPr>
        <w:rPr>
          <w:lang w:val="en-US"/>
        </w:rPr>
      </w:pPr>
      <w:r w:rsidRPr="006F3862">
        <w:rPr>
          <w:b/>
          <w:lang w:val="en-US"/>
        </w:rPr>
        <w:lastRenderedPageBreak/>
        <w:t>Proposal 2:</w:t>
      </w:r>
      <w:r w:rsidRPr="006F3862">
        <w:rPr>
          <w:lang w:val="en-US"/>
        </w:rPr>
        <w:t xml:space="preserve"> Information about 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is not </w:t>
      </w:r>
      <w:r w:rsidR="007B0656" w:rsidRPr="006F3862">
        <w:rPr>
          <w:lang w:val="en-US"/>
        </w:rPr>
        <w:t>broadcasted</w:t>
      </w:r>
      <w:r w:rsidRPr="006F3862">
        <w:rPr>
          <w:lang w:val="en-US"/>
        </w:rPr>
        <w:t xml:space="preserve"> but provided by parent IAB nodes to all child IAB nodes as dedicated and/or IAB-specific signaling.</w:t>
      </w:r>
    </w:p>
    <w:p w14:paraId="3CD31B17" w14:textId="7DEFB033" w:rsidR="00F80C81" w:rsidRPr="006F3862" w:rsidRDefault="00492524" w:rsidP="00CC0035">
      <w:pPr>
        <w:rPr>
          <w:lang w:val="en-US"/>
        </w:rPr>
      </w:pPr>
      <w:r w:rsidRPr="006F3862">
        <w:rPr>
          <w:lang w:val="en-US"/>
        </w:rPr>
        <w:t>Based on the evaluation methodology in [</w:t>
      </w:r>
      <w:r w:rsidR="00A7487C" w:rsidRPr="006F3862">
        <w:rPr>
          <w:lang w:val="en-US"/>
        </w:rPr>
        <w:t>4</w:t>
      </w:r>
      <w:r w:rsidRPr="006F3862">
        <w:rPr>
          <w:lang w:val="en-US"/>
        </w:rPr>
        <w:t xml:space="preserve">], it was </w:t>
      </w:r>
      <w:r w:rsidR="00EE41EA" w:rsidRPr="006F3862">
        <w:rPr>
          <w:lang w:val="en-US"/>
        </w:rPr>
        <w:t>concluded in [1] that for OTA synchronization in FR2 up to 5 hops can be achieved (assuming &lt;=3</w:t>
      </w:r>
      <w:r w:rsidR="00EE41EA" w:rsidRPr="006F3862">
        <w:rPr>
          <w:lang w:val="en-US"/>
        </w:rPr>
        <w:sym w:font="Symbol" w:char="F06D"/>
      </w:r>
      <w:r w:rsidR="00EE41EA" w:rsidRPr="006F3862">
        <w:rPr>
          <w:lang w:val="en-US"/>
        </w:rPr>
        <w:t xml:space="preserve">s timing requirement across IAB-nodes). For both FR1 and FR2, the finite granularity of the timing advance </w:t>
      </w:r>
      <w:r w:rsidR="009A6053" w:rsidRPr="006F3862">
        <w:rPr>
          <w:lang w:val="en-US"/>
        </w:rPr>
        <w:t>command can be a significant contributor to synchronization errors. The evaluation in [5]</w:t>
      </w:r>
      <w:r w:rsidR="007B0656" w:rsidRPr="006F3862">
        <w:rPr>
          <w:lang w:val="en-US"/>
        </w:rPr>
        <w:t xml:space="preserve"> did not consider the impact from imperfection about T</w:t>
      </w:r>
      <w:r w:rsidR="007B0656" w:rsidRPr="006F3862">
        <w:rPr>
          <w:vertAlign w:val="subscript"/>
          <w:lang w:val="en-US"/>
        </w:rPr>
        <w:sym w:font="Symbol" w:char="F044"/>
      </w:r>
      <w:r w:rsidR="007B0656" w:rsidRPr="006F3862">
        <w:rPr>
          <w:lang w:val="en-US"/>
        </w:rPr>
        <w:t>-equivalent information. In order to not jeopardize the OTA synchronization performance without the need to consider a T</w:t>
      </w:r>
      <w:r w:rsidR="007B0656" w:rsidRPr="006F3862">
        <w:rPr>
          <w:vertAlign w:val="subscript"/>
          <w:lang w:val="en-US"/>
        </w:rPr>
        <w:sym w:font="Symbol" w:char="F044"/>
      </w:r>
      <w:r w:rsidR="007B0656" w:rsidRPr="006F3862">
        <w:rPr>
          <w:lang w:val="en-US"/>
        </w:rPr>
        <w:t xml:space="preserve">, the accuracy and therefore the signaling granularity </w:t>
      </w:r>
      <w:r w:rsidR="00D4370A" w:rsidRPr="006F3862">
        <w:rPr>
          <w:lang w:val="en-US"/>
        </w:rPr>
        <w:t>for T</w:t>
      </w:r>
      <w:r w:rsidR="00D4370A" w:rsidRPr="006F3862">
        <w:rPr>
          <w:vertAlign w:val="subscript"/>
          <w:lang w:val="en-US"/>
        </w:rPr>
        <w:sym w:font="Symbol" w:char="F044"/>
      </w:r>
      <w:r w:rsidR="00D4370A" w:rsidRPr="006F3862">
        <w:rPr>
          <w:lang w:val="en-US"/>
        </w:rPr>
        <w:t xml:space="preserve"> should be significantly better than for timing advance command.</w:t>
      </w:r>
    </w:p>
    <w:p w14:paraId="441F9437" w14:textId="22B2FF46" w:rsidR="00BA00E0" w:rsidRPr="006F3862" w:rsidRDefault="008A7C72" w:rsidP="00CC0035">
      <w:pPr>
        <w:rPr>
          <w:lang w:val="en-US"/>
        </w:rPr>
      </w:pPr>
      <w:r w:rsidRPr="006F3862">
        <w:rPr>
          <w:b/>
          <w:lang w:val="en-US"/>
        </w:rPr>
        <w:t>Proposal 3:</w:t>
      </w:r>
      <w:r w:rsidRPr="006F3862">
        <w:rPr>
          <w:lang w:val="en-US"/>
        </w:rPr>
        <w:t xml:space="preserve"> Information </w:t>
      </w:r>
      <w:r w:rsidR="00BA00E0" w:rsidRPr="006F3862">
        <w:rPr>
          <w:lang w:val="en-US"/>
        </w:rPr>
        <w:t xml:space="preserve">provisioning </w:t>
      </w:r>
      <w:r w:rsidRPr="006F3862">
        <w:rPr>
          <w:lang w:val="en-US"/>
        </w:rPr>
        <w:t>about 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should allow for </w:t>
      </w:r>
      <w:r w:rsidR="00BA00E0" w:rsidRPr="006F3862">
        <w:rPr>
          <w:lang w:val="en-US"/>
        </w:rPr>
        <w:t xml:space="preserve">granularity </w:t>
      </w:r>
      <w:r w:rsidR="004523CD" w:rsidRPr="006F3862">
        <w:rPr>
          <w:lang w:val="en-US"/>
        </w:rPr>
        <w:t xml:space="preserve">of </w:t>
      </w:r>
      <w:r w:rsidR="00BA00E0" w:rsidRPr="006F3862">
        <w:rPr>
          <w:lang w:val="en-US"/>
        </w:rPr>
        <w:t>T</w:t>
      </w:r>
      <w:r w:rsidR="00BA00E0" w:rsidRPr="006F3862">
        <w:rPr>
          <w:vertAlign w:val="subscript"/>
          <w:lang w:val="en-US"/>
        </w:rPr>
        <w:sym w:font="Symbol" w:char="F044"/>
      </w:r>
      <w:r w:rsidR="00BA00E0" w:rsidRPr="006F3862">
        <w:rPr>
          <w:lang w:val="en-US"/>
        </w:rPr>
        <w:t xml:space="preserve"> not higher than for the timing advance update.</w:t>
      </w:r>
    </w:p>
    <w:p w14:paraId="070500ED" w14:textId="0E612557" w:rsidR="00F80C81" w:rsidRPr="006F3862" w:rsidRDefault="00F80C81" w:rsidP="00CC0035">
      <w:pPr>
        <w:rPr>
          <w:lang w:val="en-US"/>
        </w:rPr>
      </w:pPr>
    </w:p>
    <w:p w14:paraId="5830CEE6" w14:textId="0C438B47" w:rsidR="00F80C81" w:rsidRPr="006F3862" w:rsidRDefault="000D34EE" w:rsidP="00CC0035">
      <w:pPr>
        <w:rPr>
          <w:lang w:val="en-US"/>
        </w:rPr>
      </w:pPr>
      <w:r w:rsidRPr="006F3862">
        <w:rPr>
          <w:lang w:val="en-US"/>
        </w:rPr>
        <w:t>Signaling information and implementation related to 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needs further discussion. It can probably be assumed to be of similar quality and quantity as the exchange of timing advance information between a DU and a more or less static IAB node (MT). Nevertheless, from a setup point of view, the provisioning of timing advance and T</w:t>
      </w:r>
      <w:r w:rsidRPr="006F3862">
        <w:rPr>
          <w:vertAlign w:val="subscript"/>
          <w:lang w:val="en-US"/>
        </w:rPr>
        <w:sym w:font="Symbol" w:char="F044"/>
      </w:r>
      <w:r w:rsidRPr="006F3862">
        <w:rPr>
          <w:lang w:val="en-US"/>
        </w:rPr>
        <w:t xml:space="preserve"> information </w:t>
      </w:r>
      <w:r w:rsidR="00EF0EC3" w:rsidRPr="006F3862">
        <w:rPr>
          <w:lang w:val="en-US"/>
        </w:rPr>
        <w:t xml:space="preserve">for the sake of DU synchronization would need to be considered a configuration. This results in two open issues. This configuration, so far, falls in phase 2 of the IAB-node integration process when the DU goes through a pre-configuration process via OAM or, after having an F1 established, a configuration by communicating with its CU. In addition, it has not been considered yet how </w:t>
      </w:r>
      <w:r w:rsidR="00E96BF4" w:rsidRPr="006F3862">
        <w:rPr>
          <w:lang w:val="en-US"/>
        </w:rPr>
        <w:t>timing alignment related information is provided in a gNB from a DU level to a CU level and in a timely manner, if required.</w:t>
      </w:r>
    </w:p>
    <w:p w14:paraId="7DB3B194" w14:textId="5738C3EA" w:rsidR="00F80C81" w:rsidRPr="006F3862" w:rsidRDefault="00664E4E" w:rsidP="00CC0035">
      <w:pPr>
        <w:rPr>
          <w:lang w:val="en-US"/>
        </w:rPr>
      </w:pPr>
      <w:r>
        <w:rPr>
          <w:b/>
          <w:lang w:val="en-US"/>
        </w:rPr>
        <w:t>Observation</w:t>
      </w:r>
      <w:r w:rsidR="00E96BF4" w:rsidRPr="006F3862">
        <w:rPr>
          <w:b/>
          <w:lang w:val="en-US"/>
        </w:rPr>
        <w:t>:</w:t>
      </w:r>
      <w:r w:rsidR="00E96BF4" w:rsidRPr="006F3862">
        <w:rPr>
          <w:lang w:val="en-US"/>
        </w:rPr>
        <w:t xml:space="preserve"> It is not clear how a DU is configured or updated if the configuration is not node individual and potentially dynamic, such as synchronizatio</w:t>
      </w:r>
      <w:r w:rsidR="00A7487C" w:rsidRPr="006F3862">
        <w:rPr>
          <w:lang w:val="en-US"/>
        </w:rPr>
        <w:t>n</w:t>
      </w:r>
      <w:r w:rsidR="00E96BF4" w:rsidRPr="006F3862">
        <w:rPr>
          <w:lang w:val="en-US"/>
        </w:rPr>
        <w:t xml:space="preserve"> related information.</w:t>
      </w:r>
    </w:p>
    <w:p w14:paraId="78B6E234" w14:textId="2A98D888" w:rsidR="00703A6C" w:rsidRPr="006F3862" w:rsidRDefault="00703A6C" w:rsidP="00631576">
      <w:pPr>
        <w:rPr>
          <w:lang w:val="en-US"/>
        </w:rPr>
      </w:pPr>
    </w:p>
    <w:p w14:paraId="68ED5EBF" w14:textId="41FBA541" w:rsidR="008E065E" w:rsidRPr="00664E4E" w:rsidRDefault="00C01F33" w:rsidP="008E065E">
      <w:pPr>
        <w:pStyle w:val="Heading1"/>
        <w:rPr>
          <w:lang w:val="en-US"/>
        </w:rPr>
      </w:pPr>
      <w:r w:rsidRPr="006F3862">
        <w:rPr>
          <w:lang w:val="en-US"/>
        </w:rPr>
        <w:t>Conclusion</w:t>
      </w:r>
    </w:p>
    <w:p w14:paraId="7558A9B6" w14:textId="40235196" w:rsidR="008E065E" w:rsidRPr="006F3862" w:rsidRDefault="008E065E" w:rsidP="008E065E">
      <w:pPr>
        <w:pStyle w:val="BodyText"/>
        <w:rPr>
          <w:lang w:val="en-US"/>
        </w:rPr>
      </w:pPr>
      <w:r w:rsidRPr="006F3862">
        <w:rPr>
          <w:lang w:val="en-US"/>
        </w:rPr>
        <w:t>Based on the discussion in section</w:t>
      </w:r>
      <w:r w:rsidR="004523CD" w:rsidRPr="006F3862">
        <w:rPr>
          <w:lang w:val="en-US"/>
        </w:rPr>
        <w:t xml:space="preserve"> 2 </w:t>
      </w:r>
      <w:r w:rsidR="00D6177C" w:rsidRPr="006F3862">
        <w:rPr>
          <w:lang w:val="en-US"/>
        </w:rPr>
        <w:t xml:space="preserve">and 3 </w:t>
      </w:r>
      <w:r w:rsidRPr="006F3862">
        <w:rPr>
          <w:lang w:val="en-US"/>
        </w:rPr>
        <w:t>we propose the following:</w:t>
      </w:r>
      <w:r w:rsidRPr="006F3862">
        <w:rPr>
          <w:bCs/>
          <w:lang w:val="en-US"/>
        </w:rPr>
        <w:fldChar w:fldCharType="begin"/>
      </w:r>
      <w:r w:rsidRPr="006F3862">
        <w:rPr>
          <w:bCs/>
          <w:lang w:val="en-US"/>
        </w:rPr>
        <w:instrText xml:space="preserve"> TOC \f \n \p " " \t "Proposal;1" </w:instrText>
      </w:r>
      <w:r w:rsidRPr="006F3862">
        <w:rPr>
          <w:bCs/>
          <w:lang w:val="en-US"/>
        </w:rPr>
        <w:fldChar w:fldCharType="separate"/>
      </w:r>
    </w:p>
    <w:p w14:paraId="1229ED78" w14:textId="508C0DE0" w:rsidR="008168BE" w:rsidRPr="006F3862" w:rsidRDefault="008168BE">
      <w:pPr>
        <w:pStyle w:val="TOC1"/>
        <w:rPr>
          <w:b w:val="0"/>
        </w:rPr>
      </w:pPr>
      <w:r w:rsidRPr="006F3862">
        <w:t>Proposal 1</w:t>
      </w:r>
      <w:r w:rsidRPr="006F3862">
        <w:rPr>
          <w:b w:val="0"/>
        </w:rPr>
        <w:tab/>
        <w:t>An IAB parent node provides information about the timing difference between its DL transmission and its set UL reception timing to all its IAB child nodes.</w:t>
      </w:r>
    </w:p>
    <w:p w14:paraId="27FD1A66" w14:textId="670D21C6" w:rsidR="008168BE" w:rsidRPr="006F3862" w:rsidRDefault="008168BE">
      <w:pPr>
        <w:pStyle w:val="TOC1"/>
        <w:rPr>
          <w:b w:val="0"/>
        </w:rPr>
      </w:pPr>
      <w:r w:rsidRPr="006F3862">
        <w:t>Proposal 2</w:t>
      </w:r>
      <w:r w:rsidRPr="006F3862">
        <w:rPr>
          <w:b w:val="0"/>
        </w:rPr>
        <w:tab/>
        <w:t>Information about T</w:t>
      </w:r>
      <w:r w:rsidRPr="006F3862">
        <w:rPr>
          <w:b w:val="0"/>
          <w:vertAlign w:val="subscript"/>
        </w:rPr>
        <w:sym w:font="Symbol" w:char="F044"/>
      </w:r>
      <w:r w:rsidRPr="006F3862">
        <w:rPr>
          <w:b w:val="0"/>
        </w:rPr>
        <w:t xml:space="preserve"> is not broadcasted, but provided by parent IAB nodes to all child IAB nodes as dedicated and/or IAB-specific signaling.</w:t>
      </w:r>
    </w:p>
    <w:p w14:paraId="7DD58876" w14:textId="42025243" w:rsidR="00BA00E0" w:rsidRPr="006F3862" w:rsidRDefault="00BA00E0">
      <w:pPr>
        <w:pStyle w:val="TOC1"/>
        <w:rPr>
          <w:b w:val="0"/>
        </w:rPr>
      </w:pPr>
      <w:r w:rsidRPr="006F3862">
        <w:t>Proposal 3</w:t>
      </w:r>
      <w:r w:rsidRPr="006F3862">
        <w:rPr>
          <w:b w:val="0"/>
        </w:rPr>
        <w:tab/>
        <w:t>Information provisioning about T</w:t>
      </w:r>
      <w:r w:rsidR="004523CD" w:rsidRPr="006F3862">
        <w:rPr>
          <w:b w:val="0"/>
          <w:vertAlign w:val="subscript"/>
        </w:rPr>
        <w:sym w:font="Symbol" w:char="F044"/>
      </w:r>
      <w:r w:rsidRPr="006F3862">
        <w:rPr>
          <w:b w:val="0"/>
        </w:rPr>
        <w:t xml:space="preserve"> should allow for granularity </w:t>
      </w:r>
      <w:r w:rsidR="004523CD" w:rsidRPr="006F3862">
        <w:rPr>
          <w:b w:val="0"/>
        </w:rPr>
        <w:t>of</w:t>
      </w:r>
      <w:r w:rsidRPr="006F3862">
        <w:rPr>
          <w:b w:val="0"/>
        </w:rPr>
        <w:t xml:space="preserve"> T</w:t>
      </w:r>
      <w:r w:rsidR="004523CD" w:rsidRPr="006F3862">
        <w:rPr>
          <w:b w:val="0"/>
          <w:vertAlign w:val="subscript"/>
        </w:rPr>
        <w:sym w:font="Symbol" w:char="F044"/>
      </w:r>
      <w:r w:rsidRPr="006F3862">
        <w:rPr>
          <w:b w:val="0"/>
        </w:rPr>
        <w:t xml:space="preserve"> not higher than for the timing advance update.</w:t>
      </w:r>
    </w:p>
    <w:p w14:paraId="22BF4C42" w14:textId="4CC2EDD8" w:rsidR="008E065E" w:rsidRPr="006F3862" w:rsidRDefault="008E065E" w:rsidP="008E065E">
      <w:pPr>
        <w:rPr>
          <w:bCs/>
          <w:lang w:val="en-US"/>
        </w:rPr>
      </w:pPr>
      <w:r w:rsidRPr="006F3862">
        <w:rPr>
          <w:bCs/>
          <w:lang w:val="en-US"/>
        </w:rPr>
        <w:fldChar w:fldCharType="end"/>
      </w:r>
    </w:p>
    <w:p w14:paraId="70967945" w14:textId="77777777" w:rsidR="00C01F33" w:rsidRPr="006F3862" w:rsidRDefault="00C01F33" w:rsidP="006E062C">
      <w:pPr>
        <w:rPr>
          <w:lang w:val="en-US"/>
        </w:rPr>
      </w:pPr>
    </w:p>
    <w:p w14:paraId="57B73A36" w14:textId="77777777" w:rsidR="00F507D1" w:rsidRPr="006F3862" w:rsidRDefault="00F507D1" w:rsidP="00CE0424">
      <w:pPr>
        <w:pStyle w:val="Heading1"/>
        <w:rPr>
          <w:lang w:val="en-US"/>
        </w:rPr>
      </w:pPr>
      <w:bookmarkStart w:id="1" w:name="_In-sequence_SDU_delivery"/>
      <w:bookmarkEnd w:id="1"/>
      <w:r w:rsidRPr="006F3862">
        <w:rPr>
          <w:lang w:val="en-US"/>
        </w:rPr>
        <w:t>References</w:t>
      </w:r>
    </w:p>
    <w:p w14:paraId="6EF5CF0A" w14:textId="5D301733" w:rsidR="003A7EF3" w:rsidRPr="006F3862" w:rsidRDefault="00115057" w:rsidP="00115057">
      <w:pPr>
        <w:pStyle w:val="Reference"/>
        <w:rPr>
          <w:lang w:val="en-US"/>
        </w:rPr>
      </w:pPr>
      <w:r w:rsidRPr="006F3862">
        <w:rPr>
          <w:rFonts w:cs="Arial"/>
          <w:lang w:val="en-US"/>
        </w:rPr>
        <w:t>RP-182882, New WID: Integrated Access and Backhaul for NR, Qualcomm, December 2018.</w:t>
      </w:r>
    </w:p>
    <w:p w14:paraId="18F6EE93" w14:textId="29BDBA18" w:rsidR="008A51C6" w:rsidRPr="006F3862" w:rsidRDefault="008A51C6" w:rsidP="00115057">
      <w:pPr>
        <w:pStyle w:val="Reference"/>
        <w:rPr>
          <w:lang w:val="en-US"/>
        </w:rPr>
      </w:pPr>
      <w:r w:rsidRPr="006F3862">
        <w:rPr>
          <w:lang w:val="en-US"/>
        </w:rPr>
        <w:t xml:space="preserve">3GPP TR 38.874 </w:t>
      </w:r>
      <w:r w:rsidR="005B7CBB" w:rsidRPr="006F3862">
        <w:rPr>
          <w:lang w:val="en-US"/>
        </w:rPr>
        <w:t>V</w:t>
      </w:r>
      <w:r w:rsidRPr="006F3862">
        <w:rPr>
          <w:lang w:val="en-US"/>
        </w:rPr>
        <w:t>1.0.0</w:t>
      </w:r>
    </w:p>
    <w:p w14:paraId="6E98EED3" w14:textId="51B3ECD0" w:rsidR="0069574F" w:rsidRPr="006F3862" w:rsidRDefault="0069574F" w:rsidP="00115057">
      <w:pPr>
        <w:pStyle w:val="Reference"/>
        <w:rPr>
          <w:lang w:val="en-US"/>
        </w:rPr>
      </w:pPr>
      <w:r w:rsidRPr="006F3862">
        <w:rPr>
          <w:lang w:val="en-US"/>
        </w:rPr>
        <w:t xml:space="preserve">R1-1811449, </w:t>
      </w:r>
      <w:r w:rsidR="00BF67E3" w:rsidRPr="006F3862">
        <w:rPr>
          <w:lang w:val="en-US"/>
        </w:rPr>
        <w:t>“Timing of IAB-node transmissions”, Ericsson</w:t>
      </w:r>
    </w:p>
    <w:p w14:paraId="7E90BACE" w14:textId="5D0A1A22" w:rsidR="00BF67E3" w:rsidRPr="006F3862" w:rsidRDefault="00F80C81" w:rsidP="00115057">
      <w:pPr>
        <w:pStyle w:val="Reference"/>
        <w:rPr>
          <w:lang w:val="en-US"/>
        </w:rPr>
      </w:pPr>
      <w:r w:rsidRPr="006F3862">
        <w:rPr>
          <w:lang w:val="en-US"/>
        </w:rPr>
        <w:t>R1-</w:t>
      </w:r>
      <w:r w:rsidR="00A7487C" w:rsidRPr="006F3862">
        <w:rPr>
          <w:lang w:val="en-US"/>
        </w:rPr>
        <w:t>1807396</w:t>
      </w:r>
      <w:r w:rsidRPr="006F3862">
        <w:rPr>
          <w:lang w:val="en-US"/>
        </w:rPr>
        <w:t>, “Network synchronization for multi-hop IAB”, Qualcomm</w:t>
      </w:r>
    </w:p>
    <w:p w14:paraId="2A6058BA" w14:textId="3888139C" w:rsidR="00D94DB2" w:rsidRPr="006F3862" w:rsidRDefault="00D94DB2" w:rsidP="00BC3468">
      <w:pPr>
        <w:pStyle w:val="Reference"/>
        <w:numPr>
          <w:ilvl w:val="0"/>
          <w:numId w:val="0"/>
        </w:numPr>
        <w:rPr>
          <w:lang w:val="en-US"/>
        </w:rPr>
      </w:pPr>
    </w:p>
    <w:sectPr w:rsidR="00D94DB2" w:rsidRPr="006F386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9148" w14:textId="77777777" w:rsidR="00052F3C" w:rsidRDefault="00052F3C">
      <w:r>
        <w:separator/>
      </w:r>
    </w:p>
  </w:endnote>
  <w:endnote w:type="continuationSeparator" w:id="0">
    <w:p w14:paraId="7246DC6B" w14:textId="77777777" w:rsidR="00052F3C" w:rsidRDefault="0005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D94DB2" w:rsidRDefault="00D94D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EEF05" w14:textId="77777777" w:rsidR="00052F3C" w:rsidRDefault="00052F3C">
      <w:r>
        <w:separator/>
      </w:r>
    </w:p>
  </w:footnote>
  <w:footnote w:type="continuationSeparator" w:id="0">
    <w:p w14:paraId="6788A888" w14:textId="77777777" w:rsidR="00052F3C" w:rsidRDefault="0005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D94DB2" w:rsidRDefault="00D94D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04293"/>
    <w:multiLevelType w:val="hybridMultilevel"/>
    <w:tmpl w:val="06728F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07F01"/>
    <w:multiLevelType w:val="hybridMultilevel"/>
    <w:tmpl w:val="7C901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B22BA"/>
    <w:multiLevelType w:val="hybridMultilevel"/>
    <w:tmpl w:val="CE62F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21B6B"/>
    <w:multiLevelType w:val="hybridMultilevel"/>
    <w:tmpl w:val="9544B4F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2671E3"/>
    <w:multiLevelType w:val="hybridMultilevel"/>
    <w:tmpl w:val="964C4BF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AD38E1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C0C47"/>
    <w:multiLevelType w:val="hybridMultilevel"/>
    <w:tmpl w:val="B956D0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04552"/>
    <w:multiLevelType w:val="hybridMultilevel"/>
    <w:tmpl w:val="CF4E6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FFE7C04">
      <w:start w:val="1"/>
      <w:numFmt w:val="bullet"/>
      <w:lvlText w:val="•"/>
      <w:lvlJc w:val="left"/>
      <w:pPr>
        <w:ind w:left="1440" w:hanging="360"/>
      </w:pPr>
      <w:rPr>
        <w:rFonts w:ascii="Batang" w:eastAsia="Batang" w:hAnsi="Batang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C708D"/>
    <w:multiLevelType w:val="hybridMultilevel"/>
    <w:tmpl w:val="08F4D2F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00F16"/>
    <w:multiLevelType w:val="hybridMultilevel"/>
    <w:tmpl w:val="BCD6F2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4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3"/>
  </w:num>
  <w:num w:numId="18">
    <w:abstractNumId w:val="22"/>
  </w:num>
  <w:num w:numId="19">
    <w:abstractNumId w:val="20"/>
  </w:num>
  <w:num w:numId="20">
    <w:abstractNumId w:val="13"/>
  </w:num>
  <w:num w:numId="21">
    <w:abstractNumId w:val="8"/>
  </w:num>
  <w:num w:numId="22">
    <w:abstractNumId w:val="5"/>
  </w:num>
  <w:num w:numId="23">
    <w:abstractNumId w:val="21"/>
  </w:num>
  <w:num w:numId="24">
    <w:abstractNumId w:val="7"/>
  </w:num>
  <w:num w:numId="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2F3C"/>
    <w:rsid w:val="000534E3"/>
    <w:rsid w:val="0005606A"/>
    <w:rsid w:val="00057117"/>
    <w:rsid w:val="000616E7"/>
    <w:rsid w:val="0006487E"/>
    <w:rsid w:val="00065A2C"/>
    <w:rsid w:val="00065E1A"/>
    <w:rsid w:val="0007307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BD1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4EE"/>
    <w:rsid w:val="000D4797"/>
    <w:rsid w:val="000D6E7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A0B"/>
    <w:rsid w:val="001062FB"/>
    <w:rsid w:val="001063E6"/>
    <w:rsid w:val="00113CF4"/>
    <w:rsid w:val="00115057"/>
    <w:rsid w:val="001153EA"/>
    <w:rsid w:val="00115643"/>
    <w:rsid w:val="00116765"/>
    <w:rsid w:val="00120A8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5F"/>
    <w:rsid w:val="00144BF0"/>
    <w:rsid w:val="00151E23"/>
    <w:rsid w:val="001521A7"/>
    <w:rsid w:val="001526E0"/>
    <w:rsid w:val="001551B5"/>
    <w:rsid w:val="00157536"/>
    <w:rsid w:val="001659C1"/>
    <w:rsid w:val="001679BA"/>
    <w:rsid w:val="00173A8E"/>
    <w:rsid w:val="0017772F"/>
    <w:rsid w:val="00177795"/>
    <w:rsid w:val="0018143F"/>
    <w:rsid w:val="00190AC1"/>
    <w:rsid w:val="001914B4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3FFB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4FD"/>
    <w:rsid w:val="002069B2"/>
    <w:rsid w:val="00206F80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C67"/>
    <w:rsid w:val="00241559"/>
    <w:rsid w:val="002435B3"/>
    <w:rsid w:val="002458EB"/>
    <w:rsid w:val="002500C8"/>
    <w:rsid w:val="00254981"/>
    <w:rsid w:val="002556D2"/>
    <w:rsid w:val="00257543"/>
    <w:rsid w:val="002617E7"/>
    <w:rsid w:val="00264228"/>
    <w:rsid w:val="00264334"/>
    <w:rsid w:val="0026473E"/>
    <w:rsid w:val="00264819"/>
    <w:rsid w:val="00266214"/>
    <w:rsid w:val="0026690D"/>
    <w:rsid w:val="00267C83"/>
    <w:rsid w:val="0027144F"/>
    <w:rsid w:val="00271F3A"/>
    <w:rsid w:val="00273278"/>
    <w:rsid w:val="002737F4"/>
    <w:rsid w:val="00277AD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C77CB"/>
    <w:rsid w:val="002D071A"/>
    <w:rsid w:val="002D239A"/>
    <w:rsid w:val="002D34B2"/>
    <w:rsid w:val="002D7637"/>
    <w:rsid w:val="002E1274"/>
    <w:rsid w:val="002E17F2"/>
    <w:rsid w:val="002E7CAE"/>
    <w:rsid w:val="002F2771"/>
    <w:rsid w:val="002F37A9"/>
    <w:rsid w:val="002F4B33"/>
    <w:rsid w:val="00301CE6"/>
    <w:rsid w:val="0030256B"/>
    <w:rsid w:val="0030501F"/>
    <w:rsid w:val="00307BA1"/>
    <w:rsid w:val="00310F4F"/>
    <w:rsid w:val="00311702"/>
    <w:rsid w:val="00311E82"/>
    <w:rsid w:val="00313FD6"/>
    <w:rsid w:val="003143BD"/>
    <w:rsid w:val="00314FDD"/>
    <w:rsid w:val="003203ED"/>
    <w:rsid w:val="00322C9F"/>
    <w:rsid w:val="00322EB6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73D"/>
    <w:rsid w:val="00355770"/>
    <w:rsid w:val="00357380"/>
    <w:rsid w:val="003578DF"/>
    <w:rsid w:val="003602D9"/>
    <w:rsid w:val="003604CE"/>
    <w:rsid w:val="00360E74"/>
    <w:rsid w:val="00370E47"/>
    <w:rsid w:val="003742AC"/>
    <w:rsid w:val="00377CE1"/>
    <w:rsid w:val="003856F9"/>
    <w:rsid w:val="00385BF0"/>
    <w:rsid w:val="003939FF"/>
    <w:rsid w:val="00395ED1"/>
    <w:rsid w:val="003A05C8"/>
    <w:rsid w:val="003A2223"/>
    <w:rsid w:val="003A2A0F"/>
    <w:rsid w:val="003A301C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42AA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7889"/>
    <w:rsid w:val="004000E8"/>
    <w:rsid w:val="00402E2B"/>
    <w:rsid w:val="00402ED9"/>
    <w:rsid w:val="00403D84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3CD"/>
    <w:rsid w:val="00452CAC"/>
    <w:rsid w:val="0045323F"/>
    <w:rsid w:val="00457565"/>
    <w:rsid w:val="00457B71"/>
    <w:rsid w:val="004669E2"/>
    <w:rsid w:val="00470C31"/>
    <w:rsid w:val="004734D0"/>
    <w:rsid w:val="004736E1"/>
    <w:rsid w:val="0047556B"/>
    <w:rsid w:val="00477768"/>
    <w:rsid w:val="0048349C"/>
    <w:rsid w:val="00492524"/>
    <w:rsid w:val="00492BC5"/>
    <w:rsid w:val="00494B31"/>
    <w:rsid w:val="004964F1"/>
    <w:rsid w:val="004A16BC"/>
    <w:rsid w:val="004A2B94"/>
    <w:rsid w:val="004A6A2A"/>
    <w:rsid w:val="004B5AE8"/>
    <w:rsid w:val="004B7C0C"/>
    <w:rsid w:val="004C3408"/>
    <w:rsid w:val="004C3898"/>
    <w:rsid w:val="004C5E5B"/>
    <w:rsid w:val="004C5F46"/>
    <w:rsid w:val="004D36B1"/>
    <w:rsid w:val="004D6FF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EE"/>
    <w:rsid w:val="005041E6"/>
    <w:rsid w:val="00506557"/>
    <w:rsid w:val="005066D9"/>
    <w:rsid w:val="0050677A"/>
    <w:rsid w:val="005108D8"/>
    <w:rsid w:val="005116F9"/>
    <w:rsid w:val="00513A3D"/>
    <w:rsid w:val="005153A7"/>
    <w:rsid w:val="005219CF"/>
    <w:rsid w:val="005257B4"/>
    <w:rsid w:val="00534B59"/>
    <w:rsid w:val="00536759"/>
    <w:rsid w:val="00537C62"/>
    <w:rsid w:val="00546970"/>
    <w:rsid w:val="00547F4D"/>
    <w:rsid w:val="00550419"/>
    <w:rsid w:val="00552C23"/>
    <w:rsid w:val="00554E19"/>
    <w:rsid w:val="0056121F"/>
    <w:rsid w:val="00572505"/>
    <w:rsid w:val="00582809"/>
    <w:rsid w:val="005855D2"/>
    <w:rsid w:val="005864ED"/>
    <w:rsid w:val="0058798C"/>
    <w:rsid w:val="005900FA"/>
    <w:rsid w:val="005929B5"/>
    <w:rsid w:val="005935A4"/>
    <w:rsid w:val="005948C2"/>
    <w:rsid w:val="00595DCA"/>
    <w:rsid w:val="0059779B"/>
    <w:rsid w:val="005977A6"/>
    <w:rsid w:val="005A209A"/>
    <w:rsid w:val="005A662D"/>
    <w:rsid w:val="005B2C33"/>
    <w:rsid w:val="005B35D7"/>
    <w:rsid w:val="005B392A"/>
    <w:rsid w:val="005B3AA3"/>
    <w:rsid w:val="005B6F83"/>
    <w:rsid w:val="005B7CBB"/>
    <w:rsid w:val="005C74FB"/>
    <w:rsid w:val="005D1602"/>
    <w:rsid w:val="005E385F"/>
    <w:rsid w:val="005E5B81"/>
    <w:rsid w:val="005F2CB1"/>
    <w:rsid w:val="005F3025"/>
    <w:rsid w:val="005F43DD"/>
    <w:rsid w:val="005F618C"/>
    <w:rsid w:val="005F70BD"/>
    <w:rsid w:val="0060283C"/>
    <w:rsid w:val="00604F14"/>
    <w:rsid w:val="00611B83"/>
    <w:rsid w:val="00613257"/>
    <w:rsid w:val="00620935"/>
    <w:rsid w:val="00620A71"/>
    <w:rsid w:val="00620D80"/>
    <w:rsid w:val="006212A9"/>
    <w:rsid w:val="006234A6"/>
    <w:rsid w:val="00630001"/>
    <w:rsid w:val="006311B3"/>
    <w:rsid w:val="00631576"/>
    <w:rsid w:val="0063284C"/>
    <w:rsid w:val="00636398"/>
    <w:rsid w:val="006363B2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E4E"/>
    <w:rsid w:val="006655EE"/>
    <w:rsid w:val="00666030"/>
    <w:rsid w:val="00667EE7"/>
    <w:rsid w:val="00670922"/>
    <w:rsid w:val="00670BE1"/>
    <w:rsid w:val="006717D4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74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1496"/>
    <w:rsid w:val="006C2F6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00"/>
    <w:rsid w:val="006E565E"/>
    <w:rsid w:val="006E673D"/>
    <w:rsid w:val="006E7D3B"/>
    <w:rsid w:val="006F1B70"/>
    <w:rsid w:val="006F341D"/>
    <w:rsid w:val="006F3862"/>
    <w:rsid w:val="006F3CDE"/>
    <w:rsid w:val="006F58D4"/>
    <w:rsid w:val="0070346E"/>
    <w:rsid w:val="00703A6C"/>
    <w:rsid w:val="00704365"/>
    <w:rsid w:val="00704EDB"/>
    <w:rsid w:val="00706101"/>
    <w:rsid w:val="00707072"/>
    <w:rsid w:val="00707D61"/>
    <w:rsid w:val="00712287"/>
    <w:rsid w:val="00712772"/>
    <w:rsid w:val="007148D3"/>
    <w:rsid w:val="00715B9A"/>
    <w:rsid w:val="00716E08"/>
    <w:rsid w:val="0072265C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2F14"/>
    <w:rsid w:val="0075490C"/>
    <w:rsid w:val="007571E1"/>
    <w:rsid w:val="00757F40"/>
    <w:rsid w:val="007604B2"/>
    <w:rsid w:val="00765281"/>
    <w:rsid w:val="00766BAD"/>
    <w:rsid w:val="00770027"/>
    <w:rsid w:val="007730BD"/>
    <w:rsid w:val="007755F2"/>
    <w:rsid w:val="00776971"/>
    <w:rsid w:val="0078177E"/>
    <w:rsid w:val="0078304C"/>
    <w:rsid w:val="00783673"/>
    <w:rsid w:val="00785490"/>
    <w:rsid w:val="007855EC"/>
    <w:rsid w:val="007925EA"/>
    <w:rsid w:val="00793CD8"/>
    <w:rsid w:val="00795C92"/>
    <w:rsid w:val="00796231"/>
    <w:rsid w:val="007A04B2"/>
    <w:rsid w:val="007A1CB3"/>
    <w:rsid w:val="007A306F"/>
    <w:rsid w:val="007A43A6"/>
    <w:rsid w:val="007A58A6"/>
    <w:rsid w:val="007B0656"/>
    <w:rsid w:val="007B3D2D"/>
    <w:rsid w:val="007B50AE"/>
    <w:rsid w:val="007B51DF"/>
    <w:rsid w:val="007C05DD"/>
    <w:rsid w:val="007C3D18"/>
    <w:rsid w:val="007C57F1"/>
    <w:rsid w:val="007C60BF"/>
    <w:rsid w:val="007C6A07"/>
    <w:rsid w:val="007C75A1"/>
    <w:rsid w:val="007C7741"/>
    <w:rsid w:val="007C77A5"/>
    <w:rsid w:val="007D04E5"/>
    <w:rsid w:val="007D5901"/>
    <w:rsid w:val="007D7526"/>
    <w:rsid w:val="007E11F1"/>
    <w:rsid w:val="007E4610"/>
    <w:rsid w:val="007E4715"/>
    <w:rsid w:val="007E505B"/>
    <w:rsid w:val="007E7091"/>
    <w:rsid w:val="00803FAE"/>
    <w:rsid w:val="0080605F"/>
    <w:rsid w:val="00807786"/>
    <w:rsid w:val="00807BED"/>
    <w:rsid w:val="00811FCB"/>
    <w:rsid w:val="008142F2"/>
    <w:rsid w:val="008158D6"/>
    <w:rsid w:val="008168BE"/>
    <w:rsid w:val="00817196"/>
    <w:rsid w:val="008235DB"/>
    <w:rsid w:val="00824AB4"/>
    <w:rsid w:val="00825C42"/>
    <w:rsid w:val="00825D25"/>
    <w:rsid w:val="0082754A"/>
    <w:rsid w:val="00827D6F"/>
    <w:rsid w:val="00830167"/>
    <w:rsid w:val="008376AC"/>
    <w:rsid w:val="008444E8"/>
    <w:rsid w:val="00844E80"/>
    <w:rsid w:val="00846640"/>
    <w:rsid w:val="00846FE7"/>
    <w:rsid w:val="00856911"/>
    <w:rsid w:val="008677FD"/>
    <w:rsid w:val="008702A7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4CCB"/>
    <w:rsid w:val="00895386"/>
    <w:rsid w:val="008A21C5"/>
    <w:rsid w:val="008A21FF"/>
    <w:rsid w:val="008A2CE2"/>
    <w:rsid w:val="008A30AC"/>
    <w:rsid w:val="008A44B8"/>
    <w:rsid w:val="008A51A8"/>
    <w:rsid w:val="008A51C6"/>
    <w:rsid w:val="008A54C7"/>
    <w:rsid w:val="008A77D8"/>
    <w:rsid w:val="008A7C72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633"/>
    <w:rsid w:val="008D301E"/>
    <w:rsid w:val="008D34F1"/>
    <w:rsid w:val="008D39D8"/>
    <w:rsid w:val="008D6D1A"/>
    <w:rsid w:val="008D7E49"/>
    <w:rsid w:val="008E065E"/>
    <w:rsid w:val="008E0927"/>
    <w:rsid w:val="008E1909"/>
    <w:rsid w:val="008E37C3"/>
    <w:rsid w:val="008F18BF"/>
    <w:rsid w:val="008F1EAB"/>
    <w:rsid w:val="008F29BC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E84"/>
    <w:rsid w:val="00922010"/>
    <w:rsid w:val="00926561"/>
    <w:rsid w:val="009315CF"/>
    <w:rsid w:val="00931BD9"/>
    <w:rsid w:val="009368F3"/>
    <w:rsid w:val="00941636"/>
    <w:rsid w:val="00943742"/>
    <w:rsid w:val="009438B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3F5"/>
    <w:rsid w:val="00963B55"/>
    <w:rsid w:val="0096430A"/>
    <w:rsid w:val="0096554B"/>
    <w:rsid w:val="0096584A"/>
    <w:rsid w:val="00971F08"/>
    <w:rsid w:val="0097603D"/>
    <w:rsid w:val="00976949"/>
    <w:rsid w:val="00980477"/>
    <w:rsid w:val="00982A9B"/>
    <w:rsid w:val="00985253"/>
    <w:rsid w:val="009853B3"/>
    <w:rsid w:val="00990630"/>
    <w:rsid w:val="00991761"/>
    <w:rsid w:val="009934DD"/>
    <w:rsid w:val="00994DCA"/>
    <w:rsid w:val="00995530"/>
    <w:rsid w:val="009960EC"/>
    <w:rsid w:val="009970DD"/>
    <w:rsid w:val="009A0FBA"/>
    <w:rsid w:val="009A1601"/>
    <w:rsid w:val="009A462D"/>
    <w:rsid w:val="009A4D86"/>
    <w:rsid w:val="009A5CBA"/>
    <w:rsid w:val="009A6053"/>
    <w:rsid w:val="009B1F30"/>
    <w:rsid w:val="009B3AC2"/>
    <w:rsid w:val="009B4DF4"/>
    <w:rsid w:val="009B564E"/>
    <w:rsid w:val="009B64E5"/>
    <w:rsid w:val="009B7E87"/>
    <w:rsid w:val="009C1EE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2D9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4F31"/>
    <w:rsid w:val="00A45B74"/>
    <w:rsid w:val="00A50E4B"/>
    <w:rsid w:val="00A52E1D"/>
    <w:rsid w:val="00A61499"/>
    <w:rsid w:val="00A62A77"/>
    <w:rsid w:val="00A63483"/>
    <w:rsid w:val="00A657D7"/>
    <w:rsid w:val="00A660AC"/>
    <w:rsid w:val="00A67E6C"/>
    <w:rsid w:val="00A71B99"/>
    <w:rsid w:val="00A726A9"/>
    <w:rsid w:val="00A739D0"/>
    <w:rsid w:val="00A7487C"/>
    <w:rsid w:val="00A761D4"/>
    <w:rsid w:val="00A77EC4"/>
    <w:rsid w:val="00A86331"/>
    <w:rsid w:val="00A92879"/>
    <w:rsid w:val="00A9442A"/>
    <w:rsid w:val="00AA016F"/>
    <w:rsid w:val="00AA1ED6"/>
    <w:rsid w:val="00AA466A"/>
    <w:rsid w:val="00AA51D6"/>
    <w:rsid w:val="00AB0BC8"/>
    <w:rsid w:val="00AB11CA"/>
    <w:rsid w:val="00AB14D9"/>
    <w:rsid w:val="00AB47C3"/>
    <w:rsid w:val="00AB4AB8"/>
    <w:rsid w:val="00AB655E"/>
    <w:rsid w:val="00AC007F"/>
    <w:rsid w:val="00AC1593"/>
    <w:rsid w:val="00AC2ECD"/>
    <w:rsid w:val="00AC3119"/>
    <w:rsid w:val="00AC49FB"/>
    <w:rsid w:val="00AC5A10"/>
    <w:rsid w:val="00AD0AA3"/>
    <w:rsid w:val="00AD3F94"/>
    <w:rsid w:val="00AD4A5A"/>
    <w:rsid w:val="00AE24B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D5B"/>
    <w:rsid w:val="00B11A49"/>
    <w:rsid w:val="00B157F9"/>
    <w:rsid w:val="00B20256"/>
    <w:rsid w:val="00B2035A"/>
    <w:rsid w:val="00B20D09"/>
    <w:rsid w:val="00B2763F"/>
    <w:rsid w:val="00B27AAC"/>
    <w:rsid w:val="00B304F3"/>
    <w:rsid w:val="00B30929"/>
    <w:rsid w:val="00B3256D"/>
    <w:rsid w:val="00B372AA"/>
    <w:rsid w:val="00B40445"/>
    <w:rsid w:val="00B40BEF"/>
    <w:rsid w:val="00B415FE"/>
    <w:rsid w:val="00B41888"/>
    <w:rsid w:val="00B45A52"/>
    <w:rsid w:val="00B46175"/>
    <w:rsid w:val="00B6188F"/>
    <w:rsid w:val="00B64AE4"/>
    <w:rsid w:val="00B664C7"/>
    <w:rsid w:val="00B66B3D"/>
    <w:rsid w:val="00B739F6"/>
    <w:rsid w:val="00B81A6C"/>
    <w:rsid w:val="00B85DE5"/>
    <w:rsid w:val="00B90F73"/>
    <w:rsid w:val="00B93B59"/>
    <w:rsid w:val="00B9406A"/>
    <w:rsid w:val="00B97752"/>
    <w:rsid w:val="00BA00E0"/>
    <w:rsid w:val="00BA2280"/>
    <w:rsid w:val="00BA2A08"/>
    <w:rsid w:val="00BA3E95"/>
    <w:rsid w:val="00BA56D2"/>
    <w:rsid w:val="00BA76E0"/>
    <w:rsid w:val="00BB23F6"/>
    <w:rsid w:val="00BB2A25"/>
    <w:rsid w:val="00BB51E9"/>
    <w:rsid w:val="00BC0AA1"/>
    <w:rsid w:val="00BC0FDC"/>
    <w:rsid w:val="00BC3053"/>
    <w:rsid w:val="00BC3468"/>
    <w:rsid w:val="00BC4D2E"/>
    <w:rsid w:val="00BD3D5A"/>
    <w:rsid w:val="00BD48AC"/>
    <w:rsid w:val="00BD4C87"/>
    <w:rsid w:val="00BD5F1A"/>
    <w:rsid w:val="00BE1234"/>
    <w:rsid w:val="00BE2FA6"/>
    <w:rsid w:val="00BE333F"/>
    <w:rsid w:val="00BE7406"/>
    <w:rsid w:val="00BE7603"/>
    <w:rsid w:val="00BF3279"/>
    <w:rsid w:val="00BF67E3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E48"/>
    <w:rsid w:val="00C12107"/>
    <w:rsid w:val="00C14D4B"/>
    <w:rsid w:val="00C154BB"/>
    <w:rsid w:val="00C21FDD"/>
    <w:rsid w:val="00C279B5"/>
    <w:rsid w:val="00C27C45"/>
    <w:rsid w:val="00C3719D"/>
    <w:rsid w:val="00C51204"/>
    <w:rsid w:val="00C51414"/>
    <w:rsid w:val="00C54995"/>
    <w:rsid w:val="00C54D41"/>
    <w:rsid w:val="00C60783"/>
    <w:rsid w:val="00C64672"/>
    <w:rsid w:val="00C6733A"/>
    <w:rsid w:val="00C70697"/>
    <w:rsid w:val="00C72EF4"/>
    <w:rsid w:val="00C75D2F"/>
    <w:rsid w:val="00C767BE"/>
    <w:rsid w:val="00C76E3C"/>
    <w:rsid w:val="00C77C20"/>
    <w:rsid w:val="00C81568"/>
    <w:rsid w:val="00C9027A"/>
    <w:rsid w:val="00C9068E"/>
    <w:rsid w:val="00C93C4B"/>
    <w:rsid w:val="00C944AB"/>
    <w:rsid w:val="00C95B40"/>
    <w:rsid w:val="00C9784A"/>
    <w:rsid w:val="00CA1ED8"/>
    <w:rsid w:val="00CA78E6"/>
    <w:rsid w:val="00CB1F63"/>
    <w:rsid w:val="00CB7170"/>
    <w:rsid w:val="00CC0035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794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37E6D"/>
    <w:rsid w:val="00D40B33"/>
    <w:rsid w:val="00D4318F"/>
    <w:rsid w:val="00D4370A"/>
    <w:rsid w:val="00D438BF"/>
    <w:rsid w:val="00D440F8"/>
    <w:rsid w:val="00D50F97"/>
    <w:rsid w:val="00D52C73"/>
    <w:rsid w:val="00D546FF"/>
    <w:rsid w:val="00D55AD5"/>
    <w:rsid w:val="00D576CA"/>
    <w:rsid w:val="00D6177C"/>
    <w:rsid w:val="00D61AF5"/>
    <w:rsid w:val="00D6524B"/>
    <w:rsid w:val="00D652B5"/>
    <w:rsid w:val="00D66155"/>
    <w:rsid w:val="00D708B0"/>
    <w:rsid w:val="00D70E3E"/>
    <w:rsid w:val="00D758E2"/>
    <w:rsid w:val="00D77B1D"/>
    <w:rsid w:val="00D8021F"/>
    <w:rsid w:val="00D80383"/>
    <w:rsid w:val="00D81E5D"/>
    <w:rsid w:val="00D823C6"/>
    <w:rsid w:val="00D834D7"/>
    <w:rsid w:val="00D86CA3"/>
    <w:rsid w:val="00D871CE"/>
    <w:rsid w:val="00D9196D"/>
    <w:rsid w:val="00D92982"/>
    <w:rsid w:val="00D94DB2"/>
    <w:rsid w:val="00DA305E"/>
    <w:rsid w:val="00DA5417"/>
    <w:rsid w:val="00DA56E8"/>
    <w:rsid w:val="00DB0A9F"/>
    <w:rsid w:val="00DB377D"/>
    <w:rsid w:val="00DB5965"/>
    <w:rsid w:val="00DB7089"/>
    <w:rsid w:val="00DC2D36"/>
    <w:rsid w:val="00DC53EF"/>
    <w:rsid w:val="00DC5609"/>
    <w:rsid w:val="00DE5608"/>
    <w:rsid w:val="00DE58D0"/>
    <w:rsid w:val="00DE654F"/>
    <w:rsid w:val="00DF0B6E"/>
    <w:rsid w:val="00DF15E0"/>
    <w:rsid w:val="00DF37A0"/>
    <w:rsid w:val="00DF71A0"/>
    <w:rsid w:val="00E066A1"/>
    <w:rsid w:val="00E110E7"/>
    <w:rsid w:val="00E11B20"/>
    <w:rsid w:val="00E14D9A"/>
    <w:rsid w:val="00E17FA2"/>
    <w:rsid w:val="00E22330"/>
    <w:rsid w:val="00E248EF"/>
    <w:rsid w:val="00E30B5A"/>
    <w:rsid w:val="00E3123D"/>
    <w:rsid w:val="00E31461"/>
    <w:rsid w:val="00E31D43"/>
    <w:rsid w:val="00E32608"/>
    <w:rsid w:val="00E326F4"/>
    <w:rsid w:val="00E34188"/>
    <w:rsid w:val="00E34B6E"/>
    <w:rsid w:val="00E35559"/>
    <w:rsid w:val="00E3586B"/>
    <w:rsid w:val="00E3723A"/>
    <w:rsid w:val="00E37860"/>
    <w:rsid w:val="00E4062D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F4"/>
    <w:rsid w:val="00EA7A41"/>
    <w:rsid w:val="00EB077B"/>
    <w:rsid w:val="00EB2EBE"/>
    <w:rsid w:val="00EB4EA2"/>
    <w:rsid w:val="00EC152A"/>
    <w:rsid w:val="00EC27C6"/>
    <w:rsid w:val="00EC4207"/>
    <w:rsid w:val="00EC5653"/>
    <w:rsid w:val="00EC71CE"/>
    <w:rsid w:val="00ED1006"/>
    <w:rsid w:val="00EE41EA"/>
    <w:rsid w:val="00EF0EC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526C"/>
    <w:rsid w:val="00F67F53"/>
    <w:rsid w:val="00F703BE"/>
    <w:rsid w:val="00F71F69"/>
    <w:rsid w:val="00F72B72"/>
    <w:rsid w:val="00F74BB9"/>
    <w:rsid w:val="00F75582"/>
    <w:rsid w:val="00F76EFA"/>
    <w:rsid w:val="00F804BE"/>
    <w:rsid w:val="00F80C8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DDA"/>
    <w:rsid w:val="00FA74F5"/>
    <w:rsid w:val="00FB4C80"/>
    <w:rsid w:val="00FB6A6A"/>
    <w:rsid w:val="00FC084F"/>
    <w:rsid w:val="00FC3244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C1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3C42AA"/>
    <w:pPr>
      <w:ind w:left="720"/>
      <w:contextualSpacing/>
    </w:pPr>
  </w:style>
  <w:style w:type="table" w:styleId="TableGrid">
    <w:name w:val="Table Grid"/>
    <w:basedOn w:val="TableNormal"/>
    <w:rsid w:val="00E4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4062D"/>
    <w:rPr>
      <w:color w:val="808080"/>
    </w:rPr>
  </w:style>
  <w:style w:type="paragraph" w:customStyle="1" w:styleId="Default">
    <w:name w:val="Default"/>
    <w:rsid w:val="00982A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2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1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0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0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9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0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74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6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5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5NUHHDQN7SK2-1476151046-39289</_dlc_DocId>
    <_dlc_DocIdUrl xmlns="f166a696-7b5b-4ccd-9f0c-ffde0cceec81">
      <Url>https://ericsson.sharepoint.com/sites/star/_layouts/15/DocIdRedir.aspx?ID=5NUHHDQN7SK2-1476151046-39289</Url>
      <Description>5NUHHDQN7SK2-1476151046-39289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IconOverlay xmlns="http://schemas.microsoft.com/sharepoint/v4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A4B28A-C08C-481F-BCA8-437D159EB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51EEE37-1D7F-4E4F-A132-DA16B279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</TotalTime>
  <Pages>3</Pages>
  <Words>1113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7001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Erik Dahlman</cp:lastModifiedBy>
  <cp:revision>5</cp:revision>
  <cp:lastPrinted>2019-01-10T15:09:00Z</cp:lastPrinted>
  <dcterms:created xsi:type="dcterms:W3CDTF">2019-01-10T18:32:00Z</dcterms:created>
  <dcterms:modified xsi:type="dcterms:W3CDTF">2019-01-11T19:30:00Z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1dd27758-a086-49a7-83cc-a7653c616e13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