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093E" w:rsidRPr="009C718A" w:rsidRDefault="0027093E" w:rsidP="0027093E">
      <w:pPr>
        <w:tabs>
          <w:tab w:val="center" w:pos="4536"/>
          <w:tab w:val="right" w:pos="8280"/>
          <w:tab w:val="right" w:pos="9781"/>
        </w:tabs>
        <w:spacing w:after="0"/>
        <w:ind w:right="-58"/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9C718A">
        <w:rPr>
          <w:rFonts w:ascii="Arial" w:hAnsi="Arial" w:cs="Arial"/>
          <w:b/>
          <w:bCs/>
          <w:sz w:val="24"/>
          <w:szCs w:val="24"/>
        </w:rPr>
        <w:t xml:space="preserve">3GPP TSG RAN WG1 Meeting </w:t>
      </w:r>
      <w:r>
        <w:rPr>
          <w:rFonts w:ascii="Arial" w:hAnsi="Arial" w:cs="Arial"/>
          <w:b/>
          <w:bCs/>
          <w:sz w:val="24"/>
          <w:szCs w:val="24"/>
        </w:rPr>
        <w:t xml:space="preserve">NR #3               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9C718A">
        <w:rPr>
          <w:rFonts w:ascii="Arial" w:hAnsi="Arial" w:cs="Arial"/>
          <w:b/>
          <w:bCs/>
          <w:sz w:val="24"/>
          <w:szCs w:val="24"/>
        </w:rPr>
        <w:tab/>
      </w:r>
      <w:r w:rsidRPr="005F6707">
        <w:rPr>
          <w:rFonts w:ascii="Arial" w:hAnsi="Arial" w:cs="Arial"/>
          <w:b/>
          <w:bCs/>
          <w:sz w:val="24"/>
          <w:szCs w:val="24"/>
        </w:rPr>
        <w:t>R1-17</w:t>
      </w:r>
      <w:r w:rsidR="0021766D">
        <w:rPr>
          <w:rFonts w:ascii="Arial" w:hAnsi="Arial" w:cs="Arial"/>
          <w:b/>
          <w:bCs/>
          <w:sz w:val="24"/>
          <w:szCs w:val="24"/>
        </w:rPr>
        <w:t>16873</w:t>
      </w:r>
    </w:p>
    <w:p w:rsidR="0027093E" w:rsidRPr="009C718A" w:rsidRDefault="0027093E" w:rsidP="0027093E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Nagoya, Japan</w:t>
      </w:r>
      <w:r w:rsidRPr="00022D29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18</w:t>
      </w:r>
      <w:r w:rsidRPr="00CC0E0E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21</w:t>
      </w:r>
      <w:r w:rsidRPr="00836958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st</w:t>
      </w:r>
      <w:r w:rsidRPr="00022D29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Sep</w:t>
      </w:r>
      <w:r w:rsidRPr="00022D29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2017</w:t>
      </w:r>
      <w:r>
        <w:rPr>
          <w:rFonts w:ascii="Arial" w:eastAsia="MS Mincho" w:hAnsi="Arial" w:cs="Arial"/>
          <w:b/>
          <w:bCs/>
          <w:lang w:eastAsia="ja-JP"/>
        </w:rPr>
        <w:t xml:space="preserve"> </w:t>
      </w:r>
    </w:p>
    <w:p w:rsidR="0027093E" w:rsidRPr="009C718A" w:rsidRDefault="0027093E" w:rsidP="0027093E">
      <w:pPr>
        <w:tabs>
          <w:tab w:val="left" w:pos="1701"/>
          <w:tab w:val="right" w:pos="9072"/>
          <w:tab w:val="right" w:pos="10206"/>
        </w:tabs>
        <w:spacing w:after="80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Agenda Item:</w:t>
      </w:r>
      <w:r>
        <w:rPr>
          <w:rFonts w:ascii="Arial" w:hAnsi="Arial"/>
          <w:b/>
          <w:sz w:val="24"/>
          <w:szCs w:val="24"/>
        </w:rPr>
        <w:tab/>
      </w:r>
      <w:r w:rsidRPr="00F01ABB">
        <w:rPr>
          <w:rFonts w:ascii="Arial" w:hAnsi="Arial"/>
          <w:b/>
          <w:sz w:val="24"/>
          <w:szCs w:val="24"/>
        </w:rPr>
        <w:t>6.</w:t>
      </w:r>
      <w:r>
        <w:rPr>
          <w:rFonts w:ascii="Arial" w:hAnsi="Arial"/>
          <w:b/>
          <w:sz w:val="24"/>
          <w:szCs w:val="24"/>
        </w:rPr>
        <w:t>3.3.5</w:t>
      </w:r>
    </w:p>
    <w:p w:rsidR="0027093E" w:rsidRPr="009C718A" w:rsidRDefault="0027093E" w:rsidP="0027093E">
      <w:pPr>
        <w:tabs>
          <w:tab w:val="left" w:pos="1701"/>
          <w:tab w:val="right" w:pos="9072"/>
          <w:tab w:val="right" w:pos="10206"/>
        </w:tabs>
        <w:spacing w:after="80"/>
        <w:jc w:val="both"/>
        <w:rPr>
          <w:rFonts w:ascii="Arial" w:hAnsi="Arial"/>
          <w:b/>
          <w:sz w:val="24"/>
          <w:szCs w:val="24"/>
        </w:rPr>
      </w:pPr>
      <w:r w:rsidRPr="009C718A">
        <w:rPr>
          <w:rFonts w:ascii="Arial" w:hAnsi="Arial"/>
          <w:b/>
          <w:sz w:val="24"/>
          <w:szCs w:val="24"/>
        </w:rPr>
        <w:t xml:space="preserve">Source: </w:t>
      </w:r>
      <w:r w:rsidRPr="009C718A">
        <w:rPr>
          <w:rFonts w:ascii="Arial" w:hAnsi="Arial"/>
          <w:b/>
          <w:sz w:val="24"/>
          <w:szCs w:val="24"/>
        </w:rPr>
        <w:tab/>
        <w:t>Intel Corporation</w:t>
      </w:r>
    </w:p>
    <w:p w:rsidR="0027093E" w:rsidRPr="009C718A" w:rsidRDefault="0027093E" w:rsidP="0027093E">
      <w:pPr>
        <w:tabs>
          <w:tab w:val="left" w:pos="1701"/>
          <w:tab w:val="right" w:pos="9072"/>
          <w:tab w:val="right" w:pos="10206"/>
        </w:tabs>
        <w:spacing w:after="80"/>
        <w:jc w:val="both"/>
        <w:rPr>
          <w:rFonts w:ascii="Arial" w:hAnsi="Arial"/>
          <w:b/>
          <w:sz w:val="24"/>
          <w:szCs w:val="24"/>
        </w:rPr>
      </w:pPr>
      <w:r w:rsidRPr="009C718A">
        <w:rPr>
          <w:rFonts w:ascii="Arial" w:hAnsi="Arial"/>
          <w:b/>
          <w:sz w:val="24"/>
          <w:szCs w:val="24"/>
        </w:rPr>
        <w:t>Title:</w:t>
      </w:r>
      <w:bookmarkStart w:id="0" w:name="Title"/>
      <w:bookmarkEnd w:id="0"/>
      <w:r w:rsidRPr="009C718A">
        <w:rPr>
          <w:rFonts w:ascii="Arial" w:hAnsi="Arial"/>
          <w:b/>
          <w:sz w:val="24"/>
          <w:szCs w:val="24"/>
        </w:rPr>
        <w:tab/>
      </w:r>
      <w:r w:rsidR="00DF7638">
        <w:rPr>
          <w:rFonts w:ascii="Arial" w:hAnsi="Arial"/>
          <w:b/>
          <w:sz w:val="24"/>
          <w:szCs w:val="24"/>
        </w:rPr>
        <w:t>S</w:t>
      </w:r>
      <w:r>
        <w:rPr>
          <w:rFonts w:ascii="Arial" w:hAnsi="Arial"/>
          <w:b/>
          <w:sz w:val="24"/>
          <w:szCs w:val="24"/>
        </w:rPr>
        <w:t xml:space="preserve">ummary </w:t>
      </w:r>
      <w:r w:rsidR="00DF7638">
        <w:rPr>
          <w:rFonts w:ascii="Arial" w:hAnsi="Arial"/>
          <w:b/>
          <w:sz w:val="24"/>
          <w:szCs w:val="24"/>
        </w:rPr>
        <w:t>for</w:t>
      </w:r>
      <w:r>
        <w:rPr>
          <w:rFonts w:ascii="Arial" w:hAnsi="Arial"/>
          <w:b/>
          <w:sz w:val="24"/>
          <w:szCs w:val="24"/>
        </w:rPr>
        <w:t xml:space="preserve"> </w:t>
      </w:r>
      <w:r w:rsidR="00DF7638">
        <w:rPr>
          <w:rFonts w:ascii="Arial" w:hAnsi="Arial"/>
          <w:b/>
          <w:sz w:val="24"/>
          <w:szCs w:val="24"/>
        </w:rPr>
        <w:t>6.3.3.5</w:t>
      </w:r>
    </w:p>
    <w:p w:rsidR="0027093E" w:rsidRPr="009C718A" w:rsidRDefault="0027093E" w:rsidP="0027093E">
      <w:pPr>
        <w:tabs>
          <w:tab w:val="left" w:pos="1701"/>
          <w:tab w:val="right" w:pos="9072"/>
          <w:tab w:val="right" w:pos="10206"/>
        </w:tabs>
        <w:spacing w:after="80"/>
        <w:jc w:val="both"/>
        <w:rPr>
          <w:rFonts w:ascii="Arial" w:hAnsi="Arial"/>
          <w:b/>
          <w:sz w:val="24"/>
          <w:szCs w:val="24"/>
        </w:rPr>
      </w:pPr>
      <w:r w:rsidRPr="009C718A">
        <w:rPr>
          <w:rFonts w:ascii="Arial" w:hAnsi="Arial"/>
          <w:b/>
          <w:sz w:val="24"/>
          <w:szCs w:val="24"/>
        </w:rPr>
        <w:t>Document for:</w:t>
      </w:r>
      <w:r w:rsidRPr="009C718A">
        <w:rPr>
          <w:rFonts w:ascii="Arial" w:hAnsi="Arial"/>
          <w:b/>
          <w:sz w:val="24"/>
          <w:szCs w:val="24"/>
        </w:rPr>
        <w:tab/>
        <w:t>Discussion/Decision</w:t>
      </w:r>
    </w:p>
    <w:p w:rsidR="0027093E" w:rsidRPr="002B5BBB" w:rsidRDefault="0027093E" w:rsidP="0027093E">
      <w:pPr>
        <w:pStyle w:val="Heading1"/>
        <w:numPr>
          <w:ilvl w:val="0"/>
          <w:numId w:val="2"/>
        </w:numPr>
        <w:ind w:left="360"/>
        <w:textAlignment w:val="auto"/>
        <w:rPr>
          <w:sz w:val="32"/>
        </w:rPr>
      </w:pPr>
      <w:r w:rsidRPr="002B5BBB">
        <w:rPr>
          <w:sz w:val="32"/>
        </w:rPr>
        <w:t>Introduction</w:t>
      </w:r>
    </w:p>
    <w:p w:rsidR="0027093E" w:rsidRDefault="00ED163C" w:rsidP="0027093E">
      <w:p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This document summarizes some </w:t>
      </w:r>
      <w:r w:rsidR="00DF7638">
        <w:rPr>
          <w:sz w:val="22"/>
          <w:szCs w:val="22"/>
        </w:rPr>
        <w:t xml:space="preserve">of main </w:t>
      </w:r>
      <w:r>
        <w:rPr>
          <w:sz w:val="22"/>
          <w:szCs w:val="22"/>
        </w:rPr>
        <w:t xml:space="preserve">aspects </w:t>
      </w:r>
      <w:r w:rsidR="00A3497D">
        <w:rPr>
          <w:sz w:val="22"/>
          <w:szCs w:val="22"/>
        </w:rPr>
        <w:t xml:space="preserve">brought up in </w:t>
      </w:r>
      <w:proofErr w:type="spellStart"/>
      <w:r w:rsidR="00DF7638">
        <w:rPr>
          <w:sz w:val="22"/>
          <w:szCs w:val="22"/>
        </w:rPr>
        <w:t>Tdocs</w:t>
      </w:r>
      <w:proofErr w:type="spellEnd"/>
      <w:r w:rsidR="00DF7638">
        <w:rPr>
          <w:sz w:val="22"/>
          <w:szCs w:val="22"/>
        </w:rPr>
        <w:t xml:space="preserve"> under </w:t>
      </w:r>
      <w:r w:rsidR="00A3497D">
        <w:rPr>
          <w:sz w:val="22"/>
          <w:szCs w:val="22"/>
        </w:rPr>
        <w:t>AI6.3.3.5</w:t>
      </w:r>
      <w:r>
        <w:rPr>
          <w:sz w:val="22"/>
          <w:szCs w:val="22"/>
        </w:rPr>
        <w:t xml:space="preserve"> and </w:t>
      </w:r>
      <w:r w:rsidR="00A3497D">
        <w:rPr>
          <w:sz w:val="22"/>
          <w:szCs w:val="22"/>
        </w:rPr>
        <w:t>a proposal</w:t>
      </w:r>
      <w:r>
        <w:rPr>
          <w:sz w:val="22"/>
          <w:szCs w:val="22"/>
        </w:rPr>
        <w:t xml:space="preserve"> for next steps.</w:t>
      </w:r>
    </w:p>
    <w:p w:rsidR="0027093E" w:rsidRPr="000B0310" w:rsidRDefault="003B5DBB" w:rsidP="000B0310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ind w:left="360"/>
        <w:textAlignment w:val="auto"/>
        <w:outlineLvl w:val="0"/>
        <w:rPr>
          <w:rFonts w:ascii="Arial" w:hAnsi="Arial"/>
          <w:sz w:val="32"/>
          <w:lang w:val="en-GB"/>
        </w:rPr>
      </w:pPr>
      <w:r>
        <w:rPr>
          <w:rFonts w:ascii="Arial" w:hAnsi="Arial"/>
          <w:sz w:val="32"/>
          <w:lang w:val="en-GB"/>
        </w:rPr>
        <w:t>Summary</w:t>
      </w:r>
      <w:r w:rsidRPr="007920F7">
        <w:rPr>
          <w:rFonts w:ascii="Arial" w:hAnsi="Arial"/>
          <w:sz w:val="32"/>
          <w:lang w:val="en-GB"/>
        </w:rPr>
        <w:t xml:space="preserve"> </w:t>
      </w:r>
      <w:r w:rsidR="0027093E" w:rsidRPr="007920F7">
        <w:rPr>
          <w:rFonts w:ascii="Arial" w:hAnsi="Arial"/>
          <w:sz w:val="32"/>
          <w:lang w:val="en-GB"/>
        </w:rPr>
        <w:t>o</w:t>
      </w:r>
      <w:r>
        <w:rPr>
          <w:rFonts w:ascii="Arial" w:hAnsi="Arial"/>
          <w:sz w:val="32"/>
          <w:lang w:val="en-GB"/>
        </w:rPr>
        <w:t xml:space="preserve">f main aspects </w:t>
      </w:r>
    </w:p>
    <w:p w:rsidR="00C50680" w:rsidRPr="00C50680" w:rsidRDefault="00C50680" w:rsidP="00C50680">
      <w:pPr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The following summ</w:t>
      </w:r>
      <w:r w:rsidR="00DF7638">
        <w:rPr>
          <w:sz w:val="22"/>
          <w:szCs w:val="22"/>
        </w:rPr>
        <w:t xml:space="preserve">arizes some of the main aspects </w:t>
      </w:r>
      <w:r>
        <w:rPr>
          <w:sz w:val="22"/>
          <w:szCs w:val="22"/>
        </w:rPr>
        <w:t xml:space="preserve">based on the contributions </w:t>
      </w:r>
      <w:r w:rsidR="00752C1C">
        <w:rPr>
          <w:sz w:val="22"/>
          <w:szCs w:val="22"/>
        </w:rPr>
        <w:t xml:space="preserve">under 6.3.3.5 </w:t>
      </w:r>
      <w:r>
        <w:rPr>
          <w:sz w:val="22"/>
          <w:szCs w:val="22"/>
        </w:rPr>
        <w:t xml:space="preserve">[1]-[10]. </w:t>
      </w:r>
    </w:p>
    <w:p w:rsidR="0027093E" w:rsidRPr="00C50680" w:rsidRDefault="0027093E" w:rsidP="0027093E">
      <w:pPr>
        <w:pStyle w:val="ListParagraph"/>
        <w:numPr>
          <w:ilvl w:val="0"/>
          <w:numId w:val="10"/>
        </w:numPr>
        <w:jc w:val="both"/>
        <w:textAlignment w:val="auto"/>
        <w:rPr>
          <w:b/>
          <w:sz w:val="22"/>
          <w:szCs w:val="22"/>
          <w:u w:val="single"/>
        </w:rPr>
      </w:pPr>
      <w:r w:rsidRPr="00C50680">
        <w:rPr>
          <w:b/>
          <w:sz w:val="22"/>
          <w:szCs w:val="22"/>
          <w:u w:val="single"/>
        </w:rPr>
        <w:t>Transmit buffer rate-matching</w:t>
      </w:r>
    </w:p>
    <w:p w:rsidR="0027093E" w:rsidRPr="003B5DBB" w:rsidRDefault="0027093E" w:rsidP="0027093E">
      <w:pPr>
        <w:pStyle w:val="ListParagraph"/>
        <w:numPr>
          <w:ilvl w:val="1"/>
          <w:numId w:val="10"/>
        </w:numPr>
        <w:jc w:val="both"/>
        <w:textAlignment w:val="auto"/>
      </w:pPr>
      <w:r w:rsidRPr="003B5DBB">
        <w:t>At leas</w:t>
      </w:r>
      <w:r w:rsidR="00FB5EC2" w:rsidRPr="003B5DBB">
        <w:t xml:space="preserve">t 2 companies proposed that </w:t>
      </w:r>
      <w:r w:rsidR="00752C1C">
        <w:t xml:space="preserve">LBRM is applied per TB/HARQ process such that at least the </w:t>
      </w:r>
      <w:r w:rsidR="00AF133C">
        <w:t xml:space="preserve">largest </w:t>
      </w:r>
      <w:r w:rsidR="00FB5EC2" w:rsidRPr="003B5DBB">
        <w:t>TB at peak spectral efficiency supports an effective code rate larger than mother code rate of LDPC</w:t>
      </w:r>
      <w:r w:rsidR="00752C1C">
        <w:t xml:space="preserve"> </w:t>
      </w:r>
    </w:p>
    <w:p w:rsidR="00FB5EC2" w:rsidRPr="003B5DBB" w:rsidRDefault="00FB5EC2" w:rsidP="0027093E">
      <w:pPr>
        <w:pStyle w:val="ListParagraph"/>
        <w:numPr>
          <w:ilvl w:val="1"/>
          <w:numId w:val="10"/>
        </w:numPr>
        <w:jc w:val="both"/>
        <w:textAlignment w:val="auto"/>
      </w:pPr>
      <w:r w:rsidRPr="003B5DBB">
        <w:t>One company proposed L</w:t>
      </w:r>
      <w:r w:rsidR="00046363" w:rsidRPr="003B5DBB">
        <w:t>BR</w:t>
      </w:r>
      <w:r w:rsidRPr="003B5DBB">
        <w:t xml:space="preserve">M is not used in NR i.e. each TB supports </w:t>
      </w:r>
      <w:r w:rsidR="005A41D8" w:rsidRPr="003B5DBB">
        <w:t xml:space="preserve">always </w:t>
      </w:r>
      <w:r w:rsidRPr="003B5DBB">
        <w:t>mother code rate of the LDPC code</w:t>
      </w:r>
    </w:p>
    <w:p w:rsidR="0027093E" w:rsidRPr="00C50680" w:rsidRDefault="005A41D8" w:rsidP="0027093E">
      <w:pPr>
        <w:pStyle w:val="ListParagraph"/>
        <w:numPr>
          <w:ilvl w:val="0"/>
          <w:numId w:val="10"/>
        </w:numPr>
        <w:jc w:val="both"/>
        <w:textAlignment w:val="auto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NR </w:t>
      </w:r>
      <w:r w:rsidR="0027093E" w:rsidRPr="00C50680">
        <w:rPr>
          <w:b/>
          <w:sz w:val="22"/>
          <w:szCs w:val="22"/>
          <w:u w:val="single"/>
        </w:rPr>
        <w:t xml:space="preserve">UE </w:t>
      </w:r>
      <w:r w:rsidR="00C50680" w:rsidRPr="00C50680">
        <w:rPr>
          <w:b/>
          <w:sz w:val="22"/>
          <w:szCs w:val="22"/>
          <w:u w:val="single"/>
        </w:rPr>
        <w:t>S</w:t>
      </w:r>
      <w:r w:rsidR="0027093E" w:rsidRPr="00C50680">
        <w:rPr>
          <w:b/>
          <w:sz w:val="22"/>
          <w:szCs w:val="22"/>
          <w:u w:val="single"/>
        </w:rPr>
        <w:t xml:space="preserve">oft buffer dimensioning </w:t>
      </w:r>
    </w:p>
    <w:p w:rsidR="00FB5EC2" w:rsidRPr="00FB5EC2" w:rsidRDefault="00FB5EC2" w:rsidP="0027093E">
      <w:pPr>
        <w:pStyle w:val="ListParagraph"/>
        <w:numPr>
          <w:ilvl w:val="1"/>
          <w:numId w:val="10"/>
        </w:numPr>
        <w:jc w:val="both"/>
        <w:textAlignment w:val="auto"/>
        <w:rPr>
          <w:sz w:val="22"/>
          <w:szCs w:val="22"/>
        </w:rPr>
      </w:pPr>
      <w:r w:rsidRPr="00FB5EC2">
        <w:rPr>
          <w:rFonts w:cs="Arial"/>
        </w:rPr>
        <w:t xml:space="preserve">Several companies proposes that soft buffer </w:t>
      </w:r>
      <w:r>
        <w:rPr>
          <w:rFonts w:cs="Arial"/>
        </w:rPr>
        <w:t>dimensioning</w:t>
      </w:r>
      <w:r w:rsidRPr="00FB5EC2">
        <w:rPr>
          <w:rFonts w:cs="Arial"/>
        </w:rPr>
        <w:t xml:space="preserve"> does not have to be designed with simultaneous support of peak rate, full IR support, and the maximum number of HARQ processes</w:t>
      </w:r>
    </w:p>
    <w:p w:rsidR="0027093E" w:rsidRPr="003B5DBB" w:rsidRDefault="00932E28" w:rsidP="0027093E">
      <w:pPr>
        <w:pStyle w:val="ListParagraph"/>
        <w:numPr>
          <w:ilvl w:val="1"/>
          <w:numId w:val="10"/>
        </w:numPr>
        <w:jc w:val="both"/>
        <w:textAlignment w:val="auto"/>
      </w:pPr>
      <w:r w:rsidRPr="003B5DBB">
        <w:t>Some companies</w:t>
      </w:r>
      <w:r w:rsidR="00FB5EC2" w:rsidRPr="003B5DBB">
        <w:t xml:space="preserve">  </w:t>
      </w:r>
      <w:r w:rsidRPr="003B5DBB">
        <w:t>illustrated how a</w:t>
      </w:r>
      <w:r w:rsidR="00FB5EC2" w:rsidRPr="003B5DBB">
        <w:t xml:space="preserve"> </w:t>
      </w:r>
      <w:r w:rsidRPr="003B5DBB">
        <w:t xml:space="preserve">set of </w:t>
      </w:r>
      <w:r w:rsidR="0027093E" w:rsidRPr="003B5DBB">
        <w:t xml:space="preserve">reference </w:t>
      </w:r>
      <w:r w:rsidRPr="003B5DBB">
        <w:t>parameters</w:t>
      </w:r>
      <w:r w:rsidR="00FB5EC2" w:rsidRPr="003B5DBB">
        <w:t xml:space="preserve"> </w:t>
      </w:r>
      <w:r w:rsidRPr="003B5DBB">
        <w:t>(DL HARQ RTT &amp; Peak data rate) can be used for</w:t>
      </w:r>
      <w:r w:rsidR="00FB5EC2" w:rsidRPr="003B5DBB">
        <w:t xml:space="preserve"> soft buffer dimensioning</w:t>
      </w:r>
    </w:p>
    <w:p w:rsidR="00932E28" w:rsidRPr="003B5DBB" w:rsidRDefault="00932E28" w:rsidP="00932E28">
      <w:pPr>
        <w:pStyle w:val="ListParagraph"/>
        <w:numPr>
          <w:ilvl w:val="2"/>
          <w:numId w:val="10"/>
        </w:numPr>
        <w:jc w:val="both"/>
        <w:textAlignment w:val="auto"/>
      </w:pPr>
      <w:r w:rsidRPr="003B5DBB">
        <w:t>One company proposed one specific set of reference parameters (5Gbps and 1.5ms RTT) for consideration</w:t>
      </w:r>
    </w:p>
    <w:p w:rsidR="00932E28" w:rsidRPr="003B5DBB" w:rsidRDefault="00932E28" w:rsidP="00932E28">
      <w:pPr>
        <w:pStyle w:val="ListParagraph"/>
        <w:numPr>
          <w:ilvl w:val="2"/>
          <w:numId w:val="10"/>
        </w:numPr>
        <w:jc w:val="both"/>
        <w:textAlignment w:val="auto"/>
      </w:pPr>
      <w:r w:rsidRPr="003B5DBB">
        <w:t xml:space="preserve">One company said </w:t>
      </w:r>
      <w:r w:rsidR="00EC6096" w:rsidRPr="003B5DBB">
        <w:t xml:space="preserve">reference </w:t>
      </w:r>
      <w:r w:rsidRPr="003B5DBB">
        <w:t>DL HARQ RTT should not be considered as one of the UE capability parameters</w:t>
      </w:r>
    </w:p>
    <w:p w:rsidR="00221C34" w:rsidRPr="003B5DBB" w:rsidRDefault="00CA7EB8" w:rsidP="00EC6096">
      <w:pPr>
        <w:pStyle w:val="ListParagraph"/>
        <w:numPr>
          <w:ilvl w:val="2"/>
          <w:numId w:val="10"/>
        </w:numPr>
        <w:jc w:val="both"/>
        <w:textAlignment w:val="auto"/>
      </w:pPr>
      <w:r w:rsidRPr="003B5DBB">
        <w:t>At least one</w:t>
      </w:r>
      <w:r w:rsidR="009E322C" w:rsidRPr="003B5DBB">
        <w:t xml:space="preserve"> company </w:t>
      </w:r>
      <w:r w:rsidR="00543EE1" w:rsidRPr="003B5DBB">
        <w:t>proposed that</w:t>
      </w:r>
      <w:r w:rsidR="009E322C" w:rsidRPr="003B5DBB">
        <w:t xml:space="preserve"> soft buffer size </w:t>
      </w:r>
      <w:r w:rsidR="00543EE1" w:rsidRPr="003B5DBB">
        <w:t>and HARQ decoding latency are</w:t>
      </w:r>
      <w:r w:rsidR="009E322C" w:rsidRPr="003B5DBB">
        <w:t xml:space="preserve"> indicated as part of UE category</w:t>
      </w:r>
    </w:p>
    <w:p w:rsidR="009E322C" w:rsidRPr="003B5DBB" w:rsidRDefault="00221C34" w:rsidP="00EC6096">
      <w:pPr>
        <w:pStyle w:val="ListParagraph"/>
        <w:numPr>
          <w:ilvl w:val="2"/>
          <w:numId w:val="10"/>
        </w:numPr>
        <w:jc w:val="both"/>
        <w:textAlignment w:val="auto"/>
      </w:pPr>
      <w:r w:rsidRPr="003B5DBB">
        <w:rPr>
          <w:rFonts w:eastAsia="MS Mincho"/>
        </w:rPr>
        <w:t xml:space="preserve">One company proposed that </w:t>
      </w:r>
      <w:r w:rsidRPr="003B5DBB">
        <w:rPr>
          <w:rFonts w:eastAsia="MS Mincho" w:hint="eastAsia"/>
        </w:rPr>
        <w:t xml:space="preserve">differences </w:t>
      </w:r>
      <w:r w:rsidRPr="003B5DBB">
        <w:rPr>
          <w:rFonts w:eastAsia="MS Mincho"/>
        </w:rPr>
        <w:t>in the number of MIMO layers, MCS, and/or carrier bandwidth, over the carriers configured for the UE, should be taken into account</w:t>
      </w:r>
      <w:r w:rsidR="009E322C" w:rsidRPr="003B5DBB">
        <w:t xml:space="preserve"> </w:t>
      </w:r>
    </w:p>
    <w:p w:rsidR="00295371" w:rsidRPr="003B5DBB" w:rsidRDefault="00FB5EC2" w:rsidP="00295371">
      <w:pPr>
        <w:pStyle w:val="ListParagraph"/>
        <w:numPr>
          <w:ilvl w:val="1"/>
          <w:numId w:val="10"/>
        </w:numPr>
        <w:jc w:val="both"/>
        <w:textAlignment w:val="auto"/>
      </w:pPr>
      <w:r w:rsidRPr="003B5DBB">
        <w:t>At least one company proposes to support UEs that can achieve same peak data rate while having different soft buffer sizes</w:t>
      </w:r>
    </w:p>
    <w:p w:rsidR="0027093E" w:rsidRPr="00C50680" w:rsidRDefault="005A41D8" w:rsidP="0027093E">
      <w:pPr>
        <w:pStyle w:val="ListParagraph"/>
        <w:numPr>
          <w:ilvl w:val="0"/>
          <w:numId w:val="10"/>
        </w:numPr>
        <w:jc w:val="both"/>
        <w:textAlignment w:val="auto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NR </w:t>
      </w:r>
      <w:r w:rsidR="0027093E" w:rsidRPr="00C50680">
        <w:rPr>
          <w:b/>
          <w:sz w:val="22"/>
          <w:szCs w:val="22"/>
          <w:u w:val="single"/>
        </w:rPr>
        <w:t>UE soft buffer management</w:t>
      </w:r>
    </w:p>
    <w:p w:rsidR="00221C34" w:rsidRPr="006655F6" w:rsidRDefault="00221C34" w:rsidP="00221C34">
      <w:pPr>
        <w:pStyle w:val="ListParagraph"/>
        <w:numPr>
          <w:ilvl w:val="1"/>
          <w:numId w:val="10"/>
        </w:numPr>
        <w:jc w:val="both"/>
        <w:textAlignment w:val="auto"/>
      </w:pPr>
      <w:r w:rsidRPr="006655F6">
        <w:t>At least following options were proposed</w:t>
      </w:r>
    </w:p>
    <w:p w:rsidR="0027093E" w:rsidRPr="003B5DBB" w:rsidRDefault="0027093E" w:rsidP="00221C34">
      <w:pPr>
        <w:pStyle w:val="ListParagraph"/>
        <w:numPr>
          <w:ilvl w:val="2"/>
          <w:numId w:val="10"/>
        </w:numPr>
        <w:jc w:val="both"/>
        <w:textAlignment w:val="auto"/>
      </w:pPr>
      <w:r w:rsidRPr="003B5DBB">
        <w:t>Dynamic</w:t>
      </w:r>
      <w:r w:rsidR="00FB5EC2" w:rsidRPr="003B5DBB">
        <w:t xml:space="preserve"> sharing</w:t>
      </w:r>
      <w:r w:rsidR="00543EE1" w:rsidRPr="003B5DBB">
        <w:t xml:space="preserve"> (CATT</w:t>
      </w:r>
      <w:r w:rsidR="00685617" w:rsidRPr="003B5DBB">
        <w:t xml:space="preserve"> (overbooking)</w:t>
      </w:r>
      <w:r w:rsidR="00543EE1" w:rsidRPr="003B5DBB">
        <w:t>, Samsung (</w:t>
      </w:r>
      <w:r w:rsidR="00DF33B8" w:rsidRPr="003B5DBB">
        <w:t>up to implementation for CA</w:t>
      </w:r>
      <w:r w:rsidR="00543EE1" w:rsidRPr="003B5DBB">
        <w:t>),</w:t>
      </w:r>
      <w:r w:rsidR="00295371" w:rsidRPr="003B5DBB">
        <w:t xml:space="preserve"> Intel (up to UE implementation</w:t>
      </w:r>
      <w:r w:rsidR="00C50680" w:rsidRPr="003B5DBB">
        <w:t>, with HARQ buffer loading reporting from the UE</w:t>
      </w:r>
      <w:r w:rsidR="00295371" w:rsidRPr="003B5DBB">
        <w:t>), Nokia (at least some UEs)</w:t>
      </w:r>
      <w:r w:rsidR="005A41D8" w:rsidRPr="003B5DBB">
        <w:t>, QC (dynamic sharing with partitioned memory), Ericsson</w:t>
      </w:r>
      <w:r w:rsidR="00221C34" w:rsidRPr="003B5DBB">
        <w:t xml:space="preserve"> (code block partitions), DCM (Investigate)</w:t>
      </w:r>
      <w:r w:rsidR="006F3186">
        <w:t>, LG</w:t>
      </w:r>
      <w:r w:rsidR="00295371" w:rsidRPr="003B5DBB">
        <w:t>)</w:t>
      </w:r>
    </w:p>
    <w:p w:rsidR="0027093E" w:rsidRPr="003B5DBB" w:rsidRDefault="0027093E" w:rsidP="00221C34">
      <w:pPr>
        <w:pStyle w:val="ListParagraph"/>
        <w:numPr>
          <w:ilvl w:val="2"/>
          <w:numId w:val="10"/>
        </w:numPr>
        <w:jc w:val="both"/>
        <w:textAlignment w:val="auto"/>
      </w:pPr>
      <w:r w:rsidRPr="003B5DBB">
        <w:t>Semi-static</w:t>
      </w:r>
      <w:r w:rsidR="00FB5EC2" w:rsidRPr="003B5DBB">
        <w:t xml:space="preserve"> partitioning</w:t>
      </w:r>
      <w:r w:rsidR="00932E28" w:rsidRPr="003B5DBB">
        <w:t xml:space="preserve"> (QC)</w:t>
      </w:r>
    </w:p>
    <w:p w:rsidR="006A429D" w:rsidRPr="00C50680" w:rsidRDefault="0027093E" w:rsidP="006A429D">
      <w:pPr>
        <w:pStyle w:val="ListParagraph"/>
        <w:numPr>
          <w:ilvl w:val="0"/>
          <w:numId w:val="10"/>
        </w:numPr>
        <w:jc w:val="both"/>
        <w:textAlignment w:val="auto"/>
        <w:rPr>
          <w:b/>
          <w:sz w:val="22"/>
          <w:szCs w:val="22"/>
          <w:u w:val="single"/>
        </w:rPr>
      </w:pPr>
      <w:r w:rsidRPr="00C50680">
        <w:rPr>
          <w:b/>
          <w:sz w:val="22"/>
          <w:szCs w:val="22"/>
          <w:u w:val="single"/>
        </w:rPr>
        <w:t xml:space="preserve">LTE-NR </w:t>
      </w:r>
      <w:r w:rsidR="00295371" w:rsidRPr="00C50680">
        <w:rPr>
          <w:b/>
          <w:sz w:val="22"/>
          <w:szCs w:val="22"/>
          <w:u w:val="single"/>
        </w:rPr>
        <w:t xml:space="preserve">DC </w:t>
      </w:r>
      <w:r w:rsidRPr="00C50680">
        <w:rPr>
          <w:b/>
          <w:sz w:val="22"/>
          <w:szCs w:val="22"/>
          <w:u w:val="single"/>
        </w:rPr>
        <w:t xml:space="preserve"> </w:t>
      </w:r>
      <w:r w:rsidR="000B0310" w:rsidRPr="00C50680">
        <w:rPr>
          <w:b/>
          <w:sz w:val="22"/>
          <w:szCs w:val="22"/>
          <w:u w:val="single"/>
        </w:rPr>
        <w:t>Soft buffer dimensioning</w:t>
      </w:r>
    </w:p>
    <w:p w:rsidR="00C50680" w:rsidRPr="003B5DBB" w:rsidRDefault="00C50680" w:rsidP="00C50680">
      <w:pPr>
        <w:pStyle w:val="ListParagraph"/>
        <w:numPr>
          <w:ilvl w:val="1"/>
          <w:numId w:val="10"/>
        </w:numPr>
        <w:jc w:val="both"/>
        <w:textAlignment w:val="auto"/>
      </w:pPr>
      <w:r w:rsidRPr="003B5DBB">
        <w:t>At least following options were proposed</w:t>
      </w:r>
    </w:p>
    <w:p w:rsidR="009E322C" w:rsidRPr="003B5DBB" w:rsidRDefault="009E322C" w:rsidP="00C50680">
      <w:pPr>
        <w:pStyle w:val="ListParagraph"/>
        <w:numPr>
          <w:ilvl w:val="2"/>
          <w:numId w:val="10"/>
        </w:numPr>
        <w:jc w:val="both"/>
        <w:textAlignment w:val="auto"/>
      </w:pPr>
      <w:r w:rsidRPr="003B5DBB">
        <w:t>One company proposes to define in UE category - separate buffer size for LTE operation and NR operation, and total buffer for LTE-NR DC operation</w:t>
      </w:r>
      <w:r w:rsidR="00295371" w:rsidRPr="003B5DBB">
        <w:t xml:space="preserve"> (HW)</w:t>
      </w:r>
    </w:p>
    <w:p w:rsidR="00543EE1" w:rsidRPr="003B5DBB" w:rsidRDefault="00543EE1" w:rsidP="00C50680">
      <w:pPr>
        <w:pStyle w:val="ListParagraph"/>
        <w:numPr>
          <w:ilvl w:val="2"/>
          <w:numId w:val="10"/>
        </w:numPr>
        <w:jc w:val="both"/>
        <w:textAlignment w:val="auto"/>
      </w:pPr>
      <w:r w:rsidRPr="003B5DBB">
        <w:t>Define soft buffer as sum of LTE and NR (Samsung)</w:t>
      </w:r>
    </w:p>
    <w:p w:rsidR="009E322C" w:rsidRPr="00C50680" w:rsidRDefault="000B0310" w:rsidP="000B0310">
      <w:pPr>
        <w:pStyle w:val="ListParagraph"/>
        <w:numPr>
          <w:ilvl w:val="0"/>
          <w:numId w:val="10"/>
        </w:numPr>
        <w:jc w:val="both"/>
        <w:textAlignment w:val="auto"/>
        <w:rPr>
          <w:b/>
          <w:sz w:val="22"/>
          <w:szCs w:val="22"/>
          <w:u w:val="single"/>
        </w:rPr>
      </w:pPr>
      <w:r w:rsidRPr="00C50680">
        <w:rPr>
          <w:b/>
          <w:sz w:val="22"/>
          <w:szCs w:val="22"/>
          <w:u w:val="single"/>
        </w:rPr>
        <w:t xml:space="preserve">LTE-NR DC  </w:t>
      </w:r>
      <w:r w:rsidR="00685617" w:rsidRPr="00C50680">
        <w:rPr>
          <w:b/>
          <w:sz w:val="22"/>
          <w:szCs w:val="22"/>
          <w:u w:val="single"/>
        </w:rPr>
        <w:t>s</w:t>
      </w:r>
      <w:r w:rsidRPr="00C50680">
        <w:rPr>
          <w:b/>
          <w:sz w:val="22"/>
          <w:szCs w:val="22"/>
          <w:u w:val="single"/>
        </w:rPr>
        <w:t xml:space="preserve">oft buffer </w:t>
      </w:r>
      <w:r w:rsidR="00685617" w:rsidRPr="00C50680">
        <w:rPr>
          <w:b/>
          <w:sz w:val="22"/>
          <w:szCs w:val="22"/>
          <w:u w:val="single"/>
        </w:rPr>
        <w:t>m</w:t>
      </w:r>
      <w:r w:rsidR="009E322C" w:rsidRPr="00C50680">
        <w:rPr>
          <w:b/>
          <w:sz w:val="22"/>
          <w:szCs w:val="22"/>
          <w:u w:val="single"/>
        </w:rPr>
        <w:t>anagement</w:t>
      </w:r>
    </w:p>
    <w:p w:rsidR="00C50680" w:rsidRPr="003B5DBB" w:rsidRDefault="00C50680" w:rsidP="009E322C">
      <w:pPr>
        <w:pStyle w:val="ListParagraph"/>
        <w:numPr>
          <w:ilvl w:val="2"/>
          <w:numId w:val="10"/>
        </w:numPr>
        <w:jc w:val="both"/>
        <w:textAlignment w:val="auto"/>
      </w:pPr>
      <w:r w:rsidRPr="003B5DBB">
        <w:t>At least following were proposed</w:t>
      </w:r>
    </w:p>
    <w:p w:rsidR="009E322C" w:rsidRPr="003B5DBB" w:rsidRDefault="00543EE1" w:rsidP="00C50680">
      <w:pPr>
        <w:pStyle w:val="ListParagraph"/>
        <w:numPr>
          <w:ilvl w:val="3"/>
          <w:numId w:val="10"/>
        </w:numPr>
        <w:jc w:val="both"/>
        <w:textAlignment w:val="auto"/>
      </w:pPr>
      <w:r w:rsidRPr="003B5DBB">
        <w:t>Dynamic sharing (Ericsson, SS(up to UE implementation)</w:t>
      </w:r>
      <w:r w:rsidR="00295371" w:rsidRPr="003B5DBB">
        <w:t>, Nokia, Intel</w:t>
      </w:r>
      <w:r w:rsidRPr="003B5DBB">
        <w:t>)</w:t>
      </w:r>
    </w:p>
    <w:p w:rsidR="00685617" w:rsidRPr="003B5DBB" w:rsidRDefault="009E322C" w:rsidP="00C50680">
      <w:pPr>
        <w:pStyle w:val="ListParagraph"/>
        <w:numPr>
          <w:ilvl w:val="3"/>
          <w:numId w:val="10"/>
        </w:numPr>
        <w:jc w:val="both"/>
        <w:textAlignment w:val="auto"/>
      </w:pPr>
      <w:r w:rsidRPr="003B5DBB">
        <w:t xml:space="preserve">Semi-static </w:t>
      </w:r>
      <w:r w:rsidR="006A429D" w:rsidRPr="003B5DBB">
        <w:t>configuration</w:t>
      </w:r>
      <w:r w:rsidRPr="003B5DBB">
        <w:t xml:space="preserve"> </w:t>
      </w:r>
      <w:r w:rsidR="00295371" w:rsidRPr="003B5DBB">
        <w:t>(LGE</w:t>
      </w:r>
      <w:r w:rsidR="00685617" w:rsidRPr="003B5DBB">
        <w:t>, HW</w:t>
      </w:r>
      <w:r w:rsidR="00295371" w:rsidRPr="003B5DBB">
        <w:t>)</w:t>
      </w:r>
      <w:r w:rsidR="00C50680" w:rsidRPr="003B5DBB">
        <w:t xml:space="preserve"> or fixed buffer size(HW)</w:t>
      </w:r>
    </w:p>
    <w:p w:rsidR="00221C34" w:rsidRPr="00A3497D" w:rsidRDefault="00B5797D" w:rsidP="00221C34">
      <w:pPr>
        <w:jc w:val="both"/>
        <w:textAlignment w:val="auto"/>
        <w:rPr>
          <w:color w:val="FF0000"/>
          <w:sz w:val="22"/>
          <w:szCs w:val="22"/>
        </w:rPr>
      </w:pPr>
      <w:r w:rsidRPr="00B5797D">
        <w:rPr>
          <w:color w:val="FF0000"/>
          <w:sz w:val="22"/>
          <w:szCs w:val="22"/>
        </w:rPr>
        <w:lastRenderedPageBreak/>
        <w:t>Note some companies also discussed some aspects related to UE Category definition</w:t>
      </w:r>
      <w:r>
        <w:rPr>
          <w:color w:val="FF0000"/>
          <w:sz w:val="22"/>
          <w:szCs w:val="22"/>
        </w:rPr>
        <w:t>, c</w:t>
      </w:r>
      <w:r w:rsidRPr="00B5797D">
        <w:rPr>
          <w:color w:val="FF0000"/>
          <w:sz w:val="22"/>
          <w:szCs w:val="22"/>
        </w:rPr>
        <w:t>apabilities (e.g. LTE a</w:t>
      </w:r>
      <w:bookmarkStart w:id="1" w:name="_GoBack"/>
      <w:bookmarkEnd w:id="1"/>
      <w:r w:rsidRPr="00B5797D">
        <w:rPr>
          <w:color w:val="FF0000"/>
          <w:sz w:val="22"/>
          <w:szCs w:val="22"/>
        </w:rPr>
        <w:t>nd NR DC)</w:t>
      </w:r>
      <w:r>
        <w:rPr>
          <w:color w:val="FF0000"/>
          <w:sz w:val="22"/>
          <w:szCs w:val="22"/>
        </w:rPr>
        <w:t>, p</w:t>
      </w:r>
      <w:r w:rsidRPr="00B5797D">
        <w:rPr>
          <w:color w:val="FF0000"/>
          <w:sz w:val="22"/>
          <w:szCs w:val="22"/>
        </w:rPr>
        <w:t>eak data rate definition (e.g. in LTE-NR DC operation) which may or may have direct implications on the soft buffer discussion.</w:t>
      </w:r>
    </w:p>
    <w:p w:rsidR="00221C34" w:rsidRPr="000349E0" w:rsidRDefault="00221C34" w:rsidP="00221C34">
      <w:pPr>
        <w:pStyle w:val="Heading1"/>
        <w:numPr>
          <w:ilvl w:val="0"/>
          <w:numId w:val="2"/>
        </w:numPr>
        <w:ind w:left="360"/>
        <w:textAlignment w:val="auto"/>
        <w:rPr>
          <w:sz w:val="32"/>
        </w:rPr>
      </w:pPr>
      <w:r>
        <w:rPr>
          <w:sz w:val="32"/>
        </w:rPr>
        <w:t xml:space="preserve">Proposal </w:t>
      </w:r>
      <w:r w:rsidR="003B5DBB">
        <w:rPr>
          <w:sz w:val="32"/>
        </w:rPr>
        <w:t>for next steps</w:t>
      </w:r>
    </w:p>
    <w:p w:rsidR="00444D28" w:rsidRDefault="00AD4B63" w:rsidP="00444D28">
      <w:pPr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C</w:t>
      </w:r>
      <w:r w:rsidR="00444D28">
        <w:rPr>
          <w:sz w:val="22"/>
          <w:szCs w:val="22"/>
        </w:rPr>
        <w:t xml:space="preserve">onsider </w:t>
      </w:r>
      <w:r w:rsidR="0064773A">
        <w:rPr>
          <w:sz w:val="22"/>
          <w:szCs w:val="22"/>
        </w:rPr>
        <w:t xml:space="preserve">the following as a </w:t>
      </w:r>
      <w:r>
        <w:rPr>
          <w:sz w:val="22"/>
          <w:szCs w:val="22"/>
        </w:rPr>
        <w:t>recommendation</w:t>
      </w:r>
      <w:r w:rsidR="0064773A">
        <w:rPr>
          <w:sz w:val="22"/>
          <w:szCs w:val="22"/>
        </w:rPr>
        <w:t xml:space="preserve"> to progress further on the </w:t>
      </w:r>
      <w:r w:rsidR="00B5797D">
        <w:rPr>
          <w:sz w:val="22"/>
          <w:szCs w:val="22"/>
        </w:rPr>
        <w:t xml:space="preserve">main </w:t>
      </w:r>
      <w:r w:rsidR="0064773A">
        <w:rPr>
          <w:sz w:val="22"/>
          <w:szCs w:val="22"/>
        </w:rPr>
        <w:t>issue</w:t>
      </w:r>
      <w:r w:rsidR="00B5797D">
        <w:rPr>
          <w:sz w:val="22"/>
          <w:szCs w:val="22"/>
        </w:rPr>
        <w:t>s</w:t>
      </w:r>
      <w:r w:rsidR="0064773A">
        <w:rPr>
          <w:sz w:val="22"/>
          <w:szCs w:val="22"/>
        </w:rPr>
        <w:t xml:space="preserve"> identified</w:t>
      </w:r>
      <w:r w:rsidR="00B5797D">
        <w:rPr>
          <w:sz w:val="22"/>
          <w:szCs w:val="22"/>
        </w:rPr>
        <w:t xml:space="preserve"> above.</w:t>
      </w:r>
    </w:p>
    <w:p w:rsidR="0064773A" w:rsidRDefault="0064773A" w:rsidP="00444D28">
      <w:pPr>
        <w:pStyle w:val="ListParagraph"/>
        <w:numPr>
          <w:ilvl w:val="0"/>
          <w:numId w:val="4"/>
        </w:numPr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Finalize </w:t>
      </w:r>
      <w:r w:rsidR="00444D28" w:rsidRPr="00444D28">
        <w:rPr>
          <w:sz w:val="22"/>
          <w:szCs w:val="22"/>
        </w:rPr>
        <w:t xml:space="preserve">details of transmit buffer rate-matching </w:t>
      </w:r>
      <w:r>
        <w:rPr>
          <w:sz w:val="22"/>
          <w:szCs w:val="22"/>
        </w:rPr>
        <w:t xml:space="preserve">(for PDSCH/PUSCH) </w:t>
      </w:r>
      <w:r w:rsidR="00444D28" w:rsidRPr="00444D28">
        <w:rPr>
          <w:sz w:val="22"/>
          <w:szCs w:val="22"/>
        </w:rPr>
        <w:t xml:space="preserve">as it </w:t>
      </w:r>
      <w:r w:rsidR="00AD4B63">
        <w:rPr>
          <w:sz w:val="22"/>
          <w:szCs w:val="22"/>
        </w:rPr>
        <w:t>has</w:t>
      </w:r>
      <w:r w:rsidR="00444D28" w:rsidRPr="00444D28">
        <w:rPr>
          <w:sz w:val="22"/>
          <w:szCs w:val="22"/>
        </w:rPr>
        <w:t xml:space="preserve"> </w:t>
      </w:r>
      <w:r w:rsidR="00AD4B63">
        <w:rPr>
          <w:sz w:val="22"/>
          <w:szCs w:val="22"/>
        </w:rPr>
        <w:t xml:space="preserve">RAN1 </w:t>
      </w:r>
      <w:r w:rsidR="00444D28" w:rsidRPr="00444D28">
        <w:rPr>
          <w:sz w:val="22"/>
          <w:szCs w:val="22"/>
        </w:rPr>
        <w:t xml:space="preserve">specification impact (e.g. to 38.212). </w:t>
      </w:r>
    </w:p>
    <w:p w:rsidR="00444D28" w:rsidRDefault="0064773A" w:rsidP="00444D28">
      <w:pPr>
        <w:pStyle w:val="ListParagraph"/>
        <w:numPr>
          <w:ilvl w:val="0"/>
          <w:numId w:val="4"/>
        </w:numPr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Work on details of UE soft buffer dimensioning, including if and how the UE soft buffe</w:t>
      </w:r>
      <w:r w:rsidR="00046363">
        <w:rPr>
          <w:sz w:val="22"/>
          <w:szCs w:val="22"/>
        </w:rPr>
        <w:t xml:space="preserve">r size is known to the network, in relation of </w:t>
      </w:r>
      <w:r w:rsidR="00046363" w:rsidRPr="006655F6">
        <w:rPr>
          <w:sz w:val="22"/>
          <w:szCs w:val="22"/>
        </w:rPr>
        <w:t>UE Category definition, capabilities</w:t>
      </w:r>
      <w:r w:rsidR="003B5DBB" w:rsidRPr="006655F6">
        <w:rPr>
          <w:sz w:val="22"/>
          <w:szCs w:val="22"/>
        </w:rPr>
        <w:t>.</w:t>
      </w:r>
    </w:p>
    <w:p w:rsidR="0064773A" w:rsidRDefault="0064773A" w:rsidP="00444D28">
      <w:pPr>
        <w:pStyle w:val="ListParagraph"/>
        <w:numPr>
          <w:ilvl w:val="0"/>
          <w:numId w:val="4"/>
        </w:numPr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Details of </w:t>
      </w:r>
      <w:r w:rsidR="00046363">
        <w:rPr>
          <w:sz w:val="22"/>
          <w:szCs w:val="22"/>
        </w:rPr>
        <w:t xml:space="preserve">NR </w:t>
      </w:r>
      <w:r>
        <w:rPr>
          <w:sz w:val="22"/>
          <w:szCs w:val="22"/>
        </w:rPr>
        <w:t>soft buffer management (some options may or may not have RAN1 specification impact).</w:t>
      </w:r>
    </w:p>
    <w:p w:rsidR="00444D28" w:rsidRPr="00A3497D" w:rsidRDefault="0064773A" w:rsidP="00444D28">
      <w:pPr>
        <w:pStyle w:val="ListParagraph"/>
        <w:numPr>
          <w:ilvl w:val="0"/>
          <w:numId w:val="4"/>
        </w:numPr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Details of LTE-NR soft buffer dimensioning and management</w:t>
      </w:r>
      <w:r w:rsidR="00046363">
        <w:rPr>
          <w:sz w:val="22"/>
          <w:szCs w:val="22"/>
        </w:rPr>
        <w:t>,</w:t>
      </w:r>
      <w:r w:rsidR="00046363" w:rsidRPr="00046363">
        <w:rPr>
          <w:sz w:val="22"/>
          <w:szCs w:val="22"/>
        </w:rPr>
        <w:t xml:space="preserve"> </w:t>
      </w:r>
      <w:r w:rsidR="00046363">
        <w:rPr>
          <w:sz w:val="22"/>
          <w:szCs w:val="22"/>
        </w:rPr>
        <w:t xml:space="preserve">in relation of </w:t>
      </w:r>
      <w:r w:rsidR="00046363" w:rsidRPr="006655F6">
        <w:rPr>
          <w:sz w:val="22"/>
          <w:szCs w:val="22"/>
        </w:rPr>
        <w:t>UE Category definition, capabilities</w:t>
      </w:r>
      <w:r w:rsidR="006655F6">
        <w:rPr>
          <w:sz w:val="22"/>
          <w:szCs w:val="22"/>
        </w:rPr>
        <w:t>.</w:t>
      </w:r>
    </w:p>
    <w:p w:rsidR="00DF7638" w:rsidRPr="00DF7638" w:rsidRDefault="00DF7638" w:rsidP="00DF7638">
      <w:p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C636D5">
        <w:rPr>
          <w:rFonts w:eastAsia="MS Mincho"/>
          <w:iCs/>
          <w:lang w:eastAsia="ja-JP"/>
        </w:rPr>
        <w:t xml:space="preserve"> </w:t>
      </w:r>
    </w:p>
    <w:sectPr w:rsidR="00DF7638" w:rsidRPr="00DF7638" w:rsidSect="00F546BE">
      <w:footerReference w:type="default" r:id="rId7"/>
      <w:pgSz w:w="12240" w:h="15840" w:code="1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456" w:rsidRDefault="00A46456" w:rsidP="00A3497D">
      <w:pPr>
        <w:spacing w:after="0"/>
      </w:pPr>
      <w:r>
        <w:separator/>
      </w:r>
    </w:p>
  </w:endnote>
  <w:endnote w:type="continuationSeparator" w:id="0">
    <w:p w:rsidR="00A46456" w:rsidRDefault="00A46456" w:rsidP="00A349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038260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A3497D" w:rsidRDefault="00A3497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766D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A3497D" w:rsidRDefault="00A349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456" w:rsidRDefault="00A46456" w:rsidP="00A3497D">
      <w:pPr>
        <w:spacing w:after="0"/>
      </w:pPr>
      <w:r>
        <w:separator/>
      </w:r>
    </w:p>
  </w:footnote>
  <w:footnote w:type="continuationSeparator" w:id="0">
    <w:p w:rsidR="00A46456" w:rsidRDefault="00A46456" w:rsidP="00A349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541B3"/>
    <w:multiLevelType w:val="hybridMultilevel"/>
    <w:tmpl w:val="7DD25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73275E"/>
    <w:multiLevelType w:val="hybridMultilevel"/>
    <w:tmpl w:val="D9DA3F0E"/>
    <w:lvl w:ilvl="0" w:tplc="F0E4191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B31379"/>
    <w:multiLevelType w:val="hybridMultilevel"/>
    <w:tmpl w:val="7F72C8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F21231A"/>
    <w:multiLevelType w:val="hybridMultilevel"/>
    <w:tmpl w:val="DDB298C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2BF3E3D"/>
    <w:multiLevelType w:val="hybridMultilevel"/>
    <w:tmpl w:val="BDD8B2D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88401BC"/>
    <w:multiLevelType w:val="hybridMultilevel"/>
    <w:tmpl w:val="505425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7331AA"/>
    <w:multiLevelType w:val="hybridMultilevel"/>
    <w:tmpl w:val="EC32DBA8"/>
    <w:lvl w:ilvl="0" w:tplc="489E3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E08E12">
      <w:start w:val="51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B24542">
      <w:start w:val="51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A685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EC9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344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10A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1A2F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C856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BE96C5A"/>
    <w:multiLevelType w:val="hybridMultilevel"/>
    <w:tmpl w:val="0DCCCA86"/>
    <w:lvl w:ilvl="0" w:tplc="F0E4191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3671E0"/>
    <w:multiLevelType w:val="hybridMultilevel"/>
    <w:tmpl w:val="EF44B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F67332"/>
    <w:multiLevelType w:val="hybridMultilevel"/>
    <w:tmpl w:val="505425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9"/>
  </w:num>
  <w:num w:numId="8">
    <w:abstractNumId w:val="1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93E"/>
    <w:rsid w:val="00046363"/>
    <w:rsid w:val="000A1369"/>
    <w:rsid w:val="000B0310"/>
    <w:rsid w:val="0021766D"/>
    <w:rsid w:val="00221C34"/>
    <w:rsid w:val="0027093E"/>
    <w:rsid w:val="00295371"/>
    <w:rsid w:val="002F3778"/>
    <w:rsid w:val="003B5DBB"/>
    <w:rsid w:val="00444D28"/>
    <w:rsid w:val="004D09A4"/>
    <w:rsid w:val="004F1FBF"/>
    <w:rsid w:val="00543EE1"/>
    <w:rsid w:val="005A3808"/>
    <w:rsid w:val="005A41D8"/>
    <w:rsid w:val="0064773A"/>
    <w:rsid w:val="00663D31"/>
    <w:rsid w:val="006655F6"/>
    <w:rsid w:val="00685617"/>
    <w:rsid w:val="006A429D"/>
    <w:rsid w:val="006F3186"/>
    <w:rsid w:val="00752C1C"/>
    <w:rsid w:val="007E01B7"/>
    <w:rsid w:val="00932E28"/>
    <w:rsid w:val="009B02FE"/>
    <w:rsid w:val="009E322C"/>
    <w:rsid w:val="00A3497D"/>
    <w:rsid w:val="00A46456"/>
    <w:rsid w:val="00AD4B63"/>
    <w:rsid w:val="00AF133C"/>
    <w:rsid w:val="00B5797D"/>
    <w:rsid w:val="00B978CD"/>
    <w:rsid w:val="00C50680"/>
    <w:rsid w:val="00C71036"/>
    <w:rsid w:val="00CA7EB8"/>
    <w:rsid w:val="00CF1D54"/>
    <w:rsid w:val="00DF33B8"/>
    <w:rsid w:val="00DF7638"/>
    <w:rsid w:val="00EC6096"/>
    <w:rsid w:val="00ED163C"/>
    <w:rsid w:val="00F546BE"/>
    <w:rsid w:val="00FB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184F65-0A10-4AF3-A0BE-033202693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093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next w:val="Normal"/>
    <w:link w:val="Heading1Char1"/>
    <w:qFormat/>
    <w:rsid w:val="002709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27093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1Char1">
    <w:name w:val="Heading 1 Char1"/>
    <w:link w:val="Heading1"/>
    <w:rsid w:val="0027093E"/>
    <w:rPr>
      <w:rFonts w:ascii="Arial" w:eastAsia="SimSun" w:hAnsi="Arial" w:cs="Times New Roman"/>
      <w:sz w:val="36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27093E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27093E"/>
    <w:pPr>
      <w:ind w:left="720"/>
      <w:contextualSpacing/>
    </w:pPr>
  </w:style>
  <w:style w:type="character" w:styleId="Hyperlink">
    <w:name w:val="Hyperlink"/>
    <w:uiPriority w:val="99"/>
    <w:rsid w:val="0027093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1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1D8"/>
    <w:rPr>
      <w:rFonts w:ascii="Segoe UI" w:eastAsia="SimSu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3497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A3497D"/>
    <w:rPr>
      <w:rFonts w:ascii="Times New Roman" w:eastAsia="SimSu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3497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3497D"/>
    <w:rPr>
      <w:rFonts w:ascii="Times New Roman" w:eastAsia="SimSu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</dc:creator>
  <cp:keywords/>
  <dc:description/>
  <cp:lastModifiedBy>Ajit</cp:lastModifiedBy>
  <cp:revision>6</cp:revision>
  <dcterms:created xsi:type="dcterms:W3CDTF">2017-09-20T08:41:00Z</dcterms:created>
  <dcterms:modified xsi:type="dcterms:W3CDTF">2017-09-20T09:54:00Z</dcterms:modified>
</cp:coreProperties>
</file>