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937BF7" w14:textId="5435A341" w:rsidR="003F4C36" w:rsidRPr="000A64D8" w:rsidRDefault="003F4C36" w:rsidP="00DF2A9C">
      <w:pPr>
        <w:tabs>
          <w:tab w:val="right" w:pos="10000"/>
        </w:tabs>
        <w:spacing w:after="0"/>
        <w:rPr>
          <w:rFonts w:ascii="Arial" w:hAnsi="Arial" w:cs="Arial"/>
          <w:b/>
          <w:sz w:val="24"/>
          <w:szCs w:val="24"/>
        </w:rPr>
      </w:pPr>
      <w:r>
        <w:rPr>
          <w:rFonts w:ascii="Arial" w:hAnsi="Arial" w:cs="Arial"/>
          <w:b/>
          <w:bCs/>
          <w:sz w:val="24"/>
          <w:szCs w:val="24"/>
        </w:rPr>
        <w:t>3GPP TSG RAN WG1 NR Ad-Hoc #3</w:t>
      </w:r>
      <w:r w:rsidRPr="000A64D8">
        <w:rPr>
          <w:rFonts w:ascii="Arial" w:hAnsi="Arial" w:cs="Arial"/>
          <w:b/>
          <w:sz w:val="24"/>
          <w:szCs w:val="24"/>
        </w:rPr>
        <w:t xml:space="preserve"> </w:t>
      </w:r>
      <w:r w:rsidRPr="000A64D8">
        <w:rPr>
          <w:rFonts w:ascii="Arial" w:hAnsi="Arial" w:cs="Arial"/>
          <w:b/>
          <w:sz w:val="24"/>
          <w:szCs w:val="24"/>
        </w:rPr>
        <w:tab/>
      </w:r>
      <w:r w:rsidR="00A76AEE" w:rsidRPr="00A76AEE">
        <w:rPr>
          <w:rFonts w:ascii="Arial" w:hAnsi="Arial" w:cs="Arial"/>
          <w:b/>
          <w:sz w:val="24"/>
          <w:szCs w:val="24"/>
        </w:rPr>
        <w:t>R1-1716389</w:t>
      </w:r>
      <w:r w:rsidR="00A76AEE">
        <w:rPr>
          <w:rFonts w:ascii="Arial" w:hAnsi="Arial" w:cs="Arial"/>
          <w:b/>
          <w:sz w:val="24"/>
          <w:szCs w:val="24"/>
        </w:rPr>
        <w:br/>
      </w:r>
      <w:r>
        <w:rPr>
          <w:rFonts w:ascii="Arial" w:hAnsi="Arial" w:cs="Arial"/>
          <w:b/>
          <w:sz w:val="24"/>
          <w:szCs w:val="24"/>
        </w:rPr>
        <w:t>September 18</w:t>
      </w:r>
      <w:r>
        <w:rPr>
          <w:rFonts w:ascii="Arial" w:hAnsi="Arial" w:cs="Arial"/>
          <w:b/>
          <w:sz w:val="24"/>
          <w:szCs w:val="24"/>
          <w:vertAlign w:val="superscript"/>
        </w:rPr>
        <w:t>th</w:t>
      </w:r>
      <w:r>
        <w:rPr>
          <w:rFonts w:ascii="Arial" w:hAnsi="Arial" w:cs="Arial"/>
          <w:b/>
          <w:sz w:val="24"/>
          <w:szCs w:val="24"/>
        </w:rPr>
        <w:t xml:space="preserve"> – 21</w:t>
      </w:r>
      <w:r>
        <w:rPr>
          <w:rFonts w:ascii="Arial" w:hAnsi="Arial" w:cs="Arial"/>
          <w:b/>
          <w:sz w:val="24"/>
          <w:szCs w:val="24"/>
          <w:vertAlign w:val="superscript"/>
        </w:rPr>
        <w:t>st</w:t>
      </w:r>
      <w:r w:rsidRPr="00CC0D62">
        <w:rPr>
          <w:rFonts w:ascii="Arial" w:hAnsi="Arial" w:cs="Arial"/>
          <w:b/>
          <w:sz w:val="24"/>
          <w:szCs w:val="24"/>
        </w:rPr>
        <w:t>, 2017</w:t>
      </w:r>
      <w:r w:rsidR="00A76AEE">
        <w:rPr>
          <w:rFonts w:ascii="Arial" w:hAnsi="Arial" w:cs="Arial"/>
          <w:b/>
          <w:sz w:val="24"/>
          <w:szCs w:val="24"/>
        </w:rPr>
        <w:br/>
      </w:r>
      <w:r>
        <w:rPr>
          <w:rFonts w:ascii="Arial" w:hAnsi="Arial" w:cs="Arial"/>
          <w:b/>
          <w:sz w:val="24"/>
          <w:szCs w:val="24"/>
        </w:rPr>
        <w:t>Nagoya, Japan</w:t>
      </w:r>
    </w:p>
    <w:p w14:paraId="650540AF" w14:textId="77777777" w:rsidR="00833824" w:rsidRPr="000A64D8" w:rsidRDefault="00833824" w:rsidP="00DF2A9C">
      <w:pPr>
        <w:pStyle w:val="Footer"/>
        <w:jc w:val="left"/>
        <w:rPr>
          <w:noProof w:val="0"/>
        </w:rPr>
      </w:pPr>
    </w:p>
    <w:p w14:paraId="0B0DDD57" w14:textId="40107DEC" w:rsidR="00833824" w:rsidRDefault="00833824" w:rsidP="00DF2A9C">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732EA4">
        <w:rPr>
          <w:rFonts w:ascii="Arial" w:hAnsi="Arial"/>
          <w:sz w:val="24"/>
        </w:rPr>
        <w:t>6</w:t>
      </w:r>
      <w:r w:rsidR="00682BD3">
        <w:rPr>
          <w:rFonts w:ascii="Arial" w:hAnsi="Arial"/>
          <w:sz w:val="24"/>
        </w:rPr>
        <w:t>.</w:t>
      </w:r>
      <w:r w:rsidR="00765C1C">
        <w:rPr>
          <w:rFonts w:ascii="Arial" w:hAnsi="Arial"/>
          <w:sz w:val="24"/>
        </w:rPr>
        <w:t>2.1.3</w:t>
      </w:r>
      <w:r w:rsidR="00A76AEE">
        <w:rPr>
          <w:rFonts w:ascii="Arial" w:hAnsi="Arial"/>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A76AEE">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5925EF">
        <w:rPr>
          <w:rFonts w:ascii="Arial" w:hAnsi="Arial"/>
          <w:sz w:val="24"/>
        </w:rPr>
        <w:t>Non-</w:t>
      </w:r>
      <w:r w:rsidR="005925EF" w:rsidRPr="005925EF">
        <w:rPr>
          <w:rFonts w:ascii="Arial" w:hAnsi="Arial"/>
          <w:sz w:val="24"/>
        </w:rPr>
        <w:t>C</w:t>
      </w:r>
      <w:r w:rsidRPr="005925EF">
        <w:rPr>
          <w:rFonts w:ascii="Arial" w:hAnsi="Arial"/>
          <w:sz w:val="24"/>
        </w:rPr>
        <w:t xml:space="preserve">odebook </w:t>
      </w:r>
      <w:r w:rsidR="005925EF" w:rsidRPr="005925EF">
        <w:rPr>
          <w:rFonts w:ascii="Arial" w:hAnsi="Arial"/>
          <w:sz w:val="24"/>
        </w:rPr>
        <w:t>B</w:t>
      </w:r>
      <w:r w:rsidRPr="005925EF">
        <w:rPr>
          <w:rFonts w:ascii="Arial" w:hAnsi="Arial"/>
          <w:sz w:val="24"/>
        </w:rPr>
        <w:t xml:space="preserve">ased UL </w:t>
      </w:r>
      <w:r w:rsidR="005925EF" w:rsidRPr="005925EF">
        <w:rPr>
          <w:rFonts w:ascii="Arial" w:hAnsi="Arial"/>
          <w:sz w:val="24"/>
        </w:rPr>
        <w:t>T</w:t>
      </w:r>
      <w:r w:rsidRPr="005925EF">
        <w:rPr>
          <w:rFonts w:ascii="Arial" w:hAnsi="Arial"/>
          <w:sz w:val="24"/>
        </w:rPr>
        <w:t>ransmission</w:t>
      </w:r>
      <w:r w:rsidR="00A76AEE">
        <w:rPr>
          <w:rFonts w:ascii="Arial" w:hAnsi="Arial"/>
          <w:sz w:val="24"/>
        </w:rPr>
        <w:br/>
      </w:r>
      <w:r w:rsidRPr="000A64D8">
        <w:rPr>
          <w:rFonts w:ascii="Arial" w:hAnsi="Arial"/>
          <w:b/>
          <w:sz w:val="24"/>
        </w:rPr>
        <w:t>Document for:</w:t>
      </w:r>
      <w:r w:rsidRPr="000A64D8">
        <w:rPr>
          <w:rFonts w:ascii="Arial" w:hAnsi="Arial"/>
          <w:sz w:val="24"/>
        </w:rPr>
        <w:tab/>
        <w:t>Discussion/Decision</w:t>
      </w:r>
    </w:p>
    <w:p w14:paraId="2DF0F6CC" w14:textId="77777777" w:rsidR="00833824" w:rsidRPr="00183CB7" w:rsidRDefault="00833824" w:rsidP="00833824">
      <w:pPr>
        <w:pStyle w:val="Heading1"/>
      </w:pPr>
      <w:r w:rsidRPr="00183CB7">
        <w:t>Introduction</w:t>
      </w:r>
    </w:p>
    <w:p w14:paraId="336F100D" w14:textId="445A7445" w:rsidR="00821C48" w:rsidRPr="00E46F11" w:rsidRDefault="00460A91" w:rsidP="00E46F11">
      <w:pPr>
        <w:spacing w:before="180"/>
        <w:jc w:val="both"/>
        <w:rPr>
          <w:szCs w:val="22"/>
        </w:rPr>
      </w:pPr>
      <w:r>
        <w:rPr>
          <w:szCs w:val="22"/>
        </w:rPr>
        <w:t>In RAN1 NR Ad-Hoc #2</w:t>
      </w:r>
      <w:r w:rsidR="00821C48" w:rsidRPr="00E46F11">
        <w:rPr>
          <w:szCs w:val="22"/>
        </w:rPr>
        <w:t>, the following agreements were made regarding</w:t>
      </w:r>
      <w:r>
        <w:rPr>
          <w:szCs w:val="22"/>
        </w:rPr>
        <w:t xml:space="preserve"> non-codebook based</w:t>
      </w:r>
      <w:r w:rsidR="00821C48" w:rsidRPr="00E46F11">
        <w:rPr>
          <w:szCs w:val="22"/>
        </w:rPr>
        <w:t xml:space="preserve"> UL transmission</w:t>
      </w:r>
      <w:r w:rsidR="00925B23" w:rsidRPr="00E46F11">
        <w:rPr>
          <w:szCs w:val="22"/>
        </w:rPr>
        <w:t xml:space="preserve"> </w:t>
      </w:r>
      <w:r w:rsidR="00722486" w:rsidRPr="00E46F11">
        <w:rPr>
          <w:szCs w:val="22"/>
        </w:rPr>
        <w:fldChar w:fldCharType="begin"/>
      </w:r>
      <w:r w:rsidR="00722486" w:rsidRPr="00E46F11">
        <w:rPr>
          <w:szCs w:val="22"/>
        </w:rPr>
        <w:instrText xml:space="preserve"> REF _Ref485362179 \r \h </w:instrText>
      </w:r>
      <w:r w:rsidR="00E46F11">
        <w:rPr>
          <w:szCs w:val="22"/>
        </w:rPr>
        <w:instrText xml:space="preserve"> \* MERGEFORMAT </w:instrText>
      </w:r>
      <w:r w:rsidR="00722486" w:rsidRPr="00E46F11">
        <w:rPr>
          <w:szCs w:val="22"/>
        </w:rPr>
      </w:r>
      <w:r w:rsidR="00722486" w:rsidRPr="00E46F11">
        <w:rPr>
          <w:szCs w:val="22"/>
        </w:rPr>
        <w:fldChar w:fldCharType="separate"/>
      </w:r>
      <w:r w:rsidR="00281237">
        <w:rPr>
          <w:szCs w:val="22"/>
        </w:rPr>
        <w:t>[1]</w:t>
      </w:r>
      <w:r w:rsidR="00722486" w:rsidRPr="00E46F11">
        <w:rPr>
          <w:szCs w:val="22"/>
        </w:rPr>
        <w:fldChar w:fldCharType="end"/>
      </w:r>
      <w:r w:rsidR="00821C48" w:rsidRPr="00E46F11">
        <w:rPr>
          <w:szCs w:val="22"/>
        </w:rPr>
        <w:t>:</w:t>
      </w:r>
    </w:p>
    <w:p w14:paraId="2C125943" w14:textId="77777777" w:rsidR="00460A91" w:rsidRPr="00460A91" w:rsidRDefault="00460A91" w:rsidP="00F95807">
      <w:pPr>
        <w:numPr>
          <w:ilvl w:val="0"/>
          <w:numId w:val="22"/>
        </w:numPr>
        <w:overflowPunct/>
        <w:autoSpaceDE/>
        <w:autoSpaceDN/>
        <w:adjustRightInd/>
        <w:spacing w:before="0" w:after="0"/>
        <w:textAlignment w:val="auto"/>
        <w:rPr>
          <w:i/>
          <w:iCs/>
        </w:rPr>
      </w:pPr>
      <w:r w:rsidRPr="00460A91">
        <w:rPr>
          <w:i/>
          <w:iCs/>
        </w:rPr>
        <w:t xml:space="preserve">For PUSCH precoder determination in non-codebook-based UL MIMO, support at least one of the followings: </w:t>
      </w:r>
    </w:p>
    <w:p w14:paraId="56F71A16" w14:textId="77777777" w:rsidR="00460A91" w:rsidRPr="003E6B10" w:rsidRDefault="00460A91" w:rsidP="00F95807">
      <w:pPr>
        <w:numPr>
          <w:ilvl w:val="1"/>
          <w:numId w:val="23"/>
        </w:numPr>
        <w:overflowPunct/>
        <w:autoSpaceDE/>
        <w:autoSpaceDN/>
        <w:adjustRightInd/>
        <w:spacing w:before="0" w:after="0"/>
        <w:textAlignment w:val="auto"/>
        <w:rPr>
          <w:rFonts w:eastAsia="MS Mincho"/>
          <w:i/>
          <w:iCs/>
          <w:lang w:eastAsia="ja-JP"/>
        </w:rPr>
      </w:pPr>
      <w:r w:rsidRPr="003E6B10">
        <w:rPr>
          <w:rFonts w:eastAsia="MS Mincho"/>
          <w:i/>
          <w:iCs/>
          <w:lang w:eastAsia="ja-JP"/>
        </w:rPr>
        <w:t>Alt.1: Signalling of SRI(s) only, without TPMI indication in the UL grant</w:t>
      </w:r>
    </w:p>
    <w:p w14:paraId="60B0980E" w14:textId="77777777" w:rsidR="00460A91" w:rsidRPr="003E6B10" w:rsidRDefault="00460A91" w:rsidP="00DF2A9C">
      <w:pPr>
        <w:numPr>
          <w:ilvl w:val="1"/>
          <w:numId w:val="23"/>
        </w:numPr>
        <w:overflowPunct/>
        <w:autoSpaceDE/>
        <w:autoSpaceDN/>
        <w:adjustRightInd/>
        <w:spacing w:before="0" w:after="0"/>
        <w:textAlignment w:val="auto"/>
        <w:rPr>
          <w:rFonts w:eastAsia="MS Mincho"/>
          <w:i/>
          <w:iCs/>
          <w:lang w:eastAsia="ja-JP"/>
        </w:rPr>
      </w:pPr>
      <w:r w:rsidRPr="003E6B10">
        <w:rPr>
          <w:rFonts w:eastAsia="MS Mincho"/>
          <w:i/>
          <w:iCs/>
          <w:lang w:eastAsia="ja-JP"/>
        </w:rPr>
        <w:t>Alt.2: Signalling of TRI only, without TPMI indicat</w:t>
      </w:r>
      <w:bookmarkStart w:id="0" w:name="_GoBack"/>
      <w:bookmarkEnd w:id="0"/>
      <w:r w:rsidRPr="003E6B10">
        <w:rPr>
          <w:rFonts w:eastAsia="MS Mincho"/>
          <w:i/>
          <w:iCs/>
          <w:lang w:eastAsia="ja-JP"/>
        </w:rPr>
        <w:t>ion in the UL grant</w:t>
      </w:r>
    </w:p>
    <w:p w14:paraId="71C637A9" w14:textId="77777777" w:rsidR="00460A91" w:rsidRPr="003E6B10" w:rsidRDefault="00460A91" w:rsidP="00DF2A9C">
      <w:pPr>
        <w:numPr>
          <w:ilvl w:val="1"/>
          <w:numId w:val="23"/>
        </w:numPr>
        <w:overflowPunct/>
        <w:autoSpaceDE/>
        <w:autoSpaceDN/>
        <w:adjustRightInd/>
        <w:spacing w:before="0" w:after="0"/>
        <w:textAlignment w:val="auto"/>
        <w:rPr>
          <w:rFonts w:eastAsia="MS Mincho"/>
          <w:i/>
          <w:iCs/>
          <w:lang w:eastAsia="ja-JP"/>
        </w:rPr>
      </w:pPr>
      <w:r w:rsidRPr="003E6B10">
        <w:rPr>
          <w:rFonts w:eastAsia="MS Mincho"/>
          <w:i/>
          <w:iCs/>
          <w:lang w:eastAsia="ja-JP"/>
        </w:rPr>
        <w:t>Alt.3: Signalling of TRI and a single SRI, without TPMI indication in the UL grant</w:t>
      </w:r>
    </w:p>
    <w:p w14:paraId="5C5241C8" w14:textId="3209CD35" w:rsidR="00460A91" w:rsidRPr="003E6B10" w:rsidRDefault="00460A91" w:rsidP="00DF2A9C">
      <w:pPr>
        <w:numPr>
          <w:ilvl w:val="1"/>
          <w:numId w:val="23"/>
        </w:numPr>
        <w:overflowPunct/>
        <w:autoSpaceDE/>
        <w:autoSpaceDN/>
        <w:adjustRightInd/>
        <w:spacing w:before="0" w:after="0"/>
        <w:textAlignment w:val="auto"/>
        <w:rPr>
          <w:rFonts w:eastAsia="MS Mincho"/>
          <w:i/>
          <w:iCs/>
          <w:lang w:eastAsia="ja-JP"/>
        </w:rPr>
      </w:pPr>
      <w:r w:rsidRPr="003E6B10">
        <w:rPr>
          <w:rFonts w:eastAsia="MS Mincho"/>
          <w:i/>
          <w:iCs/>
          <w:lang w:eastAsia="ja-JP"/>
        </w:rPr>
        <w:t>Alt.4: Signalling of a single TRI, a single CRI without TPMI indication in the UL grant</w:t>
      </w:r>
    </w:p>
    <w:p w14:paraId="5AB28B5E" w14:textId="77777777" w:rsidR="00460A91" w:rsidRPr="003E6B10" w:rsidRDefault="00460A91" w:rsidP="00DF2A9C">
      <w:pPr>
        <w:numPr>
          <w:ilvl w:val="1"/>
          <w:numId w:val="23"/>
        </w:numPr>
        <w:overflowPunct/>
        <w:autoSpaceDE/>
        <w:autoSpaceDN/>
        <w:adjustRightInd/>
        <w:spacing w:before="0" w:after="0"/>
        <w:textAlignment w:val="auto"/>
        <w:rPr>
          <w:rFonts w:eastAsia="MS Mincho"/>
          <w:i/>
          <w:iCs/>
          <w:lang w:eastAsia="ja-JP"/>
        </w:rPr>
      </w:pPr>
      <w:r w:rsidRPr="003E6B10">
        <w:rPr>
          <w:rFonts w:eastAsia="MS Mincho"/>
          <w:i/>
          <w:iCs/>
          <w:lang w:eastAsia="ja-JP"/>
        </w:rPr>
        <w:t>To down-select in the next meeting considering single- vs. multi-panel (companies are encouraged to perform more evaluations)</w:t>
      </w:r>
    </w:p>
    <w:p w14:paraId="7A9629A2" w14:textId="59E57BFA" w:rsidR="00460A91" w:rsidRPr="003E6B10" w:rsidRDefault="00460A91" w:rsidP="00DF2A9C">
      <w:pPr>
        <w:numPr>
          <w:ilvl w:val="1"/>
          <w:numId w:val="23"/>
        </w:numPr>
        <w:overflowPunct/>
        <w:autoSpaceDE/>
        <w:autoSpaceDN/>
        <w:adjustRightInd/>
        <w:spacing w:before="0" w:after="0"/>
        <w:textAlignment w:val="auto"/>
        <w:rPr>
          <w:rFonts w:eastAsia="MS Mincho"/>
          <w:i/>
          <w:iCs/>
          <w:lang w:eastAsia="ja-JP"/>
        </w:rPr>
      </w:pPr>
      <w:r w:rsidRPr="003E6B10">
        <w:rPr>
          <w:rFonts w:eastAsia="MS Mincho"/>
          <w:i/>
          <w:iCs/>
          <w:lang w:eastAsia="ja-JP"/>
        </w:rPr>
        <w:t>Note: this may depend UE’s capability in terms of calibration</w:t>
      </w:r>
    </w:p>
    <w:p w14:paraId="14602653" w14:textId="77E92F32" w:rsidR="00BC5D0D" w:rsidRDefault="00BC5D0D" w:rsidP="00D6141A">
      <w:pPr>
        <w:jc w:val="both"/>
        <w:rPr>
          <w:rFonts w:eastAsia="MS Mincho"/>
        </w:rPr>
      </w:pPr>
      <w:r>
        <w:rPr>
          <w:rFonts w:eastAsia="MS Mincho"/>
        </w:rPr>
        <w:t>In RAN1#90, Atl-1 was agreed for wideband indication</w:t>
      </w:r>
      <w:r w:rsidR="005D396C">
        <w:rPr>
          <w:rFonts w:eastAsia="MS Mincho"/>
        </w:rPr>
        <w:t xml:space="preserve"> [2]</w:t>
      </w:r>
      <w:r>
        <w:rPr>
          <w:rFonts w:eastAsia="MS Mincho"/>
        </w:rPr>
        <w:t>:</w:t>
      </w:r>
    </w:p>
    <w:p w14:paraId="2F35FADA" w14:textId="0B1D7451" w:rsidR="0086711C" w:rsidRDefault="0086711C" w:rsidP="00F95807">
      <w:pPr>
        <w:numPr>
          <w:ilvl w:val="0"/>
          <w:numId w:val="23"/>
        </w:numPr>
        <w:tabs>
          <w:tab w:val="num" w:pos="2160"/>
        </w:tabs>
        <w:overflowPunct/>
        <w:autoSpaceDE/>
        <w:autoSpaceDN/>
        <w:adjustRightInd/>
        <w:spacing w:before="0" w:after="0"/>
        <w:textAlignment w:val="auto"/>
        <w:rPr>
          <w:rFonts w:eastAsia="MS Mincho"/>
          <w:i/>
          <w:iCs/>
          <w:lang w:eastAsia="ja-JP"/>
        </w:rPr>
      </w:pPr>
      <w:r w:rsidRPr="0086711C">
        <w:rPr>
          <w:rFonts w:eastAsia="MS Mincho"/>
          <w:i/>
          <w:iCs/>
          <w:lang w:eastAsia="ja-JP"/>
        </w:rPr>
        <w:t>For PUSCH precoder determination in non-codebook-based UL MIMO, support Alt.1, (i.e., at least SRI(s) only without TPMI indication in the UL grant) for wideband indication.</w:t>
      </w:r>
    </w:p>
    <w:p w14:paraId="552BE097" w14:textId="27C79899" w:rsidR="00F735D9" w:rsidRPr="00BC5D0D" w:rsidRDefault="009B5FEC" w:rsidP="00F95807">
      <w:pPr>
        <w:numPr>
          <w:ilvl w:val="1"/>
          <w:numId w:val="23"/>
        </w:numPr>
        <w:tabs>
          <w:tab w:val="num" w:pos="2160"/>
        </w:tabs>
        <w:overflowPunct/>
        <w:autoSpaceDE/>
        <w:autoSpaceDN/>
        <w:adjustRightInd/>
        <w:spacing w:before="0" w:after="0"/>
        <w:textAlignment w:val="auto"/>
        <w:rPr>
          <w:rFonts w:eastAsia="MS Mincho"/>
          <w:i/>
          <w:iCs/>
          <w:lang w:eastAsia="ja-JP"/>
        </w:rPr>
      </w:pPr>
      <w:r w:rsidRPr="00BC5D0D">
        <w:rPr>
          <w:rFonts w:eastAsia="MS Mincho"/>
          <w:i/>
          <w:iCs/>
          <w:lang w:eastAsia="ja-JP"/>
        </w:rPr>
        <w:t xml:space="preserve">Note: The gNB should only signal SRI(s) such that the UL precoding transmission inferred from the signaled SRI(s) can be simultaneously conducted by the UE. </w:t>
      </w:r>
    </w:p>
    <w:p w14:paraId="0F53E0FE" w14:textId="77777777" w:rsidR="00F735D9" w:rsidRPr="00BC5D0D" w:rsidRDefault="009B5FEC" w:rsidP="00DF2A9C">
      <w:pPr>
        <w:numPr>
          <w:ilvl w:val="2"/>
          <w:numId w:val="23"/>
        </w:numPr>
        <w:overflowPunct/>
        <w:autoSpaceDE/>
        <w:autoSpaceDN/>
        <w:adjustRightInd/>
        <w:spacing w:before="0" w:after="0"/>
        <w:textAlignment w:val="auto"/>
        <w:rPr>
          <w:rFonts w:eastAsia="MS Mincho"/>
          <w:i/>
          <w:iCs/>
          <w:lang w:eastAsia="ja-JP"/>
        </w:rPr>
      </w:pPr>
      <w:r w:rsidRPr="00BC5D0D">
        <w:rPr>
          <w:rFonts w:eastAsia="MS Mincho"/>
          <w:i/>
          <w:iCs/>
          <w:lang w:eastAsia="ja-JP"/>
        </w:rPr>
        <w:t>FFS details</w:t>
      </w:r>
    </w:p>
    <w:p w14:paraId="1FEB257A" w14:textId="77777777" w:rsidR="00F735D9" w:rsidRPr="00BC5D0D" w:rsidRDefault="009B5FEC" w:rsidP="00DF2A9C">
      <w:pPr>
        <w:numPr>
          <w:ilvl w:val="1"/>
          <w:numId w:val="23"/>
        </w:numPr>
        <w:tabs>
          <w:tab w:val="num" w:pos="2160"/>
        </w:tabs>
        <w:overflowPunct/>
        <w:autoSpaceDE/>
        <w:autoSpaceDN/>
        <w:adjustRightInd/>
        <w:spacing w:before="0" w:after="0"/>
        <w:textAlignment w:val="auto"/>
        <w:rPr>
          <w:rFonts w:eastAsia="MS Mincho"/>
          <w:i/>
          <w:iCs/>
          <w:lang w:eastAsia="ja-JP"/>
        </w:rPr>
      </w:pPr>
      <w:r w:rsidRPr="00BC5D0D">
        <w:rPr>
          <w:rFonts w:eastAsia="MS Mincho"/>
          <w:i/>
          <w:iCs/>
          <w:lang w:eastAsia="ja-JP"/>
        </w:rPr>
        <w:t>FFS: If sub-band indication is supported, down-select Alt. 1-3 for it</w:t>
      </w:r>
    </w:p>
    <w:p w14:paraId="3E61D786" w14:textId="15D08A9E" w:rsidR="00833824" w:rsidRDefault="00722486" w:rsidP="00D6141A">
      <w:pPr>
        <w:jc w:val="both"/>
        <w:rPr>
          <w:lang w:val="en-GB"/>
        </w:rPr>
      </w:pPr>
      <w:r>
        <w:rPr>
          <w:rFonts w:eastAsia="MS Mincho"/>
        </w:rPr>
        <w:t xml:space="preserve">In </w:t>
      </w:r>
      <w:r w:rsidR="00833824" w:rsidRPr="00656A8B">
        <w:rPr>
          <w:lang w:val="en-GB"/>
        </w:rPr>
        <w:t>t</w:t>
      </w:r>
      <w:r w:rsidR="00833824">
        <w:rPr>
          <w:lang w:val="en-GB"/>
        </w:rPr>
        <w:t xml:space="preserve">his contribution, we discuss </w:t>
      </w:r>
      <w:r w:rsidR="00460A91">
        <w:rPr>
          <w:lang w:val="en-GB"/>
        </w:rPr>
        <w:t xml:space="preserve">our views on </w:t>
      </w:r>
      <w:r w:rsidR="005D396C">
        <w:rPr>
          <w:lang w:val="en-GB"/>
        </w:rPr>
        <w:t>subband indication of PUSCH precoder and necessary procedures for non-codebook UL transmission.</w:t>
      </w:r>
      <w:r w:rsidR="0086711C">
        <w:rPr>
          <w:lang w:val="en-GB"/>
        </w:rPr>
        <w:t xml:space="preserve">  </w:t>
      </w:r>
      <w:r w:rsidR="0086711C">
        <w:rPr>
          <w:rFonts w:eastAsia="MS Mincho"/>
        </w:rPr>
        <w:t xml:space="preserve">This contribution is revised from [3].  </w:t>
      </w:r>
    </w:p>
    <w:p w14:paraId="4A95FC8E" w14:textId="1B6E2676" w:rsidR="00833824" w:rsidRDefault="00833824" w:rsidP="00833824">
      <w:pPr>
        <w:pStyle w:val="Heading1"/>
        <w:jc w:val="both"/>
      </w:pPr>
      <w:r>
        <w:t>Discussion</w:t>
      </w:r>
    </w:p>
    <w:p w14:paraId="74A563B7" w14:textId="5A2393C7" w:rsidR="00D41FE2" w:rsidRPr="00DF2A9C" w:rsidRDefault="00D41FE2" w:rsidP="00DF2A9C">
      <w:pPr>
        <w:pStyle w:val="Heading2"/>
      </w:pPr>
      <w:r>
        <w:t>Need for subband i</w:t>
      </w:r>
      <w:r w:rsidRPr="00DF2A9C">
        <w:t xml:space="preserve">ndication of </w:t>
      </w:r>
      <w:r>
        <w:t>PUSCH precoder</w:t>
      </w:r>
    </w:p>
    <w:p w14:paraId="6BC638A8" w14:textId="5C95701A" w:rsidR="00EF5DA3" w:rsidRPr="0090603C" w:rsidRDefault="00D41FE2">
      <w:pPr>
        <w:jc w:val="both"/>
        <w:rPr>
          <w:highlight w:val="yellow"/>
          <w:lang w:val="en-GB"/>
        </w:rPr>
      </w:pPr>
      <w:r>
        <w:rPr>
          <w:lang w:val="en-GB"/>
        </w:rPr>
        <w:t>S</w:t>
      </w:r>
      <w:r w:rsidRPr="00D41FE2">
        <w:rPr>
          <w:lang w:val="en-GB"/>
        </w:rPr>
        <w:t>ince it has been agreed that frequency-selective precoding can be configured in some cases</w:t>
      </w:r>
      <w:r>
        <w:rPr>
          <w:lang w:val="en-GB"/>
        </w:rPr>
        <w:t xml:space="preserve">, one open issue in non-codebook based UL MIMO is thus </w:t>
      </w:r>
      <w:r w:rsidR="00AB15B8">
        <w:rPr>
          <w:lang w:val="en-GB"/>
        </w:rPr>
        <w:t xml:space="preserve">how to support subband indication of </w:t>
      </w:r>
      <w:r>
        <w:rPr>
          <w:lang w:val="en-GB"/>
        </w:rPr>
        <w:t xml:space="preserve">PUSCH precoder determination.  </w:t>
      </w:r>
      <w:r w:rsidR="00AB15B8">
        <w:rPr>
          <w:lang w:val="en-GB"/>
        </w:rPr>
        <w:t xml:space="preserve">In this section, we examine </w:t>
      </w:r>
      <w:r w:rsidR="00EF1B37">
        <w:rPr>
          <w:lang w:val="en-GB"/>
        </w:rPr>
        <w:t>the need for subband indication</w:t>
      </w:r>
      <w:r w:rsidR="000C701A">
        <w:rPr>
          <w:lang w:val="en-GB"/>
        </w:rPr>
        <w:t>.</w:t>
      </w:r>
      <w:r w:rsidR="00925B23" w:rsidRPr="0090603C">
        <w:rPr>
          <w:highlight w:val="yellow"/>
          <w:lang w:val="en-GB"/>
        </w:rPr>
        <w:t xml:space="preserve"> </w:t>
      </w:r>
    </w:p>
    <w:p w14:paraId="092801B5" w14:textId="6E7AF7A4" w:rsidR="00891768" w:rsidRPr="00DF2A9C" w:rsidRDefault="00EF1B37" w:rsidP="00E46F11">
      <w:pPr>
        <w:jc w:val="both"/>
        <w:rPr>
          <w:lang w:val="en-GB"/>
        </w:rPr>
      </w:pPr>
      <w:r w:rsidRPr="00DF2A9C">
        <w:rPr>
          <w:lang w:val="en-GB"/>
        </w:rPr>
        <w:t xml:space="preserve">With SRI(s)-only solution, </w:t>
      </w:r>
      <w:r w:rsidR="00BB3224" w:rsidRPr="00DF2A9C">
        <w:rPr>
          <w:lang w:val="en-GB"/>
        </w:rPr>
        <w:t>a</w:t>
      </w:r>
      <w:r w:rsidR="004E45B6" w:rsidRPr="00DF2A9C">
        <w:rPr>
          <w:lang w:val="en-GB"/>
        </w:rPr>
        <w:t xml:space="preserve"> UE </w:t>
      </w:r>
      <w:r w:rsidR="00BB3224" w:rsidRPr="00DF2A9C">
        <w:rPr>
          <w:lang w:val="en-GB"/>
        </w:rPr>
        <w:t>may be configured with a number of SRS resources and each resource may contain</w:t>
      </w:r>
      <w:r w:rsidR="00891768" w:rsidRPr="00DF2A9C">
        <w:rPr>
          <w:lang w:val="en-GB"/>
        </w:rPr>
        <w:t xml:space="preserve"> only one SRS port.  Based on reciprocity, the UE </w:t>
      </w:r>
      <w:r w:rsidR="000715AA" w:rsidRPr="00DF2A9C">
        <w:rPr>
          <w:lang w:val="en-GB"/>
        </w:rPr>
        <w:t xml:space="preserve">may </w:t>
      </w:r>
      <w:r w:rsidR="00891768" w:rsidRPr="00DF2A9C">
        <w:rPr>
          <w:lang w:val="en-GB"/>
        </w:rPr>
        <w:t xml:space="preserve">choose multiple precoding candidates for precoded SRS transmission.  The gNB can signal to UE one or more SRIs </w:t>
      </w:r>
      <w:r w:rsidR="004E45B6" w:rsidRPr="00DF2A9C">
        <w:rPr>
          <w:lang w:val="en-GB"/>
        </w:rPr>
        <w:t>to down-select the precoder</w:t>
      </w:r>
      <w:r w:rsidR="000C701A">
        <w:rPr>
          <w:lang w:val="en-GB"/>
        </w:rPr>
        <w:t>s</w:t>
      </w:r>
      <w:r w:rsidR="004E45B6" w:rsidRPr="00DF2A9C">
        <w:rPr>
          <w:lang w:val="en-GB"/>
        </w:rPr>
        <w:t xml:space="preserve"> from the recommendation.</w:t>
      </w:r>
      <w:r w:rsidR="00E46F11" w:rsidRPr="00DF2A9C">
        <w:rPr>
          <w:lang w:val="en-GB"/>
        </w:rPr>
        <w:t xml:space="preserve">  </w:t>
      </w:r>
      <w:r w:rsidR="00891768" w:rsidRPr="00DF2A9C">
        <w:rPr>
          <w:lang w:val="en-GB"/>
        </w:rPr>
        <w:t xml:space="preserve">The transmission rank is implicitly informed by the SRI(s), i.e., the number of layers equals to the total number of SRS ports associated with the selected SRS resources.  </w:t>
      </w:r>
      <w:r w:rsidR="004922CF" w:rsidRPr="00DF2A9C">
        <w:rPr>
          <w:lang w:val="en-GB"/>
        </w:rPr>
        <w:t>For example, if a UE is configured with 4 single-port SRS resources, a 4-bit bitmap can be used for indicating the SRI(s).</w:t>
      </w:r>
    </w:p>
    <w:p w14:paraId="524E240A" w14:textId="7E7B53DF" w:rsidR="00150B6F" w:rsidRDefault="00EF2396" w:rsidP="00E46F11">
      <w:pPr>
        <w:jc w:val="both"/>
        <w:rPr>
          <w:lang w:val="en-GB"/>
        </w:rPr>
      </w:pPr>
      <w:r w:rsidRPr="00DF2A9C">
        <w:rPr>
          <w:lang w:val="en-GB"/>
        </w:rPr>
        <w:t>To signal subband precoding information, two mechanisms can be considered.  In one way, the subband precoding can be determined by gNB</w:t>
      </w:r>
      <w:r w:rsidR="000C701A">
        <w:rPr>
          <w:lang w:val="en-GB"/>
        </w:rPr>
        <w:t>.  As shown in Figure 1(a)</w:t>
      </w:r>
      <w:r w:rsidRPr="00DF2A9C">
        <w:rPr>
          <w:lang w:val="en-GB"/>
        </w:rPr>
        <w:t xml:space="preserve">, the gNB can configure the UE multiple subband SRS resources for each SRS port and indicating the SRI(s) for each scheduled subband.  </w:t>
      </w:r>
      <w:r w:rsidR="00A35C1F" w:rsidRPr="00355830">
        <w:rPr>
          <w:lang w:val="en-GB"/>
        </w:rPr>
        <w:t xml:space="preserve">Depending on the number of scheduled subbands, subband SRI indication may require additional bits in the UL grant.  </w:t>
      </w:r>
    </w:p>
    <w:p w14:paraId="1D19322E" w14:textId="77777777" w:rsidR="00A35C1F" w:rsidRPr="0090603C" w:rsidRDefault="00A35C1F" w:rsidP="00A35C1F">
      <w:pPr>
        <w:keepNext/>
        <w:jc w:val="center"/>
        <w:rPr>
          <w:highlight w:val="yellow"/>
        </w:rPr>
      </w:pPr>
      <w:r>
        <w:rPr>
          <w:noProof/>
          <w:lang w:eastAsia="zh-CN"/>
        </w:rPr>
        <w:lastRenderedPageBreak/>
        <w:drawing>
          <wp:inline distT="0" distB="0" distL="0" distR="0" wp14:anchorId="1C9F4427" wp14:editId="25064976">
            <wp:extent cx="5554991" cy="2656337"/>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n-codebook.png"/>
                    <pic:cNvPicPr/>
                  </pic:nvPicPr>
                  <pic:blipFill>
                    <a:blip r:embed="rId12">
                      <a:extLst>
                        <a:ext uri="{28A0092B-C50C-407E-A947-70E740481C1C}">
                          <a14:useLocalDpi xmlns:a14="http://schemas.microsoft.com/office/drawing/2010/main" val="0"/>
                        </a:ext>
                      </a:extLst>
                    </a:blip>
                    <a:stretch>
                      <a:fillRect/>
                    </a:stretch>
                  </pic:blipFill>
                  <pic:spPr>
                    <a:xfrm>
                      <a:off x="0" y="0"/>
                      <a:ext cx="5554991" cy="2656337"/>
                    </a:xfrm>
                    <a:prstGeom prst="rect">
                      <a:avLst/>
                    </a:prstGeom>
                  </pic:spPr>
                </pic:pic>
              </a:graphicData>
            </a:graphic>
          </wp:inline>
        </w:drawing>
      </w:r>
    </w:p>
    <w:p w14:paraId="6AA6D0A5" w14:textId="009A268D" w:rsidR="00A35C1F" w:rsidRPr="00355830" w:rsidRDefault="00A35C1F" w:rsidP="00A35C1F">
      <w:pPr>
        <w:pStyle w:val="Caption"/>
        <w:jc w:val="center"/>
      </w:pPr>
      <w:r w:rsidRPr="00355830">
        <w:t xml:space="preserve">Figure </w:t>
      </w:r>
      <w:r w:rsidRPr="00355830">
        <w:fldChar w:fldCharType="begin"/>
      </w:r>
      <w:r w:rsidRPr="00355830">
        <w:instrText xml:space="preserve"> SEQ Figure \* ARABIC </w:instrText>
      </w:r>
      <w:r w:rsidRPr="00355830">
        <w:fldChar w:fldCharType="separate"/>
      </w:r>
      <w:r w:rsidR="00281237">
        <w:rPr>
          <w:noProof/>
        </w:rPr>
        <w:t>1</w:t>
      </w:r>
      <w:r w:rsidRPr="00355830">
        <w:rPr>
          <w:noProof/>
        </w:rPr>
        <w:fldChar w:fldCharType="end"/>
      </w:r>
      <w:r w:rsidRPr="00355830">
        <w:t>. Illustration of subband and wideband indication of SRIs for frequency-selective UL precoding.</w:t>
      </w:r>
    </w:p>
    <w:p w14:paraId="039EC5CA" w14:textId="04525E8F" w:rsidR="00472541" w:rsidRDefault="00EF2396" w:rsidP="00472541">
      <w:pPr>
        <w:jc w:val="both"/>
        <w:rPr>
          <w:lang w:val="en-GB"/>
        </w:rPr>
      </w:pPr>
      <w:r w:rsidRPr="00DF2A9C">
        <w:rPr>
          <w:lang w:val="en-GB"/>
        </w:rPr>
        <w:t xml:space="preserve">Alternatively, the gNB can just signal a single SRI for a SRS port and let the UE to decide the subband precoding.  </w:t>
      </w:r>
      <w:r w:rsidR="00A35C1F">
        <w:rPr>
          <w:lang w:val="en-GB"/>
        </w:rPr>
        <w:t>As shown in Figure 1(b), the UE can decide subband precoding for each SRS resource and the gNB may signal as many SRIs as the UL transmission ranks to the UE.  The UE can use the subband precoding associated with indicated SRS resources to perform subband precoding for PUSCH transmission.</w:t>
      </w:r>
      <w:r w:rsidR="00472541">
        <w:rPr>
          <w:lang w:val="en-GB"/>
        </w:rPr>
        <w:t xml:space="preserve"> </w:t>
      </w:r>
      <w:r w:rsidR="00472541" w:rsidRPr="00472541">
        <w:rPr>
          <w:lang w:val="en-GB"/>
        </w:rPr>
        <w:t xml:space="preserve"> </w:t>
      </w:r>
      <w:r w:rsidR="00472541">
        <w:rPr>
          <w:lang w:val="en-GB"/>
        </w:rPr>
        <w:t>It’s worth noting that, the wideband indication shown in Figure 1(b) does not necessarily mean to support frequency selective precoded SRS in the same symbol.  For example, the subband precoded SRS may be transmitted in multiple symbols with frequency hopping.  In each symbol, the same precoding is applied to the sounded subband.</w:t>
      </w:r>
    </w:p>
    <w:p w14:paraId="22AACF01" w14:textId="599D06F0" w:rsidR="00A76AEE" w:rsidRDefault="00A76AEE" w:rsidP="00A76AEE">
      <w:pPr>
        <w:pStyle w:val="Observation"/>
        <w:ind w:left="1350" w:hanging="1350"/>
      </w:pPr>
      <w:bookmarkStart w:id="1" w:name="_Toc492902207"/>
      <w:bookmarkStart w:id="2" w:name="_Toc492903664"/>
      <w:bookmarkStart w:id="3" w:name="_Toc492904851"/>
      <w:r>
        <w:t xml:space="preserve">Observation </w:t>
      </w:r>
      <w:r>
        <w:fldChar w:fldCharType="begin"/>
      </w:r>
      <w:r>
        <w:instrText xml:space="preserve"> SEQ Observation \* ARABIC </w:instrText>
      </w:r>
      <w:r>
        <w:fldChar w:fldCharType="separate"/>
      </w:r>
      <w:r w:rsidR="00281237">
        <w:rPr>
          <w:noProof/>
        </w:rPr>
        <w:t>1</w:t>
      </w:r>
      <w:r>
        <w:rPr>
          <w:noProof/>
        </w:rPr>
        <w:fldChar w:fldCharType="end"/>
      </w:r>
      <w:r>
        <w:t xml:space="preserve">: </w:t>
      </w:r>
      <w:r>
        <w:tab/>
      </w:r>
      <w:r w:rsidRPr="00794063">
        <w:t>For Alt-1, indicati</w:t>
      </w:r>
      <w:r>
        <w:t>ng</w:t>
      </w:r>
      <w:r w:rsidRPr="00794063">
        <w:t xml:space="preserve"> SRIs for each subband is </w:t>
      </w:r>
      <w:r>
        <w:t>not needed for signaling PUSCH subband precoding.</w:t>
      </w:r>
      <w:bookmarkEnd w:id="1"/>
      <w:bookmarkEnd w:id="2"/>
      <w:bookmarkEnd w:id="3"/>
      <w:r>
        <w:t xml:space="preserve">  </w:t>
      </w:r>
    </w:p>
    <w:p w14:paraId="4578BD9C" w14:textId="71E7D4D8" w:rsidR="00A76AEE" w:rsidRDefault="00A76AEE" w:rsidP="00A76AEE">
      <w:pPr>
        <w:pStyle w:val="Observation"/>
        <w:ind w:left="1350" w:hanging="1350"/>
      </w:pPr>
      <w:bookmarkStart w:id="4" w:name="_Toc492903665"/>
      <w:bookmarkStart w:id="5" w:name="_Toc492904852"/>
      <w:r>
        <w:t xml:space="preserve">Observation </w:t>
      </w:r>
      <w:r>
        <w:fldChar w:fldCharType="begin"/>
      </w:r>
      <w:r>
        <w:instrText xml:space="preserve"> SEQ Observation \* ARABIC </w:instrText>
      </w:r>
      <w:r>
        <w:fldChar w:fldCharType="separate"/>
      </w:r>
      <w:r w:rsidR="00281237">
        <w:rPr>
          <w:noProof/>
        </w:rPr>
        <w:t>2</w:t>
      </w:r>
      <w:r>
        <w:rPr>
          <w:noProof/>
        </w:rPr>
        <w:fldChar w:fldCharType="end"/>
      </w:r>
      <w:r>
        <w:t xml:space="preserve">: </w:t>
      </w:r>
      <w:r>
        <w:tab/>
        <w:t>For Alt-1, wideband indication of PUSCH subband precoder does not necessarily mean subband SRS precoding in the same symbol.</w:t>
      </w:r>
      <w:bookmarkEnd w:id="4"/>
      <w:bookmarkEnd w:id="5"/>
      <w:r>
        <w:t xml:space="preserve">  </w:t>
      </w:r>
    </w:p>
    <w:p w14:paraId="5BAB5FC9" w14:textId="2E8B9229" w:rsidR="00A76AEE" w:rsidRPr="00A76AEE" w:rsidRDefault="00A76AEE" w:rsidP="00A76AEE">
      <w:pPr>
        <w:tabs>
          <w:tab w:val="left" w:pos="1354"/>
        </w:tabs>
        <w:ind w:left="1350" w:hanging="1350"/>
        <w:jc w:val="both"/>
        <w:rPr>
          <w:rFonts w:eastAsia="MS Mincho"/>
          <w:b/>
          <w:i/>
          <w:lang w:eastAsia="ja-JP"/>
        </w:rPr>
      </w:pPr>
      <w:bookmarkStart w:id="6" w:name="_Toc492904855"/>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281237">
        <w:rPr>
          <w:rFonts w:eastAsia="MS Mincho"/>
          <w:b/>
          <w:i/>
          <w:noProof/>
          <w:lang w:eastAsia="ja-JP"/>
        </w:rPr>
        <w:t>1</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t>Subband indication is not supported for PUSCH precoder determination in non-codebook-based UL MIMO.</w:t>
      </w:r>
      <w:bookmarkEnd w:id="6"/>
    </w:p>
    <w:p w14:paraId="7E5554D3" w14:textId="3570F671" w:rsidR="003F1E95" w:rsidRDefault="00495D63" w:rsidP="00DF2A9C">
      <w:pPr>
        <w:pStyle w:val="Heading1"/>
      </w:pPr>
      <w:bookmarkStart w:id="7" w:name="_Toc492722396"/>
      <w:bookmarkStart w:id="8" w:name="_Toc492722765"/>
      <w:bookmarkStart w:id="9" w:name="_Toc492722397"/>
      <w:bookmarkStart w:id="10" w:name="_Toc492722766"/>
      <w:bookmarkStart w:id="11" w:name="_Toc492722398"/>
      <w:bookmarkStart w:id="12" w:name="_Toc492722767"/>
      <w:bookmarkStart w:id="13" w:name="_Toc492722399"/>
      <w:bookmarkStart w:id="14" w:name="_Toc492722768"/>
      <w:bookmarkStart w:id="15" w:name="_Toc492722400"/>
      <w:bookmarkStart w:id="16" w:name="_Toc492722769"/>
      <w:bookmarkStart w:id="17" w:name="_Toc492722401"/>
      <w:bookmarkStart w:id="18" w:name="_Toc492722770"/>
      <w:bookmarkStart w:id="19" w:name="_Toc492722402"/>
      <w:bookmarkStart w:id="20" w:name="_Toc492722771"/>
      <w:bookmarkStart w:id="21" w:name="_Toc492722403"/>
      <w:bookmarkStart w:id="22" w:name="_Toc492722772"/>
      <w:bookmarkStart w:id="23" w:name="_Toc492722404"/>
      <w:bookmarkStart w:id="24" w:name="_Toc492722773"/>
      <w:bookmarkStart w:id="25" w:name="_Toc492722405"/>
      <w:bookmarkStart w:id="26" w:name="_Toc492722774"/>
      <w:bookmarkStart w:id="27" w:name="_Toc492722406"/>
      <w:bookmarkStart w:id="28" w:name="_Toc49272277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Need for UE side calibration</w:t>
      </w:r>
    </w:p>
    <w:p w14:paraId="28E8B42F" w14:textId="58ACDF6D" w:rsidR="005F6176" w:rsidRDefault="005F6176" w:rsidP="00DF2A9C">
      <w:pPr>
        <w:jc w:val="both"/>
        <w:rPr>
          <w:lang w:val="en-GB"/>
        </w:rPr>
      </w:pPr>
      <w:r w:rsidRPr="005F6176">
        <w:rPr>
          <w:lang w:val="en-GB"/>
        </w:rPr>
        <w:t xml:space="preserve">For non-codebook based transmission, the </w:t>
      </w:r>
      <w:r>
        <w:rPr>
          <w:lang w:val="en-GB"/>
        </w:rPr>
        <w:t xml:space="preserve">UE needs to recommend several </w:t>
      </w:r>
      <w:r w:rsidRPr="005F6176">
        <w:rPr>
          <w:lang w:val="en-GB"/>
        </w:rPr>
        <w:t xml:space="preserve">UL precoding </w:t>
      </w:r>
      <w:r>
        <w:rPr>
          <w:lang w:val="en-GB"/>
        </w:rPr>
        <w:t xml:space="preserve">candidates to the gNB by sending multiple precoded SRS ports.  The precoding candidates may be determined by </w:t>
      </w:r>
      <w:r w:rsidRPr="005F6176">
        <w:rPr>
          <w:lang w:val="en-GB"/>
        </w:rPr>
        <w:t xml:space="preserve">exploiting the UL/DL channel reciprocity.  It is well known that even under TDD operation, the reciprocity is guaranteed only for the physical propagation channel between the transmit and receive antennas at both ends, but not for the effective baseband channel due to asymmetric RF circuits in the transmitting/receiving paths.  So, the channel estimates from the DL reference signals </w:t>
      </w:r>
      <w:r>
        <w:rPr>
          <w:lang w:val="en-GB"/>
        </w:rPr>
        <w:t xml:space="preserve">may </w:t>
      </w:r>
      <w:r w:rsidRPr="005F6176">
        <w:rPr>
          <w:lang w:val="en-GB"/>
        </w:rPr>
        <w:t xml:space="preserve">not be directly utilized for deriving the UL precoding matrix.  </w:t>
      </w:r>
    </w:p>
    <w:p w14:paraId="2AA8DD55" w14:textId="011103E7" w:rsidR="00B85883" w:rsidRDefault="00B85883" w:rsidP="00B85883">
      <w:pPr>
        <w:pStyle w:val="Observation"/>
        <w:ind w:left="1350" w:hanging="1350"/>
      </w:pPr>
      <w:bookmarkStart w:id="29" w:name="_Toc492904853"/>
      <w:r>
        <w:t xml:space="preserve">Observation </w:t>
      </w:r>
      <w:r>
        <w:fldChar w:fldCharType="begin"/>
      </w:r>
      <w:r>
        <w:instrText xml:space="preserve"> SEQ Observation \* ARABIC </w:instrText>
      </w:r>
      <w:r>
        <w:fldChar w:fldCharType="separate"/>
      </w:r>
      <w:r w:rsidR="00281237">
        <w:rPr>
          <w:noProof/>
        </w:rPr>
        <w:t>3</w:t>
      </w:r>
      <w:r>
        <w:rPr>
          <w:noProof/>
        </w:rPr>
        <w:fldChar w:fldCharType="end"/>
      </w:r>
      <w:r>
        <w:t xml:space="preserve">: </w:t>
      </w:r>
      <w:r>
        <w:tab/>
      </w:r>
      <w:r w:rsidRPr="00794063">
        <w:t xml:space="preserve">UE side </w:t>
      </w:r>
      <w:r>
        <w:t xml:space="preserve">TX/RX </w:t>
      </w:r>
      <w:r w:rsidRPr="00794063">
        <w:t>calibration is needed for exploiting channel reciprocity in UL MIMO transmission</w:t>
      </w:r>
      <w:r>
        <w:t>.</w:t>
      </w:r>
      <w:bookmarkEnd w:id="29"/>
      <w:r>
        <w:t xml:space="preserve">  </w:t>
      </w:r>
    </w:p>
    <w:p w14:paraId="0DB94E78" w14:textId="1CC06116" w:rsidR="00B310A6" w:rsidRDefault="00AA279B" w:rsidP="00B310A6">
      <w:pPr>
        <w:jc w:val="both"/>
        <w:rPr>
          <w:lang w:val="en-GB"/>
        </w:rPr>
      </w:pPr>
      <w:r>
        <w:rPr>
          <w:lang w:val="en-GB"/>
        </w:rPr>
        <w:t>One</w:t>
      </w:r>
      <w:r w:rsidR="00B310A6">
        <w:rPr>
          <w:lang w:val="en-GB"/>
        </w:rPr>
        <w:t xml:space="preserve"> solution to resolve this issue is to perform RF calibration at the UE side.  This is similar to the RF calibration at the gNB side when performing DL precoding based on UL channel estimation.  The gNB side calibration has been thoroughly discussed in LTE.  Essentially, there are two types of calibration schemes – self-calibration methods (e.g. [4]</w:t>
      </w:r>
      <w:r w:rsidR="00B310A6">
        <w:rPr>
          <w:lang w:val="en-GB"/>
        </w:rPr>
        <w:fldChar w:fldCharType="begin"/>
      </w:r>
      <w:r w:rsidR="00B310A6">
        <w:rPr>
          <w:lang w:val="en-GB"/>
        </w:rPr>
        <w:instrText xml:space="preserve"> REF _Ref462653207 \r \h  \* MERGEFORMAT </w:instrText>
      </w:r>
      <w:r w:rsidR="00B310A6">
        <w:rPr>
          <w:lang w:val="en-GB"/>
        </w:rPr>
      </w:r>
      <w:r w:rsidR="00B310A6">
        <w:rPr>
          <w:lang w:val="en-GB"/>
        </w:rPr>
        <w:fldChar w:fldCharType="separate"/>
      </w:r>
      <w:r w:rsidR="00281237">
        <w:rPr>
          <w:lang w:val="en-GB"/>
        </w:rPr>
        <w:t>[4]</w:t>
      </w:r>
      <w:r w:rsidR="00B310A6">
        <w:rPr>
          <w:lang w:val="en-GB"/>
        </w:rPr>
        <w:fldChar w:fldCharType="end"/>
      </w:r>
      <w:r w:rsidR="00B310A6">
        <w:rPr>
          <w:lang w:val="en-GB"/>
        </w:rPr>
        <w:t>) and over-the-air (OTA) calibration methods (e.g., [5]).  Self-calibration does not need any additional air-interface signalling, but does require additional analogue switches and attenuators to be implemented for wiring all the antennas together.  OTA calibration which doesn’t require any additional hardware support, on the other hand, requires some additional signaling support.</w:t>
      </w:r>
    </w:p>
    <w:p w14:paraId="40D99B75" w14:textId="5D0BE3E3" w:rsidR="00B85883" w:rsidRPr="00A76AEE" w:rsidRDefault="00B85883" w:rsidP="00B85883">
      <w:pPr>
        <w:tabs>
          <w:tab w:val="left" w:pos="1354"/>
        </w:tabs>
        <w:ind w:left="1350" w:hanging="1350"/>
        <w:jc w:val="both"/>
        <w:rPr>
          <w:rFonts w:eastAsia="MS Mincho"/>
          <w:b/>
          <w:i/>
          <w:lang w:eastAsia="ja-JP"/>
        </w:rPr>
      </w:pPr>
      <w:bookmarkStart w:id="30" w:name="_Toc492904856"/>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281237">
        <w:rPr>
          <w:rFonts w:eastAsia="MS Mincho"/>
          <w:b/>
          <w:i/>
          <w:noProof/>
          <w:lang w:eastAsia="ja-JP"/>
        </w:rPr>
        <w:t>2</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sidRPr="00B85883">
        <w:rPr>
          <w:rFonts w:eastAsia="MS Mincho"/>
          <w:b/>
          <w:i/>
          <w:lang w:eastAsia="ja-JP"/>
        </w:rPr>
        <w:t>Decide in RAN1#90bis if any specific signaling is supported in NR Rel-15 for UE side TX/RX calibration</w:t>
      </w:r>
      <w:r w:rsidRPr="00A76AEE">
        <w:rPr>
          <w:rFonts w:eastAsia="MS Mincho"/>
          <w:b/>
          <w:i/>
          <w:lang w:eastAsia="ja-JP"/>
        </w:rPr>
        <w:t>.</w:t>
      </w:r>
      <w:bookmarkEnd w:id="30"/>
    </w:p>
    <w:p w14:paraId="5530A282" w14:textId="458BBC49" w:rsidR="00493451" w:rsidRDefault="00CC6068" w:rsidP="00833824">
      <w:pPr>
        <w:pStyle w:val="Heading1"/>
        <w:jc w:val="both"/>
      </w:pPr>
      <w:r>
        <w:t>Validation of c</w:t>
      </w:r>
      <w:r w:rsidR="00F54C03">
        <w:t>oncurrent</w:t>
      </w:r>
      <w:r w:rsidR="00F046AF">
        <w:t xml:space="preserve"> SRIs</w:t>
      </w:r>
    </w:p>
    <w:p w14:paraId="495EA5F9" w14:textId="790F87E8" w:rsidR="00F046AF" w:rsidRDefault="004A47DC" w:rsidP="00DF2A9C">
      <w:pPr>
        <w:jc w:val="both"/>
      </w:pPr>
      <w:r>
        <w:rPr>
          <w:lang w:val="en-GB"/>
        </w:rPr>
        <w:t xml:space="preserve">With Alt-1, a UE may be configured with multiple SRS resources and the UE determines how to do precoding for the SRS ports in the configured SRS resources.  </w:t>
      </w:r>
      <w:r w:rsidR="00B55BF3">
        <w:rPr>
          <w:lang w:val="en-GB"/>
        </w:rPr>
        <w:t>Depending on UE implementation, the precoding may be performed either by digital beamforming, or by analog beamforming, or by both, which is transparent to the gNB.  As shown in Figure 2, if 8 SRS resources are configured to an UE</w:t>
      </w:r>
      <w:r w:rsidR="00812B5E">
        <w:rPr>
          <w:lang w:val="en-GB"/>
        </w:rPr>
        <w:t xml:space="preserve"> capable of up to rank-2 non-codebook based UL MIMO</w:t>
      </w:r>
      <w:r w:rsidR="00B55BF3">
        <w:rPr>
          <w:lang w:val="en-GB"/>
        </w:rPr>
        <w:t xml:space="preserve"> using </w:t>
      </w:r>
      <w:r w:rsidR="001650C2">
        <w:rPr>
          <w:lang w:val="en-GB"/>
        </w:rPr>
        <w:t>analog beamforming</w:t>
      </w:r>
      <w:r w:rsidR="00B55BF3">
        <w:rPr>
          <w:lang w:val="en-GB"/>
        </w:rPr>
        <w:t xml:space="preserve">, the UE may transmit SRS resources 0, 1, …, 3 via the first </w:t>
      </w:r>
      <w:r w:rsidR="001650C2">
        <w:rPr>
          <w:lang w:val="en-GB"/>
        </w:rPr>
        <w:t xml:space="preserve">analog beamforer (ABF 0) </w:t>
      </w:r>
      <w:r w:rsidR="00B55BF3">
        <w:rPr>
          <w:lang w:val="en-GB"/>
        </w:rPr>
        <w:t>and transmit SRS resources 4, 5, …</w:t>
      </w:r>
      <w:r w:rsidR="001650C2">
        <w:rPr>
          <w:lang w:val="en-GB"/>
        </w:rPr>
        <w:t>, 6 via ABF 1</w:t>
      </w:r>
      <w:r w:rsidR="00B55BF3">
        <w:rPr>
          <w:lang w:val="en-GB"/>
        </w:rPr>
        <w:t xml:space="preserve">.  Since SRS resources {0, 1, 2, 3} have to be transmitted in a TDM manner, </w:t>
      </w:r>
      <w:r w:rsidR="001650C2">
        <w:rPr>
          <w:lang w:val="en-GB"/>
        </w:rPr>
        <w:t xml:space="preserve">signaling </w:t>
      </w:r>
      <w:r w:rsidR="00B55BF3">
        <w:rPr>
          <w:lang w:val="en-GB"/>
        </w:rPr>
        <w:t>of some combination of SRIs</w:t>
      </w:r>
      <w:r w:rsidR="001650C2">
        <w:rPr>
          <w:lang w:val="en-GB"/>
        </w:rPr>
        <w:t xml:space="preserve"> at a time for PUSCH precoding indication is invalid.  For example, the signaling of SRIs 0 and 1 is invalid.  Because both SRS resources 0 and 1 are transmitted by the same analog beamformer, the precoding cannot be done simultaneous.  So, o</w:t>
      </w:r>
      <w:r w:rsidR="00B55BF3">
        <w:rPr>
          <w:lang w:val="en-GB"/>
        </w:rPr>
        <w:t xml:space="preserve">nly one SRI in the set </w:t>
      </w:r>
      <w:r w:rsidR="00B55BF3" w:rsidRPr="00DF2A9C">
        <w:rPr>
          <w:i/>
          <w:lang w:val="en-GB"/>
        </w:rPr>
        <w:t>I</w:t>
      </w:r>
      <w:r w:rsidR="00B55BF3" w:rsidRPr="00DF2A9C">
        <w:rPr>
          <w:vertAlign w:val="subscript"/>
          <w:lang w:val="en-GB"/>
        </w:rPr>
        <w:t>1</w:t>
      </w:r>
      <w:r w:rsidR="00B55BF3">
        <w:rPr>
          <w:lang w:val="en-GB"/>
        </w:rPr>
        <w:t xml:space="preserve"> = {0, 1, 2, 3} </w:t>
      </w:r>
      <w:r w:rsidR="001650C2">
        <w:rPr>
          <w:lang w:val="en-GB"/>
        </w:rPr>
        <w:t xml:space="preserve">and/or </w:t>
      </w:r>
      <w:r w:rsidR="00B55BF3">
        <w:rPr>
          <w:lang w:val="en-GB"/>
        </w:rPr>
        <w:t xml:space="preserve">one SRI in the set </w:t>
      </w:r>
      <w:r w:rsidR="00B55BF3" w:rsidRPr="00566936">
        <w:rPr>
          <w:i/>
          <w:lang w:val="en-GB"/>
        </w:rPr>
        <w:t>I</w:t>
      </w:r>
      <w:r w:rsidR="00B55BF3">
        <w:rPr>
          <w:vertAlign w:val="subscript"/>
          <w:lang w:val="en-GB"/>
        </w:rPr>
        <w:t>2</w:t>
      </w:r>
      <w:r w:rsidR="00B55BF3">
        <w:rPr>
          <w:lang w:val="en-GB"/>
        </w:rPr>
        <w:t xml:space="preserve"> = {4, 5, 6, 7} can be signalled at a time to the UE.  But a UE </w:t>
      </w:r>
      <w:r w:rsidR="001650C2">
        <w:rPr>
          <w:lang w:val="en-GB"/>
        </w:rPr>
        <w:t>shall not be</w:t>
      </w:r>
      <w:r w:rsidR="00B55BF3">
        <w:rPr>
          <w:lang w:val="en-GB"/>
        </w:rPr>
        <w:t xml:space="preserve"> signalled with </w:t>
      </w:r>
      <w:r w:rsidR="001650C2">
        <w:rPr>
          <w:lang w:val="en-GB"/>
        </w:rPr>
        <w:t>two</w:t>
      </w:r>
      <w:r w:rsidR="00B55BF3">
        <w:rPr>
          <w:lang w:val="en-GB"/>
        </w:rPr>
        <w:t xml:space="preserve"> SRI</w:t>
      </w:r>
      <w:r w:rsidR="001650C2">
        <w:rPr>
          <w:lang w:val="en-GB"/>
        </w:rPr>
        <w:t xml:space="preserve">s both selected from either set </w:t>
      </w:r>
      <w:r w:rsidR="001650C2" w:rsidRPr="00566936">
        <w:rPr>
          <w:i/>
          <w:lang w:val="en-GB"/>
        </w:rPr>
        <w:t>I</w:t>
      </w:r>
      <w:r w:rsidR="001650C2" w:rsidRPr="00566936">
        <w:rPr>
          <w:vertAlign w:val="subscript"/>
          <w:lang w:val="en-GB"/>
        </w:rPr>
        <w:t>1</w:t>
      </w:r>
      <w:r w:rsidR="001650C2">
        <w:rPr>
          <w:lang w:val="en-GB"/>
        </w:rPr>
        <w:t xml:space="preserve"> or set </w:t>
      </w:r>
      <w:r w:rsidR="001650C2" w:rsidRPr="00566936">
        <w:rPr>
          <w:i/>
          <w:lang w:val="en-GB"/>
        </w:rPr>
        <w:t>I</w:t>
      </w:r>
      <w:r w:rsidR="001650C2">
        <w:rPr>
          <w:vertAlign w:val="subscript"/>
          <w:lang w:val="en-GB"/>
        </w:rPr>
        <w:t>2</w:t>
      </w:r>
      <w:r w:rsidR="001650C2">
        <w:rPr>
          <w:lang w:val="en-GB"/>
        </w:rPr>
        <w:t>.</w:t>
      </w:r>
    </w:p>
    <w:p w14:paraId="6F980125" w14:textId="6E9DEA72" w:rsidR="00194671" w:rsidRDefault="001650C2" w:rsidP="00DF2A9C">
      <w:pPr>
        <w:keepNext/>
        <w:jc w:val="center"/>
      </w:pPr>
      <w:r>
        <w:rPr>
          <w:noProof/>
          <w:lang w:eastAsia="zh-CN"/>
        </w:rPr>
        <w:drawing>
          <wp:inline distT="0" distB="0" distL="0" distR="0" wp14:anchorId="3B38094E" wp14:editId="5B73A8AE">
            <wp:extent cx="2491745" cy="1463043"/>
            <wp:effectExtent l="0" t="0" r="381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multaneous SRIs.png"/>
                    <pic:cNvPicPr/>
                  </pic:nvPicPr>
                  <pic:blipFill>
                    <a:blip r:embed="rId13">
                      <a:extLst>
                        <a:ext uri="{28A0092B-C50C-407E-A947-70E740481C1C}">
                          <a14:useLocalDpi xmlns:a14="http://schemas.microsoft.com/office/drawing/2010/main" val="0"/>
                        </a:ext>
                      </a:extLst>
                    </a:blip>
                    <a:stretch>
                      <a:fillRect/>
                    </a:stretch>
                  </pic:blipFill>
                  <pic:spPr>
                    <a:xfrm>
                      <a:off x="0" y="0"/>
                      <a:ext cx="2491745" cy="1463043"/>
                    </a:xfrm>
                    <a:prstGeom prst="rect">
                      <a:avLst/>
                    </a:prstGeom>
                  </pic:spPr>
                </pic:pic>
              </a:graphicData>
            </a:graphic>
          </wp:inline>
        </w:drawing>
      </w:r>
    </w:p>
    <w:p w14:paraId="3570D6F6" w14:textId="71C54680" w:rsidR="00194671" w:rsidRDefault="00194671" w:rsidP="00DF2A9C">
      <w:pPr>
        <w:pStyle w:val="Caption"/>
        <w:jc w:val="center"/>
      </w:pPr>
      <w:r>
        <w:t xml:space="preserve">Figure </w:t>
      </w:r>
      <w:r>
        <w:fldChar w:fldCharType="begin"/>
      </w:r>
      <w:r>
        <w:instrText xml:space="preserve"> SEQ Figure \* ARABIC </w:instrText>
      </w:r>
      <w:r>
        <w:fldChar w:fldCharType="separate"/>
      </w:r>
      <w:r w:rsidR="00281237">
        <w:rPr>
          <w:noProof/>
        </w:rPr>
        <w:t>2</w:t>
      </w:r>
      <w:r>
        <w:fldChar w:fldCharType="end"/>
      </w:r>
      <w:r>
        <w:t xml:space="preserve">.  Illustration of </w:t>
      </w:r>
      <w:r w:rsidR="00B55BF3">
        <w:t>concurrent SRIs.</w:t>
      </w:r>
    </w:p>
    <w:p w14:paraId="1850077F" w14:textId="66BDF569" w:rsidR="00132CAC" w:rsidRDefault="00132CAC" w:rsidP="00132CAC">
      <w:pPr>
        <w:pStyle w:val="Observation"/>
        <w:ind w:left="1350" w:hanging="1350"/>
      </w:pPr>
      <w:bookmarkStart w:id="31" w:name="_Toc492904854"/>
      <w:r>
        <w:t xml:space="preserve">Observation </w:t>
      </w:r>
      <w:r>
        <w:fldChar w:fldCharType="begin"/>
      </w:r>
      <w:r>
        <w:instrText xml:space="preserve"> SEQ Observation \* ARABIC </w:instrText>
      </w:r>
      <w:r>
        <w:fldChar w:fldCharType="separate"/>
      </w:r>
      <w:r w:rsidR="00281237">
        <w:rPr>
          <w:noProof/>
        </w:rPr>
        <w:t>4</w:t>
      </w:r>
      <w:r>
        <w:rPr>
          <w:noProof/>
        </w:rPr>
        <w:fldChar w:fldCharType="end"/>
      </w:r>
      <w:r>
        <w:t xml:space="preserve">: </w:t>
      </w:r>
      <w:r>
        <w:tab/>
      </w:r>
      <w:r w:rsidRPr="00132CAC">
        <w:t>Observation 1:</w:t>
      </w:r>
      <w:r w:rsidRPr="00132CAC">
        <w:tab/>
        <w:t>Depending on UE implementation, some combinations of SRIs for indicating PUSCH precoding should be avoided</w:t>
      </w:r>
      <w:r>
        <w:t>.</w:t>
      </w:r>
      <w:bookmarkEnd w:id="31"/>
    </w:p>
    <w:p w14:paraId="759C1822" w14:textId="2D4F60F6" w:rsidR="00193993" w:rsidRDefault="00F077CE" w:rsidP="00DF2A9C">
      <w:pPr>
        <w:jc w:val="both"/>
        <w:rPr>
          <w:lang w:val="en-GB"/>
        </w:rPr>
      </w:pPr>
      <w:r>
        <w:t>T</w:t>
      </w:r>
      <w:r w:rsidR="00D457F8">
        <w:rPr>
          <w:lang w:val="en-GB"/>
        </w:rPr>
        <w:t>o help the network identify which combinations of SRIs can be simultaneously signalled to a UE</w:t>
      </w:r>
      <w:r>
        <w:rPr>
          <w:lang w:val="en-GB"/>
        </w:rPr>
        <w:t xml:space="preserve">, the UE can signal some related information to the gNB.  The </w:t>
      </w:r>
      <w:r w:rsidR="00193993">
        <w:rPr>
          <w:lang w:val="en-GB"/>
        </w:rPr>
        <w:t xml:space="preserve">single-port </w:t>
      </w:r>
      <w:r>
        <w:rPr>
          <w:lang w:val="en-GB"/>
        </w:rPr>
        <w:t xml:space="preserve">SRS resources can be </w:t>
      </w:r>
      <w:r w:rsidR="00193993">
        <w:rPr>
          <w:lang w:val="en-GB"/>
        </w:rPr>
        <w:t xml:space="preserve">divided into </w:t>
      </w:r>
      <w:r w:rsidR="00193993" w:rsidRPr="00DF2A9C">
        <w:rPr>
          <w:i/>
          <w:lang w:val="en-GB"/>
        </w:rPr>
        <w:t>G</w:t>
      </w:r>
      <w:r w:rsidR="00193993">
        <w:rPr>
          <w:lang w:val="en-GB"/>
        </w:rPr>
        <w:t xml:space="preserve"> </w:t>
      </w:r>
      <w:r>
        <w:rPr>
          <w:lang w:val="en-GB"/>
        </w:rPr>
        <w:t>group</w:t>
      </w:r>
      <w:r w:rsidR="00193993">
        <w:rPr>
          <w:lang w:val="en-GB"/>
        </w:rPr>
        <w:t>s</w:t>
      </w:r>
      <w:r>
        <w:rPr>
          <w:lang w:val="en-GB"/>
        </w:rPr>
        <w:t xml:space="preserve"> </w:t>
      </w:r>
      <w:r w:rsidR="00406B19">
        <w:rPr>
          <w:lang w:val="en-GB"/>
        </w:rPr>
        <w:t>based on the concurrency of PUSCH precoding indication.</w:t>
      </w:r>
      <w:r w:rsidR="00193993">
        <w:rPr>
          <w:lang w:val="en-GB"/>
        </w:rPr>
        <w:t xml:space="preserve">  The SRS resource grouping for concurrent PUSCH precoding indication can be defined such that</w:t>
      </w:r>
    </w:p>
    <w:p w14:paraId="0CE67742" w14:textId="0350FA10" w:rsidR="00193993" w:rsidRDefault="00193993" w:rsidP="00F95807">
      <w:pPr>
        <w:numPr>
          <w:ilvl w:val="0"/>
          <w:numId w:val="22"/>
        </w:numPr>
        <w:overflowPunct/>
        <w:autoSpaceDE/>
        <w:autoSpaceDN/>
        <w:adjustRightInd/>
        <w:spacing w:before="0" w:after="0"/>
        <w:textAlignment w:val="auto"/>
        <w:rPr>
          <w:i/>
          <w:iCs/>
        </w:rPr>
      </w:pPr>
      <w:r w:rsidRPr="00DF2A9C">
        <w:rPr>
          <w:iCs/>
        </w:rPr>
        <w:t xml:space="preserve">Up to </w:t>
      </w:r>
      <w:r>
        <w:rPr>
          <w:i/>
          <w:iCs/>
        </w:rPr>
        <w:t>N</w:t>
      </w:r>
      <w:r w:rsidRPr="00DF2A9C">
        <w:rPr>
          <w:i/>
          <w:iCs/>
          <w:vertAlign w:val="subscript"/>
        </w:rPr>
        <w:t>g</w:t>
      </w:r>
      <w:r w:rsidRPr="00DF2A9C">
        <w:rPr>
          <w:iCs/>
        </w:rPr>
        <w:t xml:space="preserve"> SRS resources can be configured for Group </w:t>
      </w:r>
      <w:r>
        <w:rPr>
          <w:i/>
          <w:iCs/>
        </w:rPr>
        <w:t>g, g</w:t>
      </w:r>
      <w:r w:rsidRPr="00DF2A9C">
        <w:rPr>
          <w:iCs/>
        </w:rPr>
        <w:t xml:space="preserve"> = 0, 1, …, </w:t>
      </w:r>
      <w:r>
        <w:rPr>
          <w:i/>
          <w:iCs/>
        </w:rPr>
        <w:t>G</w:t>
      </w:r>
      <w:r w:rsidRPr="00DF2A9C">
        <w:rPr>
          <w:iCs/>
        </w:rPr>
        <w:t xml:space="preserve"> – 1;</w:t>
      </w:r>
    </w:p>
    <w:p w14:paraId="1D6D7961" w14:textId="4CB529F3" w:rsidR="00193993" w:rsidRPr="00DF2A9C" w:rsidRDefault="00193993" w:rsidP="00F95807">
      <w:pPr>
        <w:numPr>
          <w:ilvl w:val="0"/>
          <w:numId w:val="22"/>
        </w:numPr>
        <w:overflowPunct/>
        <w:autoSpaceDE/>
        <w:autoSpaceDN/>
        <w:adjustRightInd/>
        <w:spacing w:before="0" w:after="0"/>
        <w:textAlignment w:val="auto"/>
        <w:rPr>
          <w:iCs/>
        </w:rPr>
      </w:pPr>
      <w:r w:rsidRPr="00DF2A9C">
        <w:rPr>
          <w:iCs/>
        </w:rPr>
        <w:t xml:space="preserve">Up </w:t>
      </w:r>
      <w:r>
        <w:rPr>
          <w:iCs/>
        </w:rPr>
        <w:t xml:space="preserve">to </w:t>
      </w:r>
      <w:r w:rsidRPr="00DF2A9C">
        <w:rPr>
          <w:i/>
          <w:iCs/>
        </w:rPr>
        <w:t>M</w:t>
      </w:r>
      <w:r w:rsidRPr="00DF2A9C">
        <w:rPr>
          <w:i/>
          <w:iCs/>
          <w:vertAlign w:val="subscript"/>
        </w:rPr>
        <w:t>g</w:t>
      </w:r>
      <w:r>
        <w:rPr>
          <w:iCs/>
        </w:rPr>
        <w:t xml:space="preserve"> SRS resources in Group </w:t>
      </w:r>
      <w:r w:rsidRPr="00DF2A9C">
        <w:rPr>
          <w:i/>
          <w:iCs/>
        </w:rPr>
        <w:t>g</w:t>
      </w:r>
      <w:r>
        <w:rPr>
          <w:iCs/>
        </w:rPr>
        <w:t xml:space="preserve"> can be signaled at a time;</w:t>
      </w:r>
    </w:p>
    <w:p w14:paraId="3DBB5DAC" w14:textId="5F4B8DE4" w:rsidR="00193993" w:rsidRPr="00DF2A9C" w:rsidRDefault="00193993" w:rsidP="00F95807">
      <w:pPr>
        <w:numPr>
          <w:ilvl w:val="0"/>
          <w:numId w:val="22"/>
        </w:numPr>
        <w:overflowPunct/>
        <w:autoSpaceDE/>
        <w:autoSpaceDN/>
        <w:adjustRightInd/>
        <w:spacing w:before="0" w:after="0"/>
        <w:textAlignment w:val="auto"/>
        <w:rPr>
          <w:iCs/>
        </w:rPr>
      </w:pPr>
      <w:r w:rsidRPr="00DF2A9C">
        <w:rPr>
          <w:iCs/>
        </w:rPr>
        <w:t>SRS resources from different groups can be signaled at a time</w:t>
      </w:r>
      <w:r w:rsidR="00F85841">
        <w:rPr>
          <w:iCs/>
        </w:rPr>
        <w:t>.</w:t>
      </w:r>
    </w:p>
    <w:p w14:paraId="6212FB54" w14:textId="23418B14" w:rsidR="00F077CE" w:rsidRDefault="00193993" w:rsidP="00DF2A9C">
      <w:pPr>
        <w:jc w:val="both"/>
      </w:pPr>
      <w:r>
        <w:t xml:space="preserve">For example, as shown in Figure 2, the UE supports 2 SRS resource groups </w:t>
      </w:r>
      <w:r w:rsidR="00F85841">
        <w:t>(</w:t>
      </w:r>
      <w:r w:rsidR="00F85841" w:rsidRPr="00DF2A9C">
        <w:rPr>
          <w:i/>
        </w:rPr>
        <w:t>G</w:t>
      </w:r>
      <w:r w:rsidR="00F85841">
        <w:t xml:space="preserve"> = 2) </w:t>
      </w:r>
      <w:r>
        <w:t xml:space="preserve">and in each group </w:t>
      </w:r>
      <w:r w:rsidR="00F85841">
        <w:t>up to 1 SRS resources can be signaled at a time (</w:t>
      </w:r>
      <w:r w:rsidR="00F85841" w:rsidRPr="00DF2A9C">
        <w:rPr>
          <w:i/>
        </w:rPr>
        <w:t>M</w:t>
      </w:r>
      <w:r w:rsidR="00F85841" w:rsidRPr="00DF2A9C">
        <w:rPr>
          <w:vertAlign w:val="subscript"/>
        </w:rPr>
        <w:t>1</w:t>
      </w:r>
      <w:r w:rsidR="00F85841">
        <w:t xml:space="preserve"> = </w:t>
      </w:r>
      <w:r w:rsidR="00F85841" w:rsidRPr="00DF2A9C">
        <w:rPr>
          <w:i/>
        </w:rPr>
        <w:t>M</w:t>
      </w:r>
      <w:r w:rsidR="00F85841" w:rsidRPr="00DF2A9C">
        <w:rPr>
          <w:vertAlign w:val="subscript"/>
        </w:rPr>
        <w:t>2</w:t>
      </w:r>
      <w:r w:rsidR="00F85841">
        <w:t xml:space="preserve"> = 1).  </w:t>
      </w:r>
    </w:p>
    <w:p w14:paraId="2B00D27F" w14:textId="5A46833F" w:rsidR="00372753" w:rsidRPr="00A76AEE" w:rsidRDefault="00372753" w:rsidP="00372753">
      <w:pPr>
        <w:tabs>
          <w:tab w:val="left" w:pos="1354"/>
        </w:tabs>
        <w:ind w:left="1350" w:hanging="1350"/>
        <w:jc w:val="both"/>
        <w:rPr>
          <w:rFonts w:eastAsia="MS Mincho"/>
          <w:b/>
          <w:i/>
          <w:lang w:eastAsia="ja-JP"/>
        </w:rPr>
      </w:pPr>
      <w:bookmarkStart w:id="32" w:name="_Toc492904857"/>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281237">
        <w:rPr>
          <w:rFonts w:eastAsia="MS Mincho"/>
          <w:b/>
          <w:i/>
          <w:noProof/>
          <w:lang w:eastAsia="ja-JP"/>
        </w:rPr>
        <w:t>3</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sidRPr="00372753">
        <w:rPr>
          <w:rFonts w:eastAsia="MS Mincho"/>
          <w:b/>
          <w:i/>
          <w:lang w:eastAsia="ja-JP"/>
        </w:rPr>
        <w:t>For PUSCH precoding indication, support signaling of SRS resource grouping information from UE to gNB</w:t>
      </w:r>
      <w:r w:rsidRPr="00A76AEE">
        <w:rPr>
          <w:rFonts w:eastAsia="MS Mincho"/>
          <w:b/>
          <w:i/>
          <w:lang w:eastAsia="ja-JP"/>
        </w:rPr>
        <w:t>.</w:t>
      </w:r>
      <w:bookmarkEnd w:id="32"/>
    </w:p>
    <w:p w14:paraId="7E89C27E" w14:textId="55F5E3CA" w:rsidR="00833824" w:rsidRDefault="00833824" w:rsidP="00833824">
      <w:pPr>
        <w:pStyle w:val="Heading1"/>
        <w:jc w:val="both"/>
      </w:pPr>
      <w:r w:rsidRPr="00E05A22">
        <w:t xml:space="preserve">Conclusions </w:t>
      </w:r>
    </w:p>
    <w:p w14:paraId="5A156183" w14:textId="63B9BEB3" w:rsidR="0082179E" w:rsidRDefault="00833824" w:rsidP="00EF5DA3">
      <w:pPr>
        <w:jc w:val="both"/>
        <w:rPr>
          <w:lang w:val="en-GB"/>
        </w:rPr>
      </w:pPr>
      <w:r>
        <w:rPr>
          <w:lang w:val="en-GB"/>
        </w:rPr>
        <w:t xml:space="preserve">To summarize, </w:t>
      </w:r>
      <w:r w:rsidR="00843453">
        <w:rPr>
          <w:lang w:val="en-GB"/>
        </w:rPr>
        <w:t xml:space="preserve">we </w:t>
      </w:r>
      <w:r w:rsidR="0082179E">
        <w:rPr>
          <w:lang w:val="en-GB"/>
        </w:rPr>
        <w:t>discussed the need for subband indication of PUSCH precoder, the need for UE-side TX/RX calibration, and the validation of concurrent signaling of SRIs.  We made following observation.</w:t>
      </w:r>
    </w:p>
    <w:p w14:paraId="151A8089" w14:textId="59952F03" w:rsidR="00281237" w:rsidRDefault="005B1C95">
      <w:pPr>
        <w:pStyle w:val="TableofFigures"/>
        <w:tabs>
          <w:tab w:val="left" w:pos="1701"/>
          <w:tab w:val="right" w:leader="dot" w:pos="9962"/>
        </w:tabs>
        <w:rPr>
          <w:rFonts w:asciiTheme="minorHAnsi" w:eastAsiaTheme="minorEastAsia" w:hAnsiTheme="minorHAnsi" w:cstheme="minorBidi"/>
          <w:b w:val="0"/>
          <w:i w:val="0"/>
          <w:noProof/>
          <w:sz w:val="22"/>
          <w:szCs w:val="22"/>
          <w:lang w:eastAsia="zh-CN"/>
        </w:rPr>
      </w:pPr>
      <w:r>
        <w:rPr>
          <w:bCs/>
          <w:lang w:val="en-GB"/>
        </w:rPr>
        <w:fldChar w:fldCharType="begin"/>
      </w:r>
      <w:r>
        <w:rPr>
          <w:bCs/>
          <w:lang w:val="en-GB"/>
        </w:rPr>
        <w:instrText xml:space="preserve"> TOC \n \p " " \h \z \c "Observation" </w:instrText>
      </w:r>
      <w:r>
        <w:rPr>
          <w:bCs/>
          <w:lang w:val="en-GB"/>
        </w:rPr>
        <w:fldChar w:fldCharType="separate"/>
      </w:r>
      <w:hyperlink w:anchor="_Toc492904851" w:history="1">
        <w:r w:rsidR="00281237" w:rsidRPr="00BC4FA2">
          <w:rPr>
            <w:rStyle w:val="Hyperlink"/>
            <w:noProof/>
          </w:rPr>
          <w:t xml:space="preserve">Observation 1: </w:t>
        </w:r>
        <w:r w:rsidR="00281237">
          <w:rPr>
            <w:rFonts w:asciiTheme="minorHAnsi" w:eastAsiaTheme="minorEastAsia" w:hAnsiTheme="minorHAnsi" w:cstheme="minorBidi"/>
            <w:b w:val="0"/>
            <w:i w:val="0"/>
            <w:noProof/>
            <w:sz w:val="22"/>
            <w:szCs w:val="22"/>
            <w:lang w:eastAsia="zh-CN"/>
          </w:rPr>
          <w:tab/>
        </w:r>
        <w:r w:rsidR="00281237" w:rsidRPr="00BC4FA2">
          <w:rPr>
            <w:rStyle w:val="Hyperlink"/>
            <w:noProof/>
          </w:rPr>
          <w:t>For Alt-1, indicating SRIs for each subband is not needed for signaling PUSCH subband precoding.</w:t>
        </w:r>
      </w:hyperlink>
    </w:p>
    <w:p w14:paraId="34C1C92F" w14:textId="76525A67" w:rsidR="00281237" w:rsidRDefault="00281237">
      <w:pPr>
        <w:pStyle w:val="TableofFigures"/>
        <w:tabs>
          <w:tab w:val="left" w:pos="1701"/>
          <w:tab w:val="right" w:leader="dot" w:pos="9962"/>
        </w:tabs>
        <w:rPr>
          <w:rFonts w:asciiTheme="minorHAnsi" w:eastAsiaTheme="minorEastAsia" w:hAnsiTheme="minorHAnsi" w:cstheme="minorBidi"/>
          <w:b w:val="0"/>
          <w:i w:val="0"/>
          <w:noProof/>
          <w:sz w:val="22"/>
          <w:szCs w:val="22"/>
          <w:lang w:eastAsia="zh-CN"/>
        </w:rPr>
      </w:pPr>
      <w:hyperlink w:anchor="_Toc492904852" w:history="1">
        <w:r w:rsidRPr="00BC4FA2">
          <w:rPr>
            <w:rStyle w:val="Hyperlink"/>
            <w:noProof/>
          </w:rPr>
          <w:t xml:space="preserve">Observation 2: </w:t>
        </w:r>
        <w:r>
          <w:rPr>
            <w:rFonts w:asciiTheme="minorHAnsi" w:eastAsiaTheme="minorEastAsia" w:hAnsiTheme="minorHAnsi" w:cstheme="minorBidi"/>
            <w:b w:val="0"/>
            <w:i w:val="0"/>
            <w:noProof/>
            <w:sz w:val="22"/>
            <w:szCs w:val="22"/>
            <w:lang w:eastAsia="zh-CN"/>
          </w:rPr>
          <w:tab/>
        </w:r>
        <w:r w:rsidRPr="00BC4FA2">
          <w:rPr>
            <w:rStyle w:val="Hyperlink"/>
            <w:noProof/>
          </w:rPr>
          <w:t>For Alt-1, wideband indication of PUSCH subband precoder does not necessarily mean subband SRS precoding in the same symbol.</w:t>
        </w:r>
      </w:hyperlink>
    </w:p>
    <w:p w14:paraId="094FF083" w14:textId="031104EA" w:rsidR="00281237" w:rsidRDefault="00281237">
      <w:pPr>
        <w:pStyle w:val="TableofFigures"/>
        <w:tabs>
          <w:tab w:val="left" w:pos="1701"/>
          <w:tab w:val="right" w:leader="dot" w:pos="9962"/>
        </w:tabs>
        <w:rPr>
          <w:rFonts w:asciiTheme="minorHAnsi" w:eastAsiaTheme="minorEastAsia" w:hAnsiTheme="minorHAnsi" w:cstheme="minorBidi"/>
          <w:b w:val="0"/>
          <w:i w:val="0"/>
          <w:noProof/>
          <w:sz w:val="22"/>
          <w:szCs w:val="22"/>
          <w:lang w:eastAsia="zh-CN"/>
        </w:rPr>
      </w:pPr>
      <w:hyperlink w:anchor="_Toc492904853" w:history="1">
        <w:r w:rsidRPr="00BC4FA2">
          <w:rPr>
            <w:rStyle w:val="Hyperlink"/>
            <w:noProof/>
          </w:rPr>
          <w:t xml:space="preserve">Observation 3: </w:t>
        </w:r>
        <w:r>
          <w:rPr>
            <w:rFonts w:asciiTheme="minorHAnsi" w:eastAsiaTheme="minorEastAsia" w:hAnsiTheme="minorHAnsi" w:cstheme="minorBidi"/>
            <w:b w:val="0"/>
            <w:i w:val="0"/>
            <w:noProof/>
            <w:sz w:val="22"/>
            <w:szCs w:val="22"/>
            <w:lang w:eastAsia="zh-CN"/>
          </w:rPr>
          <w:tab/>
        </w:r>
        <w:r w:rsidRPr="00BC4FA2">
          <w:rPr>
            <w:rStyle w:val="Hyperlink"/>
            <w:noProof/>
          </w:rPr>
          <w:t>UE side TX/RX calibration is needed for exploiting channel reciprocity in UL MIMO transmission.</w:t>
        </w:r>
      </w:hyperlink>
    </w:p>
    <w:p w14:paraId="5ACA7C4C" w14:textId="05692FAB" w:rsidR="00281237" w:rsidRDefault="00281237">
      <w:pPr>
        <w:pStyle w:val="TableofFigures"/>
        <w:tabs>
          <w:tab w:val="left" w:pos="1701"/>
          <w:tab w:val="right" w:leader="dot" w:pos="9962"/>
        </w:tabs>
        <w:rPr>
          <w:rFonts w:asciiTheme="minorHAnsi" w:eastAsiaTheme="minorEastAsia" w:hAnsiTheme="minorHAnsi" w:cstheme="minorBidi"/>
          <w:b w:val="0"/>
          <w:i w:val="0"/>
          <w:noProof/>
          <w:sz w:val="22"/>
          <w:szCs w:val="22"/>
          <w:lang w:eastAsia="zh-CN"/>
        </w:rPr>
      </w:pPr>
      <w:hyperlink w:anchor="_Toc492904854" w:history="1">
        <w:r w:rsidRPr="00BC4FA2">
          <w:rPr>
            <w:rStyle w:val="Hyperlink"/>
            <w:noProof/>
          </w:rPr>
          <w:t xml:space="preserve">Observation 4: </w:t>
        </w:r>
        <w:r>
          <w:rPr>
            <w:rFonts w:asciiTheme="minorHAnsi" w:eastAsiaTheme="minorEastAsia" w:hAnsiTheme="minorHAnsi" w:cstheme="minorBidi"/>
            <w:b w:val="0"/>
            <w:i w:val="0"/>
            <w:noProof/>
            <w:sz w:val="22"/>
            <w:szCs w:val="22"/>
            <w:lang w:eastAsia="zh-CN"/>
          </w:rPr>
          <w:tab/>
        </w:r>
        <w:r w:rsidRPr="00BC4FA2">
          <w:rPr>
            <w:rStyle w:val="Hyperlink"/>
            <w:noProof/>
          </w:rPr>
          <w:t>Observation 1: Depending on UE implementation, some combinations of SRIs for indicating PUSCH precoding should be avoided.</w:t>
        </w:r>
      </w:hyperlink>
    </w:p>
    <w:p w14:paraId="323ED7D0" w14:textId="7682A9D7" w:rsidR="00212A20" w:rsidRPr="009C6A4F" w:rsidRDefault="005B1C95" w:rsidP="00DF2A9C">
      <w:r>
        <w:rPr>
          <w:lang w:val="en-GB"/>
        </w:rPr>
        <w:fldChar w:fldCharType="end"/>
      </w:r>
      <w:r w:rsidR="005F2946" w:rsidRPr="009C6A4F">
        <w:t xml:space="preserve">Our </w:t>
      </w:r>
      <w:r w:rsidR="00843453" w:rsidRPr="009C6A4F">
        <w:t xml:space="preserve">proposal </w:t>
      </w:r>
      <w:r w:rsidR="002B2338" w:rsidRPr="009C6A4F">
        <w:t>is given below:</w:t>
      </w:r>
    </w:p>
    <w:p w14:paraId="7EEBC2B8" w14:textId="08BC87B1" w:rsidR="00281237" w:rsidRDefault="00685A2F">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r>
        <w:fldChar w:fldCharType="begin"/>
      </w:r>
      <w:r>
        <w:instrText xml:space="preserve"> TOC \f P \n \h \z \t "Proposal" \c "Proposal" </w:instrText>
      </w:r>
      <w:r>
        <w:fldChar w:fldCharType="separate"/>
      </w:r>
      <w:hyperlink w:anchor="_Toc492904855" w:history="1">
        <w:r w:rsidR="00281237" w:rsidRPr="00B44140">
          <w:rPr>
            <w:rStyle w:val="Hyperlink"/>
            <w:rFonts w:eastAsia="MS Mincho"/>
            <w:noProof/>
            <w:lang w:eastAsia="ja-JP"/>
          </w:rPr>
          <w:t>Proposal 1:</w:t>
        </w:r>
        <w:r w:rsidR="00281237">
          <w:rPr>
            <w:rFonts w:asciiTheme="minorHAnsi" w:eastAsiaTheme="minorEastAsia" w:hAnsiTheme="minorHAnsi" w:cstheme="minorBidi"/>
            <w:b w:val="0"/>
            <w:i w:val="0"/>
            <w:noProof/>
            <w:sz w:val="22"/>
            <w:szCs w:val="22"/>
            <w:lang w:eastAsia="zh-CN"/>
          </w:rPr>
          <w:tab/>
        </w:r>
        <w:r w:rsidR="00281237" w:rsidRPr="00B44140">
          <w:rPr>
            <w:rStyle w:val="Hyperlink"/>
            <w:rFonts w:eastAsia="MS Mincho"/>
            <w:noProof/>
            <w:lang w:eastAsia="ja-JP"/>
          </w:rPr>
          <w:t>Subband indication is not supported for PUSCH precoder determination in non-codebook-based UL MIMO.</w:t>
        </w:r>
      </w:hyperlink>
    </w:p>
    <w:p w14:paraId="359A0D59" w14:textId="0D7D8FE5" w:rsidR="00281237" w:rsidRDefault="00281237">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492904856" w:history="1">
        <w:r w:rsidRPr="00B44140">
          <w:rPr>
            <w:rStyle w:val="Hyperlink"/>
            <w:rFonts w:eastAsia="MS Mincho"/>
            <w:noProof/>
            <w:lang w:eastAsia="ja-JP"/>
          </w:rPr>
          <w:t>Proposal 2:</w:t>
        </w:r>
        <w:r>
          <w:rPr>
            <w:rFonts w:asciiTheme="minorHAnsi" w:eastAsiaTheme="minorEastAsia" w:hAnsiTheme="minorHAnsi" w:cstheme="minorBidi"/>
            <w:b w:val="0"/>
            <w:i w:val="0"/>
            <w:noProof/>
            <w:sz w:val="22"/>
            <w:szCs w:val="22"/>
            <w:lang w:eastAsia="zh-CN"/>
          </w:rPr>
          <w:tab/>
        </w:r>
        <w:r w:rsidRPr="00B44140">
          <w:rPr>
            <w:rStyle w:val="Hyperlink"/>
            <w:rFonts w:eastAsia="MS Mincho"/>
            <w:noProof/>
            <w:lang w:eastAsia="ja-JP"/>
          </w:rPr>
          <w:t>Decide in RAN1#90bis if any specific signaling is supported in NR Rel-15 for UE side TX/RX calibration.</w:t>
        </w:r>
      </w:hyperlink>
    </w:p>
    <w:p w14:paraId="3ED7F1F3" w14:textId="77777777" w:rsidR="00281237" w:rsidRDefault="00281237">
      <w:pPr>
        <w:pStyle w:val="TableofFigures"/>
        <w:tabs>
          <w:tab w:val="left" w:pos="1418"/>
          <w:tab w:val="right" w:leader="dot" w:pos="9962"/>
        </w:tabs>
        <w:rPr>
          <w:rStyle w:val="Hyperlink"/>
          <w:noProof/>
        </w:rPr>
        <w:sectPr w:rsidR="00281237" w:rsidSect="009C6A4F">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pPr>
      <w:hyperlink w:anchor="_Toc492904857" w:history="1">
        <w:r w:rsidRPr="00B44140">
          <w:rPr>
            <w:rStyle w:val="Hyperlink"/>
            <w:rFonts w:eastAsia="MS Mincho"/>
            <w:noProof/>
            <w:lang w:eastAsia="ja-JP"/>
          </w:rPr>
          <w:t>Proposal 3:</w:t>
        </w:r>
        <w:r>
          <w:rPr>
            <w:rFonts w:asciiTheme="minorHAnsi" w:eastAsiaTheme="minorEastAsia" w:hAnsiTheme="minorHAnsi" w:cstheme="minorBidi"/>
            <w:b w:val="0"/>
            <w:i w:val="0"/>
            <w:noProof/>
            <w:sz w:val="22"/>
            <w:szCs w:val="22"/>
            <w:lang w:eastAsia="zh-CN"/>
          </w:rPr>
          <w:tab/>
        </w:r>
        <w:r w:rsidRPr="00B44140">
          <w:rPr>
            <w:rStyle w:val="Hyperlink"/>
            <w:rFonts w:eastAsia="MS Mincho"/>
            <w:noProof/>
            <w:lang w:eastAsia="ja-JP"/>
          </w:rPr>
          <w:t>For PUSCH precoding indication, support signaling of SRS resource grouping information from UE to gNB.</w:t>
        </w:r>
      </w:hyperlink>
    </w:p>
    <w:p w14:paraId="1249A141" w14:textId="572EBB2C" w:rsidR="005F2946" w:rsidRDefault="00685A2F" w:rsidP="00DF2A9C">
      <w:pPr>
        <w:pStyle w:val="TableofProposal"/>
      </w:pPr>
      <w:r>
        <w:fldChar w:fldCharType="end"/>
      </w:r>
    </w:p>
    <w:p w14:paraId="59E71F76" w14:textId="4DFD2B98" w:rsidR="00B06054" w:rsidRDefault="00B06054" w:rsidP="00D94878">
      <w:pPr>
        <w:pStyle w:val="Heading1"/>
        <w:textAlignment w:val="auto"/>
        <w:rPr>
          <w:lang w:val="en-US"/>
        </w:rPr>
      </w:pPr>
      <w:r>
        <w:rPr>
          <w:lang w:val="en-US"/>
        </w:rPr>
        <w:t>References</w:t>
      </w:r>
    </w:p>
    <w:p w14:paraId="19BD9193" w14:textId="1D8D2B25" w:rsidR="0011034F" w:rsidRDefault="00D14BAE" w:rsidP="00613119">
      <w:pPr>
        <w:pStyle w:val="References"/>
        <w:numPr>
          <w:ilvl w:val="0"/>
          <w:numId w:val="4"/>
        </w:numPr>
        <w:snapToGrid/>
        <w:spacing w:after="80"/>
        <w:rPr>
          <w:rFonts w:ascii="Times New Roman" w:hAnsi="Times New Roman"/>
          <w:sz w:val="20"/>
          <w:szCs w:val="20"/>
          <w:lang w:val="en-GB"/>
        </w:rPr>
      </w:pPr>
      <w:bookmarkStart w:id="33" w:name="_Ref485362179"/>
      <w:r>
        <w:rPr>
          <w:rFonts w:ascii="Times New Roman" w:hAnsi="Times New Roman"/>
          <w:sz w:val="20"/>
          <w:szCs w:val="20"/>
          <w:lang w:val="en-GB"/>
        </w:rPr>
        <w:t>Final</w:t>
      </w:r>
      <w:r w:rsidR="00E65D9F">
        <w:rPr>
          <w:rFonts w:ascii="Times New Roman" w:hAnsi="Times New Roman"/>
          <w:sz w:val="20"/>
          <w:szCs w:val="20"/>
          <w:lang w:val="en-GB"/>
        </w:rPr>
        <w:t xml:space="preserve"> report of</w:t>
      </w:r>
      <w:r w:rsidR="00925B23">
        <w:rPr>
          <w:rFonts w:ascii="Times New Roman" w:hAnsi="Times New Roman"/>
          <w:sz w:val="20"/>
          <w:szCs w:val="20"/>
          <w:lang w:val="en-GB"/>
        </w:rPr>
        <w:t xml:space="preserve"> 3GPP TSG RAN WG1 </w:t>
      </w:r>
      <w:r w:rsidR="00250D13">
        <w:rPr>
          <w:rFonts w:ascii="Times New Roman" w:hAnsi="Times New Roman"/>
          <w:sz w:val="20"/>
          <w:szCs w:val="20"/>
          <w:lang w:val="en-GB"/>
        </w:rPr>
        <w:t>NR Ad-Hoc #2</w:t>
      </w:r>
      <w:r w:rsidR="00925B23">
        <w:rPr>
          <w:rFonts w:ascii="Times New Roman" w:hAnsi="Times New Roman"/>
          <w:sz w:val="20"/>
          <w:szCs w:val="20"/>
          <w:lang w:val="en-GB"/>
        </w:rPr>
        <w:t>.</w:t>
      </w:r>
      <w:bookmarkStart w:id="34" w:name="_Ref450583331"/>
      <w:bookmarkEnd w:id="33"/>
      <w:bookmarkEnd w:id="34"/>
    </w:p>
    <w:p w14:paraId="21D95994" w14:textId="17191CAA" w:rsidR="00D14BAE" w:rsidRDefault="00D14BAE" w:rsidP="00613119">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Draft report of 3GPP TSG RAN WG1 #90.</w:t>
      </w:r>
    </w:p>
    <w:p w14:paraId="396D721C" w14:textId="2C950F23" w:rsidR="00D14BAE" w:rsidRDefault="00D14BAE" w:rsidP="00D14BAE">
      <w:pPr>
        <w:pStyle w:val="References"/>
        <w:numPr>
          <w:ilvl w:val="0"/>
          <w:numId w:val="4"/>
        </w:numPr>
        <w:snapToGrid/>
        <w:spacing w:after="80"/>
        <w:rPr>
          <w:rFonts w:ascii="Times New Roman" w:hAnsi="Times New Roman"/>
          <w:sz w:val="20"/>
          <w:szCs w:val="20"/>
          <w:lang w:val="en-GB"/>
        </w:rPr>
      </w:pPr>
      <w:r w:rsidRPr="00D14BAE">
        <w:rPr>
          <w:rFonts w:ascii="Times New Roman" w:hAnsi="Times New Roman"/>
          <w:sz w:val="20"/>
          <w:szCs w:val="20"/>
          <w:lang w:val="en-GB"/>
        </w:rPr>
        <w:t>R1-1713388</w:t>
      </w:r>
      <w:r>
        <w:rPr>
          <w:rFonts w:ascii="Times New Roman" w:hAnsi="Times New Roman"/>
          <w:sz w:val="20"/>
          <w:szCs w:val="20"/>
          <w:lang w:val="en-GB"/>
        </w:rPr>
        <w:t xml:space="preserve">, “Non-codebook based UL transmission,” </w:t>
      </w:r>
      <w:r w:rsidRPr="00D14BAE">
        <w:rPr>
          <w:rFonts w:ascii="Times New Roman" w:hAnsi="Times New Roman"/>
          <w:sz w:val="20"/>
          <w:szCs w:val="20"/>
          <w:lang w:val="en-GB"/>
        </w:rPr>
        <w:t>Qualcomm Incorporated</w:t>
      </w:r>
      <w:r>
        <w:rPr>
          <w:rFonts w:ascii="Times New Roman" w:hAnsi="Times New Roman"/>
          <w:sz w:val="20"/>
          <w:szCs w:val="20"/>
          <w:lang w:val="en-GB"/>
        </w:rPr>
        <w:t>.</w:t>
      </w:r>
    </w:p>
    <w:p w14:paraId="1EB5C6C9" w14:textId="77777777" w:rsidR="00B310A6" w:rsidRPr="00B24305" w:rsidRDefault="00B310A6" w:rsidP="00B310A6">
      <w:pPr>
        <w:pStyle w:val="References"/>
        <w:numPr>
          <w:ilvl w:val="0"/>
          <w:numId w:val="4"/>
        </w:numPr>
        <w:snapToGrid/>
        <w:spacing w:after="80"/>
        <w:rPr>
          <w:rFonts w:ascii="Times New Roman" w:hAnsi="Times New Roman"/>
          <w:sz w:val="20"/>
          <w:szCs w:val="20"/>
          <w:lang w:val="en-GB"/>
        </w:rPr>
      </w:pPr>
      <w:bookmarkStart w:id="35" w:name="_Ref462653207"/>
      <w:r w:rsidRPr="00B24305">
        <w:rPr>
          <w:rFonts w:ascii="Times New Roman" w:hAnsi="Times New Roman"/>
          <w:sz w:val="20"/>
          <w:szCs w:val="20"/>
          <w:lang w:val="en-GB"/>
        </w:rPr>
        <w:t>R1-100427, “Antenna array calibration for TDD CoMP,” Alcatel-Lucent Shanghai Bell, Alcatel-Lucent.</w:t>
      </w:r>
      <w:bookmarkEnd w:id="35"/>
    </w:p>
    <w:p w14:paraId="6D727A9E" w14:textId="375E58CB" w:rsidR="00B310A6" w:rsidRPr="00B310A6" w:rsidRDefault="00B310A6">
      <w:pPr>
        <w:pStyle w:val="References"/>
        <w:numPr>
          <w:ilvl w:val="0"/>
          <w:numId w:val="4"/>
        </w:numPr>
        <w:snapToGrid/>
        <w:spacing w:after="80"/>
        <w:rPr>
          <w:rFonts w:ascii="Times New Roman" w:hAnsi="Times New Roman"/>
          <w:sz w:val="20"/>
          <w:szCs w:val="20"/>
          <w:lang w:val="en-GB"/>
        </w:rPr>
      </w:pPr>
      <w:bookmarkStart w:id="36" w:name="_Ref462664409"/>
      <w:r w:rsidRPr="00B24305">
        <w:rPr>
          <w:rFonts w:ascii="Times New Roman" w:hAnsi="Times New Roman"/>
          <w:sz w:val="20"/>
          <w:szCs w:val="20"/>
          <w:lang w:val="en-GB"/>
        </w:rPr>
        <w:t>R1-</w:t>
      </w:r>
      <w:r>
        <w:rPr>
          <w:rFonts w:ascii="Times New Roman" w:hAnsi="Times New Roman"/>
          <w:sz w:val="20"/>
          <w:szCs w:val="20"/>
          <w:lang w:val="en-GB"/>
        </w:rPr>
        <w:t>1700799</w:t>
      </w:r>
      <w:r w:rsidRPr="00B24305">
        <w:rPr>
          <w:rFonts w:ascii="Times New Roman" w:hAnsi="Times New Roman"/>
          <w:sz w:val="20"/>
          <w:szCs w:val="20"/>
          <w:lang w:val="en-GB"/>
        </w:rPr>
        <w:t>, “</w:t>
      </w:r>
      <w:r>
        <w:rPr>
          <w:rFonts w:ascii="Times New Roman" w:hAnsi="Times New Roman"/>
          <w:sz w:val="20"/>
          <w:szCs w:val="20"/>
          <w:lang w:val="en-GB"/>
        </w:rPr>
        <w:t>Network OTA reciprocity calibration and phase synchronization,” Qualcomm Incorporated</w:t>
      </w:r>
      <w:r w:rsidRPr="00B24305">
        <w:rPr>
          <w:rFonts w:ascii="Times New Roman" w:hAnsi="Times New Roman"/>
          <w:sz w:val="20"/>
          <w:szCs w:val="20"/>
          <w:lang w:val="en-GB"/>
        </w:rPr>
        <w:t>.</w:t>
      </w:r>
      <w:bookmarkEnd w:id="36"/>
    </w:p>
    <w:sectPr w:rsidR="00B310A6" w:rsidRPr="00B310A6" w:rsidSect="0028123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12D53" w14:textId="77777777" w:rsidR="0051574E" w:rsidRDefault="0051574E">
      <w:r>
        <w:separator/>
      </w:r>
    </w:p>
  </w:endnote>
  <w:endnote w:type="continuationSeparator" w:id="0">
    <w:p w14:paraId="5A7E5DAF" w14:textId="77777777" w:rsidR="0051574E" w:rsidRDefault="0051574E">
      <w:r>
        <w:continuationSeparator/>
      </w:r>
    </w:p>
  </w:endnote>
  <w:endnote w:type="continuationNotice" w:id="1">
    <w:p w14:paraId="7F262A01" w14:textId="77777777" w:rsidR="0051574E" w:rsidRDefault="00515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0BB" w14:textId="77777777" w:rsidR="009B0EA8" w:rsidRDefault="009B0E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9B0EA8" w:rsidRDefault="009B0E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10E00" w14:textId="6BF3745D" w:rsidR="009B0EA8" w:rsidRDefault="009B0E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F2A9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2A9C">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2C884" w14:textId="77777777" w:rsidR="0051574E" w:rsidRDefault="0051574E">
      <w:r>
        <w:separator/>
      </w:r>
    </w:p>
  </w:footnote>
  <w:footnote w:type="continuationSeparator" w:id="0">
    <w:p w14:paraId="02D8CEC8" w14:textId="77777777" w:rsidR="0051574E" w:rsidRDefault="0051574E">
      <w:r>
        <w:continuationSeparator/>
      </w:r>
    </w:p>
  </w:footnote>
  <w:footnote w:type="continuationNotice" w:id="1">
    <w:p w14:paraId="4C75CF05" w14:textId="77777777" w:rsidR="0051574E" w:rsidRDefault="005157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67E5C" w14:textId="77777777" w:rsidR="009B0EA8" w:rsidRDefault="009B0E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7273E7"/>
    <w:multiLevelType w:val="hybridMultilevel"/>
    <w:tmpl w:val="8F368F2C"/>
    <w:lvl w:ilvl="0" w:tplc="1CC05654">
      <w:start w:val="1"/>
      <w:numFmt w:val="bullet"/>
      <w:lvlText w:val="•"/>
      <w:lvlJc w:val="left"/>
      <w:pPr>
        <w:tabs>
          <w:tab w:val="num" w:pos="720"/>
        </w:tabs>
        <w:ind w:left="720" w:hanging="360"/>
      </w:pPr>
      <w:rPr>
        <w:rFonts w:ascii="Arial" w:hAnsi="Arial" w:hint="default"/>
      </w:rPr>
    </w:lvl>
    <w:lvl w:ilvl="1" w:tplc="37D2EE6A">
      <w:numFmt w:val="bullet"/>
      <w:lvlText w:val="–"/>
      <w:lvlJc w:val="left"/>
      <w:pPr>
        <w:tabs>
          <w:tab w:val="num" w:pos="1440"/>
        </w:tabs>
        <w:ind w:left="1440" w:hanging="360"/>
      </w:pPr>
      <w:rPr>
        <w:rFonts w:ascii="Arial" w:hAnsi="Arial" w:hint="default"/>
      </w:rPr>
    </w:lvl>
    <w:lvl w:ilvl="2" w:tplc="F45862B8" w:tentative="1">
      <w:start w:val="1"/>
      <w:numFmt w:val="bullet"/>
      <w:lvlText w:val="•"/>
      <w:lvlJc w:val="left"/>
      <w:pPr>
        <w:tabs>
          <w:tab w:val="num" w:pos="2160"/>
        </w:tabs>
        <w:ind w:left="2160" w:hanging="360"/>
      </w:pPr>
      <w:rPr>
        <w:rFonts w:ascii="Arial" w:hAnsi="Arial" w:hint="default"/>
      </w:rPr>
    </w:lvl>
    <w:lvl w:ilvl="3" w:tplc="C938E7D4" w:tentative="1">
      <w:start w:val="1"/>
      <w:numFmt w:val="bullet"/>
      <w:lvlText w:val="•"/>
      <w:lvlJc w:val="left"/>
      <w:pPr>
        <w:tabs>
          <w:tab w:val="num" w:pos="2880"/>
        </w:tabs>
        <w:ind w:left="2880" w:hanging="360"/>
      </w:pPr>
      <w:rPr>
        <w:rFonts w:ascii="Arial" w:hAnsi="Arial" w:hint="default"/>
      </w:rPr>
    </w:lvl>
    <w:lvl w:ilvl="4" w:tplc="314A2958" w:tentative="1">
      <w:start w:val="1"/>
      <w:numFmt w:val="bullet"/>
      <w:lvlText w:val="•"/>
      <w:lvlJc w:val="left"/>
      <w:pPr>
        <w:tabs>
          <w:tab w:val="num" w:pos="3600"/>
        </w:tabs>
        <w:ind w:left="3600" w:hanging="360"/>
      </w:pPr>
      <w:rPr>
        <w:rFonts w:ascii="Arial" w:hAnsi="Arial" w:hint="default"/>
      </w:rPr>
    </w:lvl>
    <w:lvl w:ilvl="5" w:tplc="70B662A2" w:tentative="1">
      <w:start w:val="1"/>
      <w:numFmt w:val="bullet"/>
      <w:lvlText w:val="•"/>
      <w:lvlJc w:val="left"/>
      <w:pPr>
        <w:tabs>
          <w:tab w:val="num" w:pos="4320"/>
        </w:tabs>
        <w:ind w:left="4320" w:hanging="360"/>
      </w:pPr>
      <w:rPr>
        <w:rFonts w:ascii="Arial" w:hAnsi="Arial" w:hint="default"/>
      </w:rPr>
    </w:lvl>
    <w:lvl w:ilvl="6" w:tplc="370C170C" w:tentative="1">
      <w:start w:val="1"/>
      <w:numFmt w:val="bullet"/>
      <w:lvlText w:val="•"/>
      <w:lvlJc w:val="left"/>
      <w:pPr>
        <w:tabs>
          <w:tab w:val="num" w:pos="5040"/>
        </w:tabs>
        <w:ind w:left="5040" w:hanging="360"/>
      </w:pPr>
      <w:rPr>
        <w:rFonts w:ascii="Arial" w:hAnsi="Arial" w:hint="default"/>
      </w:rPr>
    </w:lvl>
    <w:lvl w:ilvl="7" w:tplc="7270C928" w:tentative="1">
      <w:start w:val="1"/>
      <w:numFmt w:val="bullet"/>
      <w:lvlText w:val="•"/>
      <w:lvlJc w:val="left"/>
      <w:pPr>
        <w:tabs>
          <w:tab w:val="num" w:pos="5760"/>
        </w:tabs>
        <w:ind w:left="5760" w:hanging="360"/>
      </w:pPr>
      <w:rPr>
        <w:rFonts w:ascii="Arial" w:hAnsi="Arial" w:hint="default"/>
      </w:rPr>
    </w:lvl>
    <w:lvl w:ilvl="8" w:tplc="AE6E4E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4C453B"/>
    <w:multiLevelType w:val="hybridMultilevel"/>
    <w:tmpl w:val="7FF07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953C45"/>
    <w:multiLevelType w:val="hybridMultilevel"/>
    <w:tmpl w:val="664A9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F30142"/>
    <w:multiLevelType w:val="hybridMultilevel"/>
    <w:tmpl w:val="0396F9B4"/>
    <w:lvl w:ilvl="0" w:tplc="FDAA052E">
      <w:start w:val="2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06DEE"/>
    <w:multiLevelType w:val="hybridMultilevel"/>
    <w:tmpl w:val="664A9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F2643"/>
    <w:multiLevelType w:val="hybridMultilevel"/>
    <w:tmpl w:val="7E66979C"/>
    <w:lvl w:ilvl="0" w:tplc="98CC5D9A">
      <w:start w:val="1"/>
      <w:numFmt w:val="decimal"/>
      <w:lvlText w:val="Proposal %1:"/>
      <w:lvlJc w:val="left"/>
      <w:pPr>
        <w:ind w:left="720" w:hanging="360"/>
      </w:pPr>
      <w:rPr>
        <w:rFonts w:hint="eastAsia"/>
      </w:rPr>
    </w:lvl>
    <w:lvl w:ilvl="1" w:tplc="98CC5D9A">
      <w:start w:val="1"/>
      <w:numFmt w:val="decimal"/>
      <w:lvlText w:val="Proposal %2:"/>
      <w:lvlJc w:val="left"/>
      <w:pPr>
        <w:ind w:left="1440" w:hanging="360"/>
      </w:pPr>
      <w:rPr>
        <w:rFonts w:hint="eastAsia"/>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8C2D3D"/>
    <w:multiLevelType w:val="hybridMultilevel"/>
    <w:tmpl w:val="E0FE057E"/>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B14C79"/>
    <w:multiLevelType w:val="hybridMultilevel"/>
    <w:tmpl w:val="950EB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682170"/>
    <w:multiLevelType w:val="hybridMultilevel"/>
    <w:tmpl w:val="EA24ED0C"/>
    <w:lvl w:ilvl="0" w:tplc="7292D1F2">
      <w:start w:val="1"/>
      <w:numFmt w:val="bullet"/>
      <w:lvlText w:val="•"/>
      <w:lvlJc w:val="left"/>
      <w:pPr>
        <w:tabs>
          <w:tab w:val="num" w:pos="720"/>
        </w:tabs>
        <w:ind w:left="720" w:hanging="360"/>
      </w:pPr>
      <w:rPr>
        <w:rFonts w:ascii="Arial" w:hAnsi="Arial" w:hint="default"/>
      </w:rPr>
    </w:lvl>
    <w:lvl w:ilvl="1" w:tplc="E93E6F8E" w:tentative="1">
      <w:start w:val="1"/>
      <w:numFmt w:val="bullet"/>
      <w:lvlText w:val="•"/>
      <w:lvlJc w:val="left"/>
      <w:pPr>
        <w:tabs>
          <w:tab w:val="num" w:pos="1440"/>
        </w:tabs>
        <w:ind w:left="1440" w:hanging="360"/>
      </w:pPr>
      <w:rPr>
        <w:rFonts w:ascii="Arial" w:hAnsi="Arial" w:hint="default"/>
      </w:rPr>
    </w:lvl>
    <w:lvl w:ilvl="2" w:tplc="2D6CDF92">
      <w:start w:val="1"/>
      <w:numFmt w:val="bullet"/>
      <w:lvlText w:val="•"/>
      <w:lvlJc w:val="left"/>
      <w:pPr>
        <w:tabs>
          <w:tab w:val="num" w:pos="2160"/>
        </w:tabs>
        <w:ind w:left="2160" w:hanging="360"/>
      </w:pPr>
      <w:rPr>
        <w:rFonts w:ascii="Arial" w:hAnsi="Arial" w:hint="default"/>
      </w:rPr>
    </w:lvl>
    <w:lvl w:ilvl="3" w:tplc="A448F3DA" w:tentative="1">
      <w:start w:val="1"/>
      <w:numFmt w:val="bullet"/>
      <w:lvlText w:val="•"/>
      <w:lvlJc w:val="left"/>
      <w:pPr>
        <w:tabs>
          <w:tab w:val="num" w:pos="2880"/>
        </w:tabs>
        <w:ind w:left="2880" w:hanging="360"/>
      </w:pPr>
      <w:rPr>
        <w:rFonts w:ascii="Arial" w:hAnsi="Arial" w:hint="default"/>
      </w:rPr>
    </w:lvl>
    <w:lvl w:ilvl="4" w:tplc="A7E8027A" w:tentative="1">
      <w:start w:val="1"/>
      <w:numFmt w:val="bullet"/>
      <w:lvlText w:val="•"/>
      <w:lvlJc w:val="left"/>
      <w:pPr>
        <w:tabs>
          <w:tab w:val="num" w:pos="3600"/>
        </w:tabs>
        <w:ind w:left="3600" w:hanging="360"/>
      </w:pPr>
      <w:rPr>
        <w:rFonts w:ascii="Arial" w:hAnsi="Arial" w:hint="default"/>
      </w:rPr>
    </w:lvl>
    <w:lvl w:ilvl="5" w:tplc="5DB6AA00" w:tentative="1">
      <w:start w:val="1"/>
      <w:numFmt w:val="bullet"/>
      <w:lvlText w:val="•"/>
      <w:lvlJc w:val="left"/>
      <w:pPr>
        <w:tabs>
          <w:tab w:val="num" w:pos="4320"/>
        </w:tabs>
        <w:ind w:left="4320" w:hanging="360"/>
      </w:pPr>
      <w:rPr>
        <w:rFonts w:ascii="Arial" w:hAnsi="Arial" w:hint="default"/>
      </w:rPr>
    </w:lvl>
    <w:lvl w:ilvl="6" w:tplc="5B72C0CC" w:tentative="1">
      <w:start w:val="1"/>
      <w:numFmt w:val="bullet"/>
      <w:lvlText w:val="•"/>
      <w:lvlJc w:val="left"/>
      <w:pPr>
        <w:tabs>
          <w:tab w:val="num" w:pos="5040"/>
        </w:tabs>
        <w:ind w:left="5040" w:hanging="360"/>
      </w:pPr>
      <w:rPr>
        <w:rFonts w:ascii="Arial" w:hAnsi="Arial" w:hint="default"/>
      </w:rPr>
    </w:lvl>
    <w:lvl w:ilvl="7" w:tplc="0DEA266C" w:tentative="1">
      <w:start w:val="1"/>
      <w:numFmt w:val="bullet"/>
      <w:lvlText w:val="•"/>
      <w:lvlJc w:val="left"/>
      <w:pPr>
        <w:tabs>
          <w:tab w:val="num" w:pos="5760"/>
        </w:tabs>
        <w:ind w:left="5760" w:hanging="360"/>
      </w:pPr>
      <w:rPr>
        <w:rFonts w:ascii="Arial" w:hAnsi="Arial" w:hint="default"/>
      </w:rPr>
    </w:lvl>
    <w:lvl w:ilvl="8" w:tplc="72049D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086981"/>
    <w:multiLevelType w:val="hybridMultilevel"/>
    <w:tmpl w:val="29505210"/>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6C3C44"/>
    <w:multiLevelType w:val="hybridMultilevel"/>
    <w:tmpl w:val="60DAE4A8"/>
    <w:lvl w:ilvl="0" w:tplc="72E4F6D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7B0AFC"/>
    <w:multiLevelType w:val="hybridMultilevel"/>
    <w:tmpl w:val="E0FE057E"/>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0648ED"/>
    <w:multiLevelType w:val="hybridMultilevel"/>
    <w:tmpl w:val="BEB81B6E"/>
    <w:lvl w:ilvl="0" w:tplc="8FC4FE48">
      <w:start w:val="1"/>
      <w:numFmt w:val="decimal"/>
      <w:pStyle w:val="Propos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6"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6"/>
    <w:lvlOverride w:ilvl="0">
      <w:startOverride w:val="1"/>
    </w:lvlOverride>
  </w:num>
  <w:num w:numId="4">
    <w:abstractNumId w:val="25"/>
    <w:lvlOverride w:ilvl="0">
      <w:startOverride w:val="1"/>
    </w:lvlOverride>
  </w:num>
  <w:num w:numId="5">
    <w:abstractNumId w:val="7"/>
  </w:num>
  <w:num w:numId="6">
    <w:abstractNumId w:val="0"/>
  </w:num>
  <w:num w:numId="7">
    <w:abstractNumId w:val="26"/>
  </w:num>
  <w:num w:numId="8">
    <w:abstractNumId w:val="1"/>
  </w:num>
  <w:num w:numId="9">
    <w:abstractNumId w:val="3"/>
  </w:num>
  <w:num w:numId="10">
    <w:abstractNumId w:val="10"/>
  </w:num>
  <w:num w:numId="11">
    <w:abstractNumId w:val="6"/>
  </w:num>
  <w:num w:numId="12">
    <w:abstractNumId w:val="8"/>
  </w:num>
  <w:num w:numId="13">
    <w:abstractNumId w:val="23"/>
  </w:num>
  <w:num w:numId="14">
    <w:abstractNumId w:val="2"/>
  </w:num>
  <w:num w:numId="15">
    <w:abstractNumId w:val="17"/>
  </w:num>
  <w:num w:numId="16">
    <w:abstractNumId w:val="11"/>
  </w:num>
  <w:num w:numId="17">
    <w:abstractNumId w:val="5"/>
  </w:num>
  <w:num w:numId="18">
    <w:abstractNumId w:val="19"/>
  </w:num>
  <w:num w:numId="19">
    <w:abstractNumId w:val="15"/>
  </w:num>
  <w:num w:numId="20">
    <w:abstractNumId w:val="2"/>
  </w:num>
  <w:num w:numId="21">
    <w:abstractNumId w:val="22"/>
  </w:num>
  <w:num w:numId="22">
    <w:abstractNumId w:val="20"/>
  </w:num>
  <w:num w:numId="23">
    <w:abstractNumId w:val="12"/>
  </w:num>
  <w:num w:numId="24">
    <w:abstractNumId w:val="18"/>
  </w:num>
  <w:num w:numId="25">
    <w:abstractNumId w:val="9"/>
  </w:num>
  <w:num w:numId="26">
    <w:abstractNumId w:val="21"/>
  </w:num>
  <w:num w:numId="27">
    <w:abstractNumId w:val="14"/>
  </w:num>
  <w:num w:numId="28">
    <w:abstractNumId w:val="24"/>
  </w:num>
  <w:num w:numId="29">
    <w:abstractNumId w:val="24"/>
  </w:num>
  <w:num w:numId="30">
    <w:abstractNumId w:val="24"/>
  </w:num>
  <w:num w:numId="31">
    <w:abstractNumId w:val="24"/>
  </w:num>
  <w:num w:numId="3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5A65"/>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4EAE"/>
    <w:rsid w:val="00015BCB"/>
    <w:rsid w:val="00015CED"/>
    <w:rsid w:val="000162B2"/>
    <w:rsid w:val="0001645D"/>
    <w:rsid w:val="000164BB"/>
    <w:rsid w:val="000167A6"/>
    <w:rsid w:val="00016B74"/>
    <w:rsid w:val="00016DCE"/>
    <w:rsid w:val="00017309"/>
    <w:rsid w:val="0002002A"/>
    <w:rsid w:val="000205C1"/>
    <w:rsid w:val="0002079D"/>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1A9"/>
    <w:rsid w:val="0003723F"/>
    <w:rsid w:val="000377E3"/>
    <w:rsid w:val="00037A21"/>
    <w:rsid w:val="00037C2D"/>
    <w:rsid w:val="000402B6"/>
    <w:rsid w:val="000404F2"/>
    <w:rsid w:val="00040AAD"/>
    <w:rsid w:val="00040C15"/>
    <w:rsid w:val="00040D5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1FE"/>
    <w:rsid w:val="000472F3"/>
    <w:rsid w:val="000477BB"/>
    <w:rsid w:val="0004784D"/>
    <w:rsid w:val="00047A82"/>
    <w:rsid w:val="00047B11"/>
    <w:rsid w:val="00050335"/>
    <w:rsid w:val="0005055B"/>
    <w:rsid w:val="000505E0"/>
    <w:rsid w:val="00051135"/>
    <w:rsid w:val="000515F7"/>
    <w:rsid w:val="00051D51"/>
    <w:rsid w:val="0005201C"/>
    <w:rsid w:val="0005241E"/>
    <w:rsid w:val="00052422"/>
    <w:rsid w:val="000528D4"/>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C06"/>
    <w:rsid w:val="00057DF9"/>
    <w:rsid w:val="00057F68"/>
    <w:rsid w:val="00057F6C"/>
    <w:rsid w:val="00060586"/>
    <w:rsid w:val="000607DD"/>
    <w:rsid w:val="0006090A"/>
    <w:rsid w:val="00060986"/>
    <w:rsid w:val="00060FDB"/>
    <w:rsid w:val="000612C5"/>
    <w:rsid w:val="000613C1"/>
    <w:rsid w:val="000616E1"/>
    <w:rsid w:val="00061BDC"/>
    <w:rsid w:val="00061CE9"/>
    <w:rsid w:val="00061D2A"/>
    <w:rsid w:val="000621A9"/>
    <w:rsid w:val="000623BC"/>
    <w:rsid w:val="0006263A"/>
    <w:rsid w:val="00062D9A"/>
    <w:rsid w:val="000631CE"/>
    <w:rsid w:val="00063485"/>
    <w:rsid w:val="00063F57"/>
    <w:rsid w:val="000647B1"/>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5AA"/>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10F"/>
    <w:rsid w:val="000752CD"/>
    <w:rsid w:val="00075680"/>
    <w:rsid w:val="0007593F"/>
    <w:rsid w:val="00075999"/>
    <w:rsid w:val="00075AB6"/>
    <w:rsid w:val="00076408"/>
    <w:rsid w:val="00076608"/>
    <w:rsid w:val="00076B97"/>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99C"/>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16"/>
    <w:rsid w:val="00093566"/>
    <w:rsid w:val="00093853"/>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E8"/>
    <w:rsid w:val="000A0CA1"/>
    <w:rsid w:val="000A0E99"/>
    <w:rsid w:val="000A10A3"/>
    <w:rsid w:val="000A1AD3"/>
    <w:rsid w:val="000A1D49"/>
    <w:rsid w:val="000A23E5"/>
    <w:rsid w:val="000A26E4"/>
    <w:rsid w:val="000A2D70"/>
    <w:rsid w:val="000A31F7"/>
    <w:rsid w:val="000A3ACB"/>
    <w:rsid w:val="000A43AB"/>
    <w:rsid w:val="000A49DE"/>
    <w:rsid w:val="000A4B74"/>
    <w:rsid w:val="000A4FEA"/>
    <w:rsid w:val="000A52F5"/>
    <w:rsid w:val="000A54DF"/>
    <w:rsid w:val="000A5AD4"/>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28"/>
    <w:rsid w:val="000B3F37"/>
    <w:rsid w:val="000B4788"/>
    <w:rsid w:val="000B49D7"/>
    <w:rsid w:val="000B546F"/>
    <w:rsid w:val="000B6030"/>
    <w:rsid w:val="000B65BE"/>
    <w:rsid w:val="000B6BDF"/>
    <w:rsid w:val="000B6CCE"/>
    <w:rsid w:val="000B71B6"/>
    <w:rsid w:val="000B78D1"/>
    <w:rsid w:val="000B7B2B"/>
    <w:rsid w:val="000B7D5E"/>
    <w:rsid w:val="000C0B7B"/>
    <w:rsid w:val="000C133A"/>
    <w:rsid w:val="000C1545"/>
    <w:rsid w:val="000C1DBD"/>
    <w:rsid w:val="000C240A"/>
    <w:rsid w:val="000C2DE1"/>
    <w:rsid w:val="000C2E7E"/>
    <w:rsid w:val="000C393F"/>
    <w:rsid w:val="000C4065"/>
    <w:rsid w:val="000C4137"/>
    <w:rsid w:val="000C4538"/>
    <w:rsid w:val="000C4C76"/>
    <w:rsid w:val="000C5086"/>
    <w:rsid w:val="000C5759"/>
    <w:rsid w:val="000C5C2C"/>
    <w:rsid w:val="000C5E7D"/>
    <w:rsid w:val="000C673C"/>
    <w:rsid w:val="000C69F8"/>
    <w:rsid w:val="000C6A01"/>
    <w:rsid w:val="000C701A"/>
    <w:rsid w:val="000C71D9"/>
    <w:rsid w:val="000C7CCC"/>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D40"/>
    <w:rsid w:val="000E011D"/>
    <w:rsid w:val="000E03CF"/>
    <w:rsid w:val="000E0D89"/>
    <w:rsid w:val="000E1003"/>
    <w:rsid w:val="000E1313"/>
    <w:rsid w:val="000E14B9"/>
    <w:rsid w:val="000E182B"/>
    <w:rsid w:val="000E1E8E"/>
    <w:rsid w:val="000E1F00"/>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6CE"/>
    <w:rsid w:val="000E7F51"/>
    <w:rsid w:val="000F00D8"/>
    <w:rsid w:val="000F095B"/>
    <w:rsid w:val="000F13C4"/>
    <w:rsid w:val="000F13D7"/>
    <w:rsid w:val="000F17E4"/>
    <w:rsid w:val="000F1878"/>
    <w:rsid w:val="000F1CF3"/>
    <w:rsid w:val="000F1D5B"/>
    <w:rsid w:val="000F1F98"/>
    <w:rsid w:val="000F20CD"/>
    <w:rsid w:val="000F25B8"/>
    <w:rsid w:val="000F2965"/>
    <w:rsid w:val="000F2D0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EC5"/>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2A"/>
    <w:rsid w:val="0012636F"/>
    <w:rsid w:val="001268D1"/>
    <w:rsid w:val="001274AC"/>
    <w:rsid w:val="001275E6"/>
    <w:rsid w:val="00127DE2"/>
    <w:rsid w:val="00127F28"/>
    <w:rsid w:val="0013016D"/>
    <w:rsid w:val="00130714"/>
    <w:rsid w:val="00130953"/>
    <w:rsid w:val="00130BBD"/>
    <w:rsid w:val="00131468"/>
    <w:rsid w:val="00131683"/>
    <w:rsid w:val="00131AC6"/>
    <w:rsid w:val="001321CE"/>
    <w:rsid w:val="001322B0"/>
    <w:rsid w:val="001324CC"/>
    <w:rsid w:val="00132671"/>
    <w:rsid w:val="00132767"/>
    <w:rsid w:val="00132917"/>
    <w:rsid w:val="00132CAC"/>
    <w:rsid w:val="00132E89"/>
    <w:rsid w:val="0013334C"/>
    <w:rsid w:val="00133EBD"/>
    <w:rsid w:val="00135015"/>
    <w:rsid w:val="00135095"/>
    <w:rsid w:val="0013547B"/>
    <w:rsid w:val="00135517"/>
    <w:rsid w:val="00135829"/>
    <w:rsid w:val="00135884"/>
    <w:rsid w:val="001358A7"/>
    <w:rsid w:val="001358F4"/>
    <w:rsid w:val="0013612A"/>
    <w:rsid w:val="001361D8"/>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C64"/>
    <w:rsid w:val="00143C8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0B6F"/>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345"/>
    <w:rsid w:val="00155615"/>
    <w:rsid w:val="00155D53"/>
    <w:rsid w:val="0015622B"/>
    <w:rsid w:val="00156260"/>
    <w:rsid w:val="00156502"/>
    <w:rsid w:val="00157BFC"/>
    <w:rsid w:val="0016019C"/>
    <w:rsid w:val="001601C7"/>
    <w:rsid w:val="001602C2"/>
    <w:rsid w:val="00160674"/>
    <w:rsid w:val="00160786"/>
    <w:rsid w:val="00161D40"/>
    <w:rsid w:val="00162262"/>
    <w:rsid w:val="001623A3"/>
    <w:rsid w:val="00162BD5"/>
    <w:rsid w:val="00162CF1"/>
    <w:rsid w:val="00162F82"/>
    <w:rsid w:val="001630E4"/>
    <w:rsid w:val="0016368F"/>
    <w:rsid w:val="001639BC"/>
    <w:rsid w:val="00163AFC"/>
    <w:rsid w:val="00163C9A"/>
    <w:rsid w:val="00164646"/>
    <w:rsid w:val="001647FA"/>
    <w:rsid w:val="001650C2"/>
    <w:rsid w:val="00165137"/>
    <w:rsid w:val="001652DD"/>
    <w:rsid w:val="0016634F"/>
    <w:rsid w:val="00166809"/>
    <w:rsid w:val="00166879"/>
    <w:rsid w:val="001669F9"/>
    <w:rsid w:val="00166D9E"/>
    <w:rsid w:val="00166EE2"/>
    <w:rsid w:val="00166FBF"/>
    <w:rsid w:val="0016700E"/>
    <w:rsid w:val="00167125"/>
    <w:rsid w:val="0016733C"/>
    <w:rsid w:val="0016764C"/>
    <w:rsid w:val="00167869"/>
    <w:rsid w:val="00170397"/>
    <w:rsid w:val="001706E4"/>
    <w:rsid w:val="001708D0"/>
    <w:rsid w:val="00170E05"/>
    <w:rsid w:val="00171661"/>
    <w:rsid w:val="00171B5E"/>
    <w:rsid w:val="00171BC2"/>
    <w:rsid w:val="00171D7E"/>
    <w:rsid w:val="00171F14"/>
    <w:rsid w:val="00171F1C"/>
    <w:rsid w:val="00171FA8"/>
    <w:rsid w:val="001729E1"/>
    <w:rsid w:val="00172B61"/>
    <w:rsid w:val="00172C20"/>
    <w:rsid w:val="001738A5"/>
    <w:rsid w:val="00173A00"/>
    <w:rsid w:val="00173C4A"/>
    <w:rsid w:val="00173D38"/>
    <w:rsid w:val="00174DDB"/>
    <w:rsid w:val="00175009"/>
    <w:rsid w:val="001752EC"/>
    <w:rsid w:val="00175A51"/>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B7B"/>
    <w:rsid w:val="00182FBF"/>
    <w:rsid w:val="001836DF"/>
    <w:rsid w:val="00183808"/>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6B8A"/>
    <w:rsid w:val="0018767B"/>
    <w:rsid w:val="00187856"/>
    <w:rsid w:val="001908C5"/>
    <w:rsid w:val="00190927"/>
    <w:rsid w:val="00190BD5"/>
    <w:rsid w:val="00190C5A"/>
    <w:rsid w:val="00191727"/>
    <w:rsid w:val="00191951"/>
    <w:rsid w:val="00191EBF"/>
    <w:rsid w:val="00192338"/>
    <w:rsid w:val="00192589"/>
    <w:rsid w:val="001925E5"/>
    <w:rsid w:val="001929F7"/>
    <w:rsid w:val="00193987"/>
    <w:rsid w:val="00193993"/>
    <w:rsid w:val="00193998"/>
    <w:rsid w:val="00194671"/>
    <w:rsid w:val="00194955"/>
    <w:rsid w:val="00195593"/>
    <w:rsid w:val="0019573B"/>
    <w:rsid w:val="0019592C"/>
    <w:rsid w:val="00196085"/>
    <w:rsid w:val="00196514"/>
    <w:rsid w:val="00196700"/>
    <w:rsid w:val="00196B90"/>
    <w:rsid w:val="00196DE8"/>
    <w:rsid w:val="00196FF4"/>
    <w:rsid w:val="0019734F"/>
    <w:rsid w:val="00197781"/>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198"/>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132"/>
    <w:rsid w:val="001C16A9"/>
    <w:rsid w:val="001C19EB"/>
    <w:rsid w:val="001C1E53"/>
    <w:rsid w:val="001C211D"/>
    <w:rsid w:val="001C2A8B"/>
    <w:rsid w:val="001C3434"/>
    <w:rsid w:val="001C3474"/>
    <w:rsid w:val="001C38FE"/>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69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D7F"/>
    <w:rsid w:val="00210F42"/>
    <w:rsid w:val="00211042"/>
    <w:rsid w:val="00211345"/>
    <w:rsid w:val="002114FA"/>
    <w:rsid w:val="00211CD2"/>
    <w:rsid w:val="00211D31"/>
    <w:rsid w:val="00211DD9"/>
    <w:rsid w:val="00212816"/>
    <w:rsid w:val="00212A20"/>
    <w:rsid w:val="002130BD"/>
    <w:rsid w:val="00213851"/>
    <w:rsid w:val="00214E0D"/>
    <w:rsid w:val="0021512E"/>
    <w:rsid w:val="00215250"/>
    <w:rsid w:val="0021586D"/>
    <w:rsid w:val="002158D6"/>
    <w:rsid w:val="00215B81"/>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CA9"/>
    <w:rsid w:val="00222FE7"/>
    <w:rsid w:val="002232D8"/>
    <w:rsid w:val="00223833"/>
    <w:rsid w:val="00223ACD"/>
    <w:rsid w:val="00224A38"/>
    <w:rsid w:val="00224A9B"/>
    <w:rsid w:val="0022657F"/>
    <w:rsid w:val="002269A7"/>
    <w:rsid w:val="00226A52"/>
    <w:rsid w:val="00226AE0"/>
    <w:rsid w:val="00226BD3"/>
    <w:rsid w:val="00226E25"/>
    <w:rsid w:val="0022735A"/>
    <w:rsid w:val="00227652"/>
    <w:rsid w:val="00227850"/>
    <w:rsid w:val="00227873"/>
    <w:rsid w:val="002279D2"/>
    <w:rsid w:val="00227D0D"/>
    <w:rsid w:val="00227E2C"/>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5F4"/>
    <w:rsid w:val="00245A41"/>
    <w:rsid w:val="00245B70"/>
    <w:rsid w:val="00245D7D"/>
    <w:rsid w:val="00245E39"/>
    <w:rsid w:val="00245FBA"/>
    <w:rsid w:val="00246BEB"/>
    <w:rsid w:val="00246C52"/>
    <w:rsid w:val="00246EB6"/>
    <w:rsid w:val="002475BE"/>
    <w:rsid w:val="00247660"/>
    <w:rsid w:val="0024785A"/>
    <w:rsid w:val="00247A0A"/>
    <w:rsid w:val="00247C92"/>
    <w:rsid w:val="00247DD1"/>
    <w:rsid w:val="002506F5"/>
    <w:rsid w:val="00250D13"/>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AA2"/>
    <w:rsid w:val="00261D05"/>
    <w:rsid w:val="002623AC"/>
    <w:rsid w:val="00262979"/>
    <w:rsid w:val="00262CB1"/>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6D6"/>
    <w:rsid w:val="00270C63"/>
    <w:rsid w:val="00270C98"/>
    <w:rsid w:val="00270CF1"/>
    <w:rsid w:val="00270E57"/>
    <w:rsid w:val="002711C3"/>
    <w:rsid w:val="002713CE"/>
    <w:rsid w:val="0027193C"/>
    <w:rsid w:val="00271EEF"/>
    <w:rsid w:val="00271F29"/>
    <w:rsid w:val="0027242C"/>
    <w:rsid w:val="00272474"/>
    <w:rsid w:val="0027257A"/>
    <w:rsid w:val="00272D06"/>
    <w:rsid w:val="00272EE0"/>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237"/>
    <w:rsid w:val="0028168F"/>
    <w:rsid w:val="00282018"/>
    <w:rsid w:val="002825CE"/>
    <w:rsid w:val="00283165"/>
    <w:rsid w:val="002832E7"/>
    <w:rsid w:val="00284E7F"/>
    <w:rsid w:val="0028550D"/>
    <w:rsid w:val="00285520"/>
    <w:rsid w:val="00285894"/>
    <w:rsid w:val="00285E28"/>
    <w:rsid w:val="00286631"/>
    <w:rsid w:val="00286C72"/>
    <w:rsid w:val="00286F76"/>
    <w:rsid w:val="00287376"/>
    <w:rsid w:val="002877DE"/>
    <w:rsid w:val="00287C28"/>
    <w:rsid w:val="00287C39"/>
    <w:rsid w:val="00290254"/>
    <w:rsid w:val="00290C83"/>
    <w:rsid w:val="0029142E"/>
    <w:rsid w:val="002915DA"/>
    <w:rsid w:val="0029178F"/>
    <w:rsid w:val="00291C45"/>
    <w:rsid w:val="00292175"/>
    <w:rsid w:val="00292540"/>
    <w:rsid w:val="00293504"/>
    <w:rsid w:val="00293C49"/>
    <w:rsid w:val="00294266"/>
    <w:rsid w:val="002944CA"/>
    <w:rsid w:val="00294504"/>
    <w:rsid w:val="00294722"/>
    <w:rsid w:val="00294AB1"/>
    <w:rsid w:val="00294C8C"/>
    <w:rsid w:val="00295226"/>
    <w:rsid w:val="002953D0"/>
    <w:rsid w:val="00295F1C"/>
    <w:rsid w:val="002960D8"/>
    <w:rsid w:val="00296365"/>
    <w:rsid w:val="00296758"/>
    <w:rsid w:val="0029696C"/>
    <w:rsid w:val="00296D93"/>
    <w:rsid w:val="00296FD8"/>
    <w:rsid w:val="00297256"/>
    <w:rsid w:val="0029743A"/>
    <w:rsid w:val="00297499"/>
    <w:rsid w:val="002974AA"/>
    <w:rsid w:val="002977A0"/>
    <w:rsid w:val="00297A89"/>
    <w:rsid w:val="00297F46"/>
    <w:rsid w:val="002A01F4"/>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3D33"/>
    <w:rsid w:val="002A4102"/>
    <w:rsid w:val="002A4886"/>
    <w:rsid w:val="002A4918"/>
    <w:rsid w:val="002A4B7D"/>
    <w:rsid w:val="002A4E20"/>
    <w:rsid w:val="002A523D"/>
    <w:rsid w:val="002A5CAB"/>
    <w:rsid w:val="002A5FC1"/>
    <w:rsid w:val="002A6EF8"/>
    <w:rsid w:val="002A732C"/>
    <w:rsid w:val="002A7A6A"/>
    <w:rsid w:val="002A7AB4"/>
    <w:rsid w:val="002B07BF"/>
    <w:rsid w:val="002B0805"/>
    <w:rsid w:val="002B0960"/>
    <w:rsid w:val="002B0C99"/>
    <w:rsid w:val="002B10F9"/>
    <w:rsid w:val="002B12C7"/>
    <w:rsid w:val="002B1AFA"/>
    <w:rsid w:val="002B21D6"/>
    <w:rsid w:val="002B2338"/>
    <w:rsid w:val="002B2C92"/>
    <w:rsid w:val="002B3081"/>
    <w:rsid w:val="002B318B"/>
    <w:rsid w:val="002B32BC"/>
    <w:rsid w:val="002B340B"/>
    <w:rsid w:val="002B34AE"/>
    <w:rsid w:val="002B3D90"/>
    <w:rsid w:val="002B4056"/>
    <w:rsid w:val="002B453B"/>
    <w:rsid w:val="002B4C39"/>
    <w:rsid w:val="002B601A"/>
    <w:rsid w:val="002B61F1"/>
    <w:rsid w:val="002B64FE"/>
    <w:rsid w:val="002B694E"/>
    <w:rsid w:val="002B6D31"/>
    <w:rsid w:val="002B7D56"/>
    <w:rsid w:val="002C04C2"/>
    <w:rsid w:val="002C0818"/>
    <w:rsid w:val="002C0AAA"/>
    <w:rsid w:val="002C0D11"/>
    <w:rsid w:val="002C1B17"/>
    <w:rsid w:val="002C203A"/>
    <w:rsid w:val="002C2AE9"/>
    <w:rsid w:val="002C2B29"/>
    <w:rsid w:val="002C2E8A"/>
    <w:rsid w:val="002C2F48"/>
    <w:rsid w:val="002C2FCD"/>
    <w:rsid w:val="002C3AE4"/>
    <w:rsid w:val="002C3E89"/>
    <w:rsid w:val="002C42AA"/>
    <w:rsid w:val="002C4447"/>
    <w:rsid w:val="002C4AF6"/>
    <w:rsid w:val="002C5533"/>
    <w:rsid w:val="002C560F"/>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1F5B"/>
    <w:rsid w:val="002D2B4E"/>
    <w:rsid w:val="002D2F9B"/>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3B3"/>
    <w:rsid w:val="002E3653"/>
    <w:rsid w:val="002E38B7"/>
    <w:rsid w:val="002E3960"/>
    <w:rsid w:val="002E4301"/>
    <w:rsid w:val="002E58E1"/>
    <w:rsid w:val="002E5BDD"/>
    <w:rsid w:val="002E5C56"/>
    <w:rsid w:val="002E5D86"/>
    <w:rsid w:val="002E5DD7"/>
    <w:rsid w:val="002E6809"/>
    <w:rsid w:val="002E715B"/>
    <w:rsid w:val="002F0045"/>
    <w:rsid w:val="002F00F0"/>
    <w:rsid w:val="002F025B"/>
    <w:rsid w:val="002F0684"/>
    <w:rsid w:val="002F09C0"/>
    <w:rsid w:val="002F0ADB"/>
    <w:rsid w:val="002F0E34"/>
    <w:rsid w:val="002F2AE0"/>
    <w:rsid w:val="002F2CD3"/>
    <w:rsid w:val="002F2E1A"/>
    <w:rsid w:val="002F3157"/>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277"/>
    <w:rsid w:val="00304556"/>
    <w:rsid w:val="00304AC5"/>
    <w:rsid w:val="00304C9E"/>
    <w:rsid w:val="003065FB"/>
    <w:rsid w:val="00306ED2"/>
    <w:rsid w:val="00306F89"/>
    <w:rsid w:val="0030749E"/>
    <w:rsid w:val="003077E5"/>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5E5C"/>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02A"/>
    <w:rsid w:val="00323FAD"/>
    <w:rsid w:val="00324089"/>
    <w:rsid w:val="00324701"/>
    <w:rsid w:val="0032489D"/>
    <w:rsid w:val="003249F8"/>
    <w:rsid w:val="00324E34"/>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3A9D"/>
    <w:rsid w:val="00333BAA"/>
    <w:rsid w:val="00333FDF"/>
    <w:rsid w:val="00334CE7"/>
    <w:rsid w:val="00335250"/>
    <w:rsid w:val="00335287"/>
    <w:rsid w:val="00335670"/>
    <w:rsid w:val="0033572D"/>
    <w:rsid w:val="0033592C"/>
    <w:rsid w:val="00335E2A"/>
    <w:rsid w:val="003365FB"/>
    <w:rsid w:val="00336611"/>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1CF"/>
    <w:rsid w:val="00344725"/>
    <w:rsid w:val="003447DB"/>
    <w:rsid w:val="00344901"/>
    <w:rsid w:val="0034511B"/>
    <w:rsid w:val="0034745C"/>
    <w:rsid w:val="003474CD"/>
    <w:rsid w:val="003479B6"/>
    <w:rsid w:val="0035025F"/>
    <w:rsid w:val="0035041A"/>
    <w:rsid w:val="003505AD"/>
    <w:rsid w:val="00350631"/>
    <w:rsid w:val="00350EE7"/>
    <w:rsid w:val="00351439"/>
    <w:rsid w:val="0035180B"/>
    <w:rsid w:val="00351C98"/>
    <w:rsid w:val="00351FBA"/>
    <w:rsid w:val="0035216E"/>
    <w:rsid w:val="00352759"/>
    <w:rsid w:val="00352828"/>
    <w:rsid w:val="00352952"/>
    <w:rsid w:val="00352DAE"/>
    <w:rsid w:val="003530A0"/>
    <w:rsid w:val="003531B0"/>
    <w:rsid w:val="003532D2"/>
    <w:rsid w:val="003536C6"/>
    <w:rsid w:val="003539B2"/>
    <w:rsid w:val="0035414B"/>
    <w:rsid w:val="00354963"/>
    <w:rsid w:val="00354C2B"/>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FC9"/>
    <w:rsid w:val="00364C54"/>
    <w:rsid w:val="00365023"/>
    <w:rsid w:val="0036539D"/>
    <w:rsid w:val="00365644"/>
    <w:rsid w:val="0036590C"/>
    <w:rsid w:val="003665C5"/>
    <w:rsid w:val="00366B3A"/>
    <w:rsid w:val="00370285"/>
    <w:rsid w:val="003704EE"/>
    <w:rsid w:val="00370880"/>
    <w:rsid w:val="00370EFD"/>
    <w:rsid w:val="00371137"/>
    <w:rsid w:val="003719F5"/>
    <w:rsid w:val="00372019"/>
    <w:rsid w:val="00372029"/>
    <w:rsid w:val="003724A1"/>
    <w:rsid w:val="00372753"/>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7773F"/>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13A"/>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3A13"/>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A7BD2"/>
    <w:rsid w:val="003B020A"/>
    <w:rsid w:val="003B0299"/>
    <w:rsid w:val="003B0666"/>
    <w:rsid w:val="003B0B4B"/>
    <w:rsid w:val="003B0B4D"/>
    <w:rsid w:val="003B0BAF"/>
    <w:rsid w:val="003B0FC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2FF1"/>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B10"/>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E95"/>
    <w:rsid w:val="003F1FCC"/>
    <w:rsid w:val="003F20B0"/>
    <w:rsid w:val="003F20E2"/>
    <w:rsid w:val="003F2244"/>
    <w:rsid w:val="003F23A7"/>
    <w:rsid w:val="003F2564"/>
    <w:rsid w:val="003F2624"/>
    <w:rsid w:val="003F2711"/>
    <w:rsid w:val="003F2904"/>
    <w:rsid w:val="003F2A56"/>
    <w:rsid w:val="003F2C24"/>
    <w:rsid w:val="003F3256"/>
    <w:rsid w:val="003F348A"/>
    <w:rsid w:val="003F4933"/>
    <w:rsid w:val="003F4977"/>
    <w:rsid w:val="003F4A21"/>
    <w:rsid w:val="003F4C36"/>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C28"/>
    <w:rsid w:val="003F7DFF"/>
    <w:rsid w:val="0040015E"/>
    <w:rsid w:val="00400427"/>
    <w:rsid w:val="00400615"/>
    <w:rsid w:val="00400D86"/>
    <w:rsid w:val="004010EF"/>
    <w:rsid w:val="004017C6"/>
    <w:rsid w:val="00402162"/>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C21"/>
    <w:rsid w:val="00405D95"/>
    <w:rsid w:val="00405F90"/>
    <w:rsid w:val="00406108"/>
    <w:rsid w:val="00406412"/>
    <w:rsid w:val="00406B19"/>
    <w:rsid w:val="00406F4B"/>
    <w:rsid w:val="00406FBD"/>
    <w:rsid w:val="004073B0"/>
    <w:rsid w:val="00407612"/>
    <w:rsid w:val="0041029D"/>
    <w:rsid w:val="004102A7"/>
    <w:rsid w:val="00411230"/>
    <w:rsid w:val="00411362"/>
    <w:rsid w:val="004116C3"/>
    <w:rsid w:val="004118C9"/>
    <w:rsid w:val="00411C9D"/>
    <w:rsid w:val="0041249C"/>
    <w:rsid w:val="00412697"/>
    <w:rsid w:val="0041280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99B"/>
    <w:rsid w:val="00433C4C"/>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973"/>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64C"/>
    <w:rsid w:val="004439AB"/>
    <w:rsid w:val="00443A73"/>
    <w:rsid w:val="0044418F"/>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0EF4"/>
    <w:rsid w:val="0045169D"/>
    <w:rsid w:val="004517C7"/>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0A91"/>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AE4"/>
    <w:rsid w:val="0047041E"/>
    <w:rsid w:val="00470628"/>
    <w:rsid w:val="00470750"/>
    <w:rsid w:val="00470893"/>
    <w:rsid w:val="0047166D"/>
    <w:rsid w:val="00471856"/>
    <w:rsid w:val="00471DB0"/>
    <w:rsid w:val="00471FAB"/>
    <w:rsid w:val="0047253B"/>
    <w:rsid w:val="00472541"/>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1B0"/>
    <w:rsid w:val="00482389"/>
    <w:rsid w:val="00482943"/>
    <w:rsid w:val="00482ADC"/>
    <w:rsid w:val="00483D11"/>
    <w:rsid w:val="00483D20"/>
    <w:rsid w:val="0048406D"/>
    <w:rsid w:val="0048424B"/>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2CF"/>
    <w:rsid w:val="004924E5"/>
    <w:rsid w:val="00492597"/>
    <w:rsid w:val="00492619"/>
    <w:rsid w:val="004927D9"/>
    <w:rsid w:val="004927F3"/>
    <w:rsid w:val="00493451"/>
    <w:rsid w:val="0049349F"/>
    <w:rsid w:val="004935A4"/>
    <w:rsid w:val="004938AA"/>
    <w:rsid w:val="00493D08"/>
    <w:rsid w:val="004949D8"/>
    <w:rsid w:val="00494E75"/>
    <w:rsid w:val="00495071"/>
    <w:rsid w:val="00495D63"/>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3D2F"/>
    <w:rsid w:val="004A4625"/>
    <w:rsid w:val="004A47DC"/>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B2C"/>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CD3"/>
    <w:rsid w:val="004B4F6B"/>
    <w:rsid w:val="004B50E0"/>
    <w:rsid w:val="004B55EC"/>
    <w:rsid w:val="004B5659"/>
    <w:rsid w:val="004B5914"/>
    <w:rsid w:val="004B6301"/>
    <w:rsid w:val="004B6FFB"/>
    <w:rsid w:val="004B7311"/>
    <w:rsid w:val="004B795F"/>
    <w:rsid w:val="004B7BA5"/>
    <w:rsid w:val="004C0346"/>
    <w:rsid w:val="004C06EA"/>
    <w:rsid w:val="004C0B07"/>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7CB"/>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5B6"/>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0BBC"/>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6AC"/>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06"/>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74E"/>
    <w:rsid w:val="00515907"/>
    <w:rsid w:val="00515E2B"/>
    <w:rsid w:val="00516B96"/>
    <w:rsid w:val="00516E9E"/>
    <w:rsid w:val="005173A4"/>
    <w:rsid w:val="005179DC"/>
    <w:rsid w:val="0052001B"/>
    <w:rsid w:val="00520314"/>
    <w:rsid w:val="00520AE3"/>
    <w:rsid w:val="00521294"/>
    <w:rsid w:val="00521D65"/>
    <w:rsid w:val="005221A4"/>
    <w:rsid w:val="00523366"/>
    <w:rsid w:val="0052381F"/>
    <w:rsid w:val="00523E18"/>
    <w:rsid w:val="00523F11"/>
    <w:rsid w:val="00523F32"/>
    <w:rsid w:val="0052422C"/>
    <w:rsid w:val="005244D5"/>
    <w:rsid w:val="00524AD1"/>
    <w:rsid w:val="00524AE9"/>
    <w:rsid w:val="00524C56"/>
    <w:rsid w:val="00524D25"/>
    <w:rsid w:val="00524E6A"/>
    <w:rsid w:val="00525098"/>
    <w:rsid w:val="005251DA"/>
    <w:rsid w:val="00525407"/>
    <w:rsid w:val="00525F71"/>
    <w:rsid w:val="00526270"/>
    <w:rsid w:val="005269C2"/>
    <w:rsid w:val="00526A5E"/>
    <w:rsid w:val="00526C8A"/>
    <w:rsid w:val="005272A8"/>
    <w:rsid w:val="00527489"/>
    <w:rsid w:val="005275BE"/>
    <w:rsid w:val="00527860"/>
    <w:rsid w:val="00527A58"/>
    <w:rsid w:val="0053012B"/>
    <w:rsid w:val="005304B1"/>
    <w:rsid w:val="0053066C"/>
    <w:rsid w:val="00530A75"/>
    <w:rsid w:val="00530AFD"/>
    <w:rsid w:val="00531562"/>
    <w:rsid w:val="0053173A"/>
    <w:rsid w:val="00531824"/>
    <w:rsid w:val="00531AF4"/>
    <w:rsid w:val="00531EA2"/>
    <w:rsid w:val="00531F71"/>
    <w:rsid w:val="00532292"/>
    <w:rsid w:val="005323A0"/>
    <w:rsid w:val="00532462"/>
    <w:rsid w:val="005326A0"/>
    <w:rsid w:val="00532B16"/>
    <w:rsid w:val="00532C9D"/>
    <w:rsid w:val="00533215"/>
    <w:rsid w:val="005334E4"/>
    <w:rsid w:val="00533C61"/>
    <w:rsid w:val="00533F4E"/>
    <w:rsid w:val="005347FB"/>
    <w:rsid w:val="00534963"/>
    <w:rsid w:val="005349EB"/>
    <w:rsid w:val="00534AA6"/>
    <w:rsid w:val="00534C83"/>
    <w:rsid w:val="00534EE4"/>
    <w:rsid w:val="00535432"/>
    <w:rsid w:val="00535A27"/>
    <w:rsid w:val="00535B60"/>
    <w:rsid w:val="00536ACE"/>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B81"/>
    <w:rsid w:val="00550D6F"/>
    <w:rsid w:val="005511B1"/>
    <w:rsid w:val="00551248"/>
    <w:rsid w:val="00551593"/>
    <w:rsid w:val="00551E52"/>
    <w:rsid w:val="00552038"/>
    <w:rsid w:val="0055233E"/>
    <w:rsid w:val="00552569"/>
    <w:rsid w:val="005528E1"/>
    <w:rsid w:val="00552E20"/>
    <w:rsid w:val="00552FF4"/>
    <w:rsid w:val="00553A48"/>
    <w:rsid w:val="00553ABB"/>
    <w:rsid w:val="00553D29"/>
    <w:rsid w:val="0055410A"/>
    <w:rsid w:val="005546A4"/>
    <w:rsid w:val="005547CB"/>
    <w:rsid w:val="00554DF7"/>
    <w:rsid w:val="005552B9"/>
    <w:rsid w:val="00555520"/>
    <w:rsid w:val="00555713"/>
    <w:rsid w:val="00555772"/>
    <w:rsid w:val="00555D6F"/>
    <w:rsid w:val="00556680"/>
    <w:rsid w:val="00556763"/>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211"/>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7E2"/>
    <w:rsid w:val="00572995"/>
    <w:rsid w:val="00572F26"/>
    <w:rsid w:val="005730FF"/>
    <w:rsid w:val="0057380A"/>
    <w:rsid w:val="00573BB0"/>
    <w:rsid w:val="00573D2B"/>
    <w:rsid w:val="00573F24"/>
    <w:rsid w:val="00574167"/>
    <w:rsid w:val="00574D14"/>
    <w:rsid w:val="00574FDC"/>
    <w:rsid w:val="005753DB"/>
    <w:rsid w:val="005756BD"/>
    <w:rsid w:val="00575813"/>
    <w:rsid w:val="00575C40"/>
    <w:rsid w:val="005760C5"/>
    <w:rsid w:val="005766EA"/>
    <w:rsid w:val="00576A37"/>
    <w:rsid w:val="00577368"/>
    <w:rsid w:val="005773FF"/>
    <w:rsid w:val="00577540"/>
    <w:rsid w:val="005777AC"/>
    <w:rsid w:val="00577EB4"/>
    <w:rsid w:val="00581081"/>
    <w:rsid w:val="00581116"/>
    <w:rsid w:val="005815D2"/>
    <w:rsid w:val="005816AB"/>
    <w:rsid w:val="005818D4"/>
    <w:rsid w:val="005819D7"/>
    <w:rsid w:val="00581AB8"/>
    <w:rsid w:val="00581C6E"/>
    <w:rsid w:val="00581F40"/>
    <w:rsid w:val="005829CC"/>
    <w:rsid w:val="00582E3D"/>
    <w:rsid w:val="00583147"/>
    <w:rsid w:val="005836D0"/>
    <w:rsid w:val="00583AF3"/>
    <w:rsid w:val="00583DEF"/>
    <w:rsid w:val="00583E78"/>
    <w:rsid w:val="00584496"/>
    <w:rsid w:val="0058522A"/>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5EF"/>
    <w:rsid w:val="0059284F"/>
    <w:rsid w:val="00592E68"/>
    <w:rsid w:val="00592F01"/>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038"/>
    <w:rsid w:val="005B1197"/>
    <w:rsid w:val="005B16CC"/>
    <w:rsid w:val="005B18BB"/>
    <w:rsid w:val="005B1C95"/>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38D4"/>
    <w:rsid w:val="005C41BE"/>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5BC"/>
    <w:rsid w:val="005D0790"/>
    <w:rsid w:val="005D0D3E"/>
    <w:rsid w:val="005D17BF"/>
    <w:rsid w:val="005D18B1"/>
    <w:rsid w:val="005D20FC"/>
    <w:rsid w:val="005D2499"/>
    <w:rsid w:val="005D24A2"/>
    <w:rsid w:val="005D25D7"/>
    <w:rsid w:val="005D2A49"/>
    <w:rsid w:val="005D2CB0"/>
    <w:rsid w:val="005D2EE8"/>
    <w:rsid w:val="005D3534"/>
    <w:rsid w:val="005D3707"/>
    <w:rsid w:val="005D396C"/>
    <w:rsid w:val="005D3AF0"/>
    <w:rsid w:val="005D3BFD"/>
    <w:rsid w:val="005D46E9"/>
    <w:rsid w:val="005D5012"/>
    <w:rsid w:val="005D556D"/>
    <w:rsid w:val="005D5E46"/>
    <w:rsid w:val="005D604A"/>
    <w:rsid w:val="005D609E"/>
    <w:rsid w:val="005D64A5"/>
    <w:rsid w:val="005D68CA"/>
    <w:rsid w:val="005D6929"/>
    <w:rsid w:val="005D6B30"/>
    <w:rsid w:val="005D6E1C"/>
    <w:rsid w:val="005D7539"/>
    <w:rsid w:val="005D7E04"/>
    <w:rsid w:val="005E0082"/>
    <w:rsid w:val="005E06C4"/>
    <w:rsid w:val="005E06E1"/>
    <w:rsid w:val="005E0899"/>
    <w:rsid w:val="005E0E2A"/>
    <w:rsid w:val="005E1393"/>
    <w:rsid w:val="005E1411"/>
    <w:rsid w:val="005E3035"/>
    <w:rsid w:val="005E35FD"/>
    <w:rsid w:val="005E383F"/>
    <w:rsid w:val="005E39A1"/>
    <w:rsid w:val="005E3B77"/>
    <w:rsid w:val="005E48F7"/>
    <w:rsid w:val="005E4CCB"/>
    <w:rsid w:val="005E5563"/>
    <w:rsid w:val="005E59C5"/>
    <w:rsid w:val="005E5E74"/>
    <w:rsid w:val="005E66F1"/>
    <w:rsid w:val="005E6AFB"/>
    <w:rsid w:val="005E7698"/>
    <w:rsid w:val="005E76F9"/>
    <w:rsid w:val="005E7849"/>
    <w:rsid w:val="005E7A8C"/>
    <w:rsid w:val="005F06FA"/>
    <w:rsid w:val="005F06FD"/>
    <w:rsid w:val="005F0B4C"/>
    <w:rsid w:val="005F0B53"/>
    <w:rsid w:val="005F0C46"/>
    <w:rsid w:val="005F1FE4"/>
    <w:rsid w:val="005F2946"/>
    <w:rsid w:val="005F367D"/>
    <w:rsid w:val="005F369B"/>
    <w:rsid w:val="005F3955"/>
    <w:rsid w:val="005F3F7F"/>
    <w:rsid w:val="005F40E5"/>
    <w:rsid w:val="005F419B"/>
    <w:rsid w:val="005F46D9"/>
    <w:rsid w:val="005F4950"/>
    <w:rsid w:val="005F4D16"/>
    <w:rsid w:val="005F523F"/>
    <w:rsid w:val="005F5362"/>
    <w:rsid w:val="005F556F"/>
    <w:rsid w:val="005F5C3D"/>
    <w:rsid w:val="005F6176"/>
    <w:rsid w:val="005F660A"/>
    <w:rsid w:val="005F6697"/>
    <w:rsid w:val="005F69DD"/>
    <w:rsid w:val="005F6CA5"/>
    <w:rsid w:val="005F6EF0"/>
    <w:rsid w:val="005F6F60"/>
    <w:rsid w:val="005F6F9C"/>
    <w:rsid w:val="005F6FFC"/>
    <w:rsid w:val="005F747F"/>
    <w:rsid w:val="005F7CC1"/>
    <w:rsid w:val="006004DE"/>
    <w:rsid w:val="00600B6C"/>
    <w:rsid w:val="00601072"/>
    <w:rsid w:val="00601097"/>
    <w:rsid w:val="0060144E"/>
    <w:rsid w:val="00601FCD"/>
    <w:rsid w:val="00602354"/>
    <w:rsid w:val="0060254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F09"/>
    <w:rsid w:val="006113A9"/>
    <w:rsid w:val="00611C82"/>
    <w:rsid w:val="006125DB"/>
    <w:rsid w:val="00612C73"/>
    <w:rsid w:val="00612E96"/>
    <w:rsid w:val="00613119"/>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66"/>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DBF"/>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BC1"/>
    <w:rsid w:val="00637E00"/>
    <w:rsid w:val="006401C6"/>
    <w:rsid w:val="00640207"/>
    <w:rsid w:val="00640222"/>
    <w:rsid w:val="006409F3"/>
    <w:rsid w:val="00641061"/>
    <w:rsid w:val="006411DF"/>
    <w:rsid w:val="006419ED"/>
    <w:rsid w:val="006427DE"/>
    <w:rsid w:val="00642D10"/>
    <w:rsid w:val="00642E65"/>
    <w:rsid w:val="0064328E"/>
    <w:rsid w:val="006434D7"/>
    <w:rsid w:val="00643769"/>
    <w:rsid w:val="00643857"/>
    <w:rsid w:val="00643891"/>
    <w:rsid w:val="00643DCD"/>
    <w:rsid w:val="00644200"/>
    <w:rsid w:val="0064428B"/>
    <w:rsid w:val="00644511"/>
    <w:rsid w:val="0064486C"/>
    <w:rsid w:val="006449EB"/>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7A"/>
    <w:rsid w:val="006544F6"/>
    <w:rsid w:val="00655070"/>
    <w:rsid w:val="00655223"/>
    <w:rsid w:val="00655780"/>
    <w:rsid w:val="0065594D"/>
    <w:rsid w:val="006561FF"/>
    <w:rsid w:val="00656A8B"/>
    <w:rsid w:val="00656D6F"/>
    <w:rsid w:val="00657005"/>
    <w:rsid w:val="006572FB"/>
    <w:rsid w:val="006578D9"/>
    <w:rsid w:val="006579D4"/>
    <w:rsid w:val="00657F67"/>
    <w:rsid w:val="006605DC"/>
    <w:rsid w:val="006611DC"/>
    <w:rsid w:val="0066146F"/>
    <w:rsid w:val="00661636"/>
    <w:rsid w:val="00661CC2"/>
    <w:rsid w:val="00662166"/>
    <w:rsid w:val="00662FA2"/>
    <w:rsid w:val="0066310A"/>
    <w:rsid w:val="006635DC"/>
    <w:rsid w:val="00663908"/>
    <w:rsid w:val="00663B46"/>
    <w:rsid w:val="00663DAB"/>
    <w:rsid w:val="0066447D"/>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8CA"/>
    <w:rsid w:val="00670AD6"/>
    <w:rsid w:val="00670ECD"/>
    <w:rsid w:val="00671010"/>
    <w:rsid w:val="0067106A"/>
    <w:rsid w:val="00671B4F"/>
    <w:rsid w:val="006725CC"/>
    <w:rsid w:val="0067273D"/>
    <w:rsid w:val="00672966"/>
    <w:rsid w:val="006731DF"/>
    <w:rsid w:val="006735BC"/>
    <w:rsid w:val="00673BDE"/>
    <w:rsid w:val="00673EB7"/>
    <w:rsid w:val="00673F58"/>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BD3"/>
    <w:rsid w:val="00682E47"/>
    <w:rsid w:val="00682ED3"/>
    <w:rsid w:val="00683D7F"/>
    <w:rsid w:val="00684258"/>
    <w:rsid w:val="006845C9"/>
    <w:rsid w:val="006853FF"/>
    <w:rsid w:val="00685725"/>
    <w:rsid w:val="00685834"/>
    <w:rsid w:val="00685A2F"/>
    <w:rsid w:val="00685D3B"/>
    <w:rsid w:val="00685DB7"/>
    <w:rsid w:val="0068623E"/>
    <w:rsid w:val="00686366"/>
    <w:rsid w:val="0068653A"/>
    <w:rsid w:val="00686A14"/>
    <w:rsid w:val="00686FAD"/>
    <w:rsid w:val="0068721F"/>
    <w:rsid w:val="006878B2"/>
    <w:rsid w:val="00687A10"/>
    <w:rsid w:val="00690627"/>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73C"/>
    <w:rsid w:val="006A2BF5"/>
    <w:rsid w:val="006A2D0E"/>
    <w:rsid w:val="006A2E66"/>
    <w:rsid w:val="006A3227"/>
    <w:rsid w:val="006A3396"/>
    <w:rsid w:val="006A3F94"/>
    <w:rsid w:val="006A40D0"/>
    <w:rsid w:val="006A4113"/>
    <w:rsid w:val="006A49B5"/>
    <w:rsid w:val="006A4AF4"/>
    <w:rsid w:val="006A4FF3"/>
    <w:rsid w:val="006A5A45"/>
    <w:rsid w:val="006A5CA3"/>
    <w:rsid w:val="006A5D5C"/>
    <w:rsid w:val="006A5E26"/>
    <w:rsid w:val="006A6B3F"/>
    <w:rsid w:val="006A6B69"/>
    <w:rsid w:val="006A74C0"/>
    <w:rsid w:val="006A7574"/>
    <w:rsid w:val="006B0489"/>
    <w:rsid w:val="006B05F5"/>
    <w:rsid w:val="006B0A30"/>
    <w:rsid w:val="006B1168"/>
    <w:rsid w:val="006B1213"/>
    <w:rsid w:val="006B163E"/>
    <w:rsid w:val="006B166D"/>
    <w:rsid w:val="006B19B2"/>
    <w:rsid w:val="006B1A07"/>
    <w:rsid w:val="006B1DA2"/>
    <w:rsid w:val="006B1F5F"/>
    <w:rsid w:val="006B2008"/>
    <w:rsid w:val="006B21E9"/>
    <w:rsid w:val="006B2321"/>
    <w:rsid w:val="006B242D"/>
    <w:rsid w:val="006B2431"/>
    <w:rsid w:val="006B2496"/>
    <w:rsid w:val="006B393F"/>
    <w:rsid w:val="006B3E55"/>
    <w:rsid w:val="006B401E"/>
    <w:rsid w:val="006B5111"/>
    <w:rsid w:val="006B6346"/>
    <w:rsid w:val="006B6AD0"/>
    <w:rsid w:val="006B6BA3"/>
    <w:rsid w:val="006B6C83"/>
    <w:rsid w:val="006B6C95"/>
    <w:rsid w:val="006B6E0D"/>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9B9"/>
    <w:rsid w:val="006C6E92"/>
    <w:rsid w:val="006C75C9"/>
    <w:rsid w:val="006C7CAC"/>
    <w:rsid w:val="006C7FB9"/>
    <w:rsid w:val="006D0272"/>
    <w:rsid w:val="006D038E"/>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16A"/>
    <w:rsid w:val="006D667A"/>
    <w:rsid w:val="006D72E1"/>
    <w:rsid w:val="006D7329"/>
    <w:rsid w:val="006D74C9"/>
    <w:rsid w:val="006D7598"/>
    <w:rsid w:val="006D761C"/>
    <w:rsid w:val="006D7B93"/>
    <w:rsid w:val="006D7BBD"/>
    <w:rsid w:val="006D7C30"/>
    <w:rsid w:val="006D7D69"/>
    <w:rsid w:val="006D7DAD"/>
    <w:rsid w:val="006D7EC6"/>
    <w:rsid w:val="006E0566"/>
    <w:rsid w:val="006E08E7"/>
    <w:rsid w:val="006E0B16"/>
    <w:rsid w:val="006E1135"/>
    <w:rsid w:val="006E1469"/>
    <w:rsid w:val="006E176F"/>
    <w:rsid w:val="006E1C34"/>
    <w:rsid w:val="006E1E45"/>
    <w:rsid w:val="006E22CC"/>
    <w:rsid w:val="006E30AB"/>
    <w:rsid w:val="006E3D3A"/>
    <w:rsid w:val="006E3E68"/>
    <w:rsid w:val="006E4646"/>
    <w:rsid w:val="006E4875"/>
    <w:rsid w:val="006E512D"/>
    <w:rsid w:val="006E5477"/>
    <w:rsid w:val="006E554E"/>
    <w:rsid w:val="006E5AFE"/>
    <w:rsid w:val="006E6499"/>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0DD"/>
    <w:rsid w:val="006F5115"/>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60E"/>
    <w:rsid w:val="007017EA"/>
    <w:rsid w:val="0070181F"/>
    <w:rsid w:val="0070193E"/>
    <w:rsid w:val="00701B27"/>
    <w:rsid w:val="00701F97"/>
    <w:rsid w:val="00703026"/>
    <w:rsid w:val="007032E6"/>
    <w:rsid w:val="007036E5"/>
    <w:rsid w:val="00703D8A"/>
    <w:rsid w:val="00704123"/>
    <w:rsid w:val="00704641"/>
    <w:rsid w:val="007047A7"/>
    <w:rsid w:val="007050A6"/>
    <w:rsid w:val="00705517"/>
    <w:rsid w:val="007056ED"/>
    <w:rsid w:val="00705D28"/>
    <w:rsid w:val="00706AC2"/>
    <w:rsid w:val="0070743B"/>
    <w:rsid w:val="00707CC2"/>
    <w:rsid w:val="007101EE"/>
    <w:rsid w:val="0071044F"/>
    <w:rsid w:val="00710450"/>
    <w:rsid w:val="00710994"/>
    <w:rsid w:val="007109CD"/>
    <w:rsid w:val="00710A3E"/>
    <w:rsid w:val="00710D33"/>
    <w:rsid w:val="00711760"/>
    <w:rsid w:val="007118B6"/>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486"/>
    <w:rsid w:val="00722B72"/>
    <w:rsid w:val="00722BD3"/>
    <w:rsid w:val="00723099"/>
    <w:rsid w:val="007233B6"/>
    <w:rsid w:val="007233F1"/>
    <w:rsid w:val="0072350B"/>
    <w:rsid w:val="007238F1"/>
    <w:rsid w:val="00724426"/>
    <w:rsid w:val="00724437"/>
    <w:rsid w:val="007244BA"/>
    <w:rsid w:val="0072461A"/>
    <w:rsid w:val="00724713"/>
    <w:rsid w:val="00725068"/>
    <w:rsid w:val="0072560E"/>
    <w:rsid w:val="00725CB6"/>
    <w:rsid w:val="00725CDC"/>
    <w:rsid w:val="00726281"/>
    <w:rsid w:val="0072650B"/>
    <w:rsid w:val="00726537"/>
    <w:rsid w:val="0072665F"/>
    <w:rsid w:val="00727071"/>
    <w:rsid w:val="007271FE"/>
    <w:rsid w:val="007273EC"/>
    <w:rsid w:val="007279F1"/>
    <w:rsid w:val="00727C7E"/>
    <w:rsid w:val="00727E9F"/>
    <w:rsid w:val="0073128B"/>
    <w:rsid w:val="0073150C"/>
    <w:rsid w:val="0073171A"/>
    <w:rsid w:val="007325D3"/>
    <w:rsid w:val="00732885"/>
    <w:rsid w:val="00732EA4"/>
    <w:rsid w:val="00733858"/>
    <w:rsid w:val="00733A80"/>
    <w:rsid w:val="0073497A"/>
    <w:rsid w:val="0073532A"/>
    <w:rsid w:val="00736115"/>
    <w:rsid w:val="0073637C"/>
    <w:rsid w:val="00736886"/>
    <w:rsid w:val="00736D7B"/>
    <w:rsid w:val="00737389"/>
    <w:rsid w:val="007377ED"/>
    <w:rsid w:val="007379C8"/>
    <w:rsid w:val="00737AF0"/>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1F"/>
    <w:rsid w:val="00744E4F"/>
    <w:rsid w:val="0074526C"/>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936"/>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ACC"/>
    <w:rsid w:val="0076200C"/>
    <w:rsid w:val="00762924"/>
    <w:rsid w:val="0076295C"/>
    <w:rsid w:val="00762FA7"/>
    <w:rsid w:val="00763055"/>
    <w:rsid w:val="007632C1"/>
    <w:rsid w:val="00763432"/>
    <w:rsid w:val="00763448"/>
    <w:rsid w:val="00763545"/>
    <w:rsid w:val="00763EB7"/>
    <w:rsid w:val="00764043"/>
    <w:rsid w:val="00764EB8"/>
    <w:rsid w:val="00765098"/>
    <w:rsid w:val="007650A8"/>
    <w:rsid w:val="0076539C"/>
    <w:rsid w:val="00765832"/>
    <w:rsid w:val="00765C1C"/>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36A"/>
    <w:rsid w:val="007775DE"/>
    <w:rsid w:val="00777B46"/>
    <w:rsid w:val="00777D7D"/>
    <w:rsid w:val="00777EE9"/>
    <w:rsid w:val="00780980"/>
    <w:rsid w:val="007809E1"/>
    <w:rsid w:val="00780A03"/>
    <w:rsid w:val="00780AF4"/>
    <w:rsid w:val="00780F3D"/>
    <w:rsid w:val="00780F6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9B6"/>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939"/>
    <w:rsid w:val="00795BA6"/>
    <w:rsid w:val="00795DC8"/>
    <w:rsid w:val="0079601B"/>
    <w:rsid w:val="007962E1"/>
    <w:rsid w:val="00796B15"/>
    <w:rsid w:val="007977E1"/>
    <w:rsid w:val="00797DAA"/>
    <w:rsid w:val="00797DEF"/>
    <w:rsid w:val="00797FCF"/>
    <w:rsid w:val="007A0616"/>
    <w:rsid w:val="007A0BDA"/>
    <w:rsid w:val="007A0CDD"/>
    <w:rsid w:val="007A0D0D"/>
    <w:rsid w:val="007A0DAC"/>
    <w:rsid w:val="007A1189"/>
    <w:rsid w:val="007A11A9"/>
    <w:rsid w:val="007A15BA"/>
    <w:rsid w:val="007A16E9"/>
    <w:rsid w:val="007A1B63"/>
    <w:rsid w:val="007A22D6"/>
    <w:rsid w:val="007A2BFF"/>
    <w:rsid w:val="007A2D56"/>
    <w:rsid w:val="007A31E6"/>
    <w:rsid w:val="007A320D"/>
    <w:rsid w:val="007A32B9"/>
    <w:rsid w:val="007A32E9"/>
    <w:rsid w:val="007A3395"/>
    <w:rsid w:val="007A3505"/>
    <w:rsid w:val="007A3BF2"/>
    <w:rsid w:val="007A408F"/>
    <w:rsid w:val="007A4338"/>
    <w:rsid w:val="007A4AF1"/>
    <w:rsid w:val="007A5288"/>
    <w:rsid w:val="007A54B9"/>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16E"/>
    <w:rsid w:val="007B258B"/>
    <w:rsid w:val="007B25C3"/>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4772"/>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3ED"/>
    <w:rsid w:val="007D5CFA"/>
    <w:rsid w:val="007D6310"/>
    <w:rsid w:val="007D673F"/>
    <w:rsid w:val="007D68F4"/>
    <w:rsid w:val="007D6CE5"/>
    <w:rsid w:val="007D6E8A"/>
    <w:rsid w:val="007D6EF0"/>
    <w:rsid w:val="007D7042"/>
    <w:rsid w:val="007D7059"/>
    <w:rsid w:val="007E0162"/>
    <w:rsid w:val="007E0431"/>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34"/>
    <w:rsid w:val="007F18C0"/>
    <w:rsid w:val="007F1C3E"/>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6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1D0"/>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A6A"/>
    <w:rsid w:val="00807D28"/>
    <w:rsid w:val="00807D5E"/>
    <w:rsid w:val="00807E1B"/>
    <w:rsid w:val="008100D3"/>
    <w:rsid w:val="0081012C"/>
    <w:rsid w:val="00810DE9"/>
    <w:rsid w:val="00810EAE"/>
    <w:rsid w:val="00811036"/>
    <w:rsid w:val="00812027"/>
    <w:rsid w:val="008123D5"/>
    <w:rsid w:val="008124FE"/>
    <w:rsid w:val="008127B0"/>
    <w:rsid w:val="00812B5E"/>
    <w:rsid w:val="00812FE3"/>
    <w:rsid w:val="00813CE0"/>
    <w:rsid w:val="00813E49"/>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3D"/>
    <w:rsid w:val="00817C96"/>
    <w:rsid w:val="00817CB0"/>
    <w:rsid w:val="00817D2A"/>
    <w:rsid w:val="00817DA1"/>
    <w:rsid w:val="00817F27"/>
    <w:rsid w:val="0082172C"/>
    <w:rsid w:val="0082179E"/>
    <w:rsid w:val="00821A22"/>
    <w:rsid w:val="00821C48"/>
    <w:rsid w:val="00821DC0"/>
    <w:rsid w:val="00822131"/>
    <w:rsid w:val="008223D4"/>
    <w:rsid w:val="00823335"/>
    <w:rsid w:val="008235E4"/>
    <w:rsid w:val="008237B2"/>
    <w:rsid w:val="00823B2A"/>
    <w:rsid w:val="00823F61"/>
    <w:rsid w:val="0082449E"/>
    <w:rsid w:val="008247A4"/>
    <w:rsid w:val="00824989"/>
    <w:rsid w:val="008249FF"/>
    <w:rsid w:val="008251EC"/>
    <w:rsid w:val="00825511"/>
    <w:rsid w:val="00825693"/>
    <w:rsid w:val="00825EEF"/>
    <w:rsid w:val="00826204"/>
    <w:rsid w:val="008263E0"/>
    <w:rsid w:val="00826D90"/>
    <w:rsid w:val="00827015"/>
    <w:rsid w:val="00827109"/>
    <w:rsid w:val="008272E9"/>
    <w:rsid w:val="008276C2"/>
    <w:rsid w:val="00827A41"/>
    <w:rsid w:val="00827AF3"/>
    <w:rsid w:val="0083078A"/>
    <w:rsid w:val="00830D70"/>
    <w:rsid w:val="0083179C"/>
    <w:rsid w:val="00831DA5"/>
    <w:rsid w:val="00832142"/>
    <w:rsid w:val="00832C18"/>
    <w:rsid w:val="00832CAF"/>
    <w:rsid w:val="0083311A"/>
    <w:rsid w:val="008337E2"/>
    <w:rsid w:val="00833824"/>
    <w:rsid w:val="0083417A"/>
    <w:rsid w:val="00834512"/>
    <w:rsid w:val="008349E7"/>
    <w:rsid w:val="0083502E"/>
    <w:rsid w:val="008350E9"/>
    <w:rsid w:val="00835625"/>
    <w:rsid w:val="00835B82"/>
    <w:rsid w:val="00836133"/>
    <w:rsid w:val="0083657B"/>
    <w:rsid w:val="00836B5B"/>
    <w:rsid w:val="00837286"/>
    <w:rsid w:val="00837399"/>
    <w:rsid w:val="0083768C"/>
    <w:rsid w:val="00837E87"/>
    <w:rsid w:val="008401C3"/>
    <w:rsid w:val="008404D7"/>
    <w:rsid w:val="00840634"/>
    <w:rsid w:val="00840A68"/>
    <w:rsid w:val="00840A83"/>
    <w:rsid w:val="00840D46"/>
    <w:rsid w:val="00840F0C"/>
    <w:rsid w:val="00841573"/>
    <w:rsid w:val="008419A1"/>
    <w:rsid w:val="00841EE6"/>
    <w:rsid w:val="00841FA0"/>
    <w:rsid w:val="00842061"/>
    <w:rsid w:val="0084296C"/>
    <w:rsid w:val="00842B49"/>
    <w:rsid w:val="00842DB7"/>
    <w:rsid w:val="00843453"/>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1A0"/>
    <w:rsid w:val="00847991"/>
    <w:rsid w:val="00847C4E"/>
    <w:rsid w:val="00847F69"/>
    <w:rsid w:val="00850AE8"/>
    <w:rsid w:val="00850B13"/>
    <w:rsid w:val="00851B22"/>
    <w:rsid w:val="00852338"/>
    <w:rsid w:val="00852AA6"/>
    <w:rsid w:val="008532A6"/>
    <w:rsid w:val="00853C45"/>
    <w:rsid w:val="00854090"/>
    <w:rsid w:val="008540C8"/>
    <w:rsid w:val="00854689"/>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77"/>
    <w:rsid w:val="00862988"/>
    <w:rsid w:val="00862A4E"/>
    <w:rsid w:val="00862BA2"/>
    <w:rsid w:val="00863096"/>
    <w:rsid w:val="00863479"/>
    <w:rsid w:val="008634D8"/>
    <w:rsid w:val="00863AA0"/>
    <w:rsid w:val="00864A9F"/>
    <w:rsid w:val="00864C02"/>
    <w:rsid w:val="008650AB"/>
    <w:rsid w:val="00865696"/>
    <w:rsid w:val="00865D02"/>
    <w:rsid w:val="00865D4C"/>
    <w:rsid w:val="00865DE1"/>
    <w:rsid w:val="00866BFD"/>
    <w:rsid w:val="00866FEA"/>
    <w:rsid w:val="0086711C"/>
    <w:rsid w:val="00867255"/>
    <w:rsid w:val="008678F0"/>
    <w:rsid w:val="00870018"/>
    <w:rsid w:val="00870793"/>
    <w:rsid w:val="00870A1C"/>
    <w:rsid w:val="00871029"/>
    <w:rsid w:val="00871096"/>
    <w:rsid w:val="00871171"/>
    <w:rsid w:val="008711F8"/>
    <w:rsid w:val="00871372"/>
    <w:rsid w:val="00871B08"/>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763"/>
    <w:rsid w:val="00877C45"/>
    <w:rsid w:val="00877C57"/>
    <w:rsid w:val="00877FA3"/>
    <w:rsid w:val="008804C9"/>
    <w:rsid w:val="00880783"/>
    <w:rsid w:val="00880D84"/>
    <w:rsid w:val="00880E95"/>
    <w:rsid w:val="008810DF"/>
    <w:rsid w:val="008810FA"/>
    <w:rsid w:val="00881842"/>
    <w:rsid w:val="00881F28"/>
    <w:rsid w:val="008823E3"/>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5A5"/>
    <w:rsid w:val="008867FD"/>
    <w:rsid w:val="008876DF"/>
    <w:rsid w:val="00887771"/>
    <w:rsid w:val="00887FEF"/>
    <w:rsid w:val="008907B2"/>
    <w:rsid w:val="00890BCD"/>
    <w:rsid w:val="00890E0D"/>
    <w:rsid w:val="00890F04"/>
    <w:rsid w:val="00890FBE"/>
    <w:rsid w:val="00891768"/>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97605"/>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5665"/>
    <w:rsid w:val="008B60ED"/>
    <w:rsid w:val="008B66CB"/>
    <w:rsid w:val="008B6D24"/>
    <w:rsid w:val="008B6E5C"/>
    <w:rsid w:val="008C1161"/>
    <w:rsid w:val="008C1A38"/>
    <w:rsid w:val="008C2236"/>
    <w:rsid w:val="008C2426"/>
    <w:rsid w:val="008C2453"/>
    <w:rsid w:val="008C26B4"/>
    <w:rsid w:val="008C2767"/>
    <w:rsid w:val="008C4B47"/>
    <w:rsid w:val="008C570A"/>
    <w:rsid w:val="008C59D5"/>
    <w:rsid w:val="008C5B10"/>
    <w:rsid w:val="008C6970"/>
    <w:rsid w:val="008C6C7A"/>
    <w:rsid w:val="008C6F15"/>
    <w:rsid w:val="008C6F4F"/>
    <w:rsid w:val="008C6F9B"/>
    <w:rsid w:val="008C6FA2"/>
    <w:rsid w:val="008C7245"/>
    <w:rsid w:val="008C74CC"/>
    <w:rsid w:val="008C76D5"/>
    <w:rsid w:val="008C7F77"/>
    <w:rsid w:val="008D0459"/>
    <w:rsid w:val="008D05D2"/>
    <w:rsid w:val="008D069D"/>
    <w:rsid w:val="008D0865"/>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2E90"/>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96"/>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442"/>
    <w:rsid w:val="00900B17"/>
    <w:rsid w:val="00900B60"/>
    <w:rsid w:val="00900DDE"/>
    <w:rsid w:val="00900DF1"/>
    <w:rsid w:val="00900E2E"/>
    <w:rsid w:val="009011F3"/>
    <w:rsid w:val="009012ED"/>
    <w:rsid w:val="00901837"/>
    <w:rsid w:val="00901845"/>
    <w:rsid w:val="009022B3"/>
    <w:rsid w:val="009022BC"/>
    <w:rsid w:val="0090255A"/>
    <w:rsid w:val="00902686"/>
    <w:rsid w:val="00902734"/>
    <w:rsid w:val="00903281"/>
    <w:rsid w:val="00903F0F"/>
    <w:rsid w:val="00903F59"/>
    <w:rsid w:val="009045C7"/>
    <w:rsid w:val="0090480E"/>
    <w:rsid w:val="00904A62"/>
    <w:rsid w:val="00904B6D"/>
    <w:rsid w:val="00904D35"/>
    <w:rsid w:val="00904E71"/>
    <w:rsid w:val="009052FA"/>
    <w:rsid w:val="00905A06"/>
    <w:rsid w:val="00905F49"/>
    <w:rsid w:val="0090603C"/>
    <w:rsid w:val="00906100"/>
    <w:rsid w:val="009067B8"/>
    <w:rsid w:val="00906EED"/>
    <w:rsid w:val="00907071"/>
    <w:rsid w:val="0090715C"/>
    <w:rsid w:val="00907BEE"/>
    <w:rsid w:val="00907E2B"/>
    <w:rsid w:val="00910874"/>
    <w:rsid w:val="009108A7"/>
    <w:rsid w:val="009112DF"/>
    <w:rsid w:val="00911A5A"/>
    <w:rsid w:val="00911E1A"/>
    <w:rsid w:val="0091225D"/>
    <w:rsid w:val="009123B9"/>
    <w:rsid w:val="00912A63"/>
    <w:rsid w:val="00912A96"/>
    <w:rsid w:val="00912F6D"/>
    <w:rsid w:val="00913881"/>
    <w:rsid w:val="00913AF7"/>
    <w:rsid w:val="00913B67"/>
    <w:rsid w:val="00913F4C"/>
    <w:rsid w:val="0091404B"/>
    <w:rsid w:val="00914215"/>
    <w:rsid w:val="0091423A"/>
    <w:rsid w:val="00914445"/>
    <w:rsid w:val="00914A5D"/>
    <w:rsid w:val="00915032"/>
    <w:rsid w:val="009150D2"/>
    <w:rsid w:val="00915143"/>
    <w:rsid w:val="009151C0"/>
    <w:rsid w:val="0091537E"/>
    <w:rsid w:val="00915399"/>
    <w:rsid w:val="009154BD"/>
    <w:rsid w:val="0091610F"/>
    <w:rsid w:val="009161BA"/>
    <w:rsid w:val="00920471"/>
    <w:rsid w:val="0092078E"/>
    <w:rsid w:val="00920848"/>
    <w:rsid w:val="009216BF"/>
    <w:rsid w:val="009218D2"/>
    <w:rsid w:val="00921A44"/>
    <w:rsid w:val="00921A74"/>
    <w:rsid w:val="00921C5B"/>
    <w:rsid w:val="00921C9F"/>
    <w:rsid w:val="00921ED5"/>
    <w:rsid w:val="00921FA1"/>
    <w:rsid w:val="009225B6"/>
    <w:rsid w:val="00923151"/>
    <w:rsid w:val="009235CF"/>
    <w:rsid w:val="00923821"/>
    <w:rsid w:val="00924108"/>
    <w:rsid w:val="0092507E"/>
    <w:rsid w:val="009250C2"/>
    <w:rsid w:val="00925267"/>
    <w:rsid w:val="00925836"/>
    <w:rsid w:val="00925B23"/>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5A0"/>
    <w:rsid w:val="009326B1"/>
    <w:rsid w:val="009327B5"/>
    <w:rsid w:val="00932A20"/>
    <w:rsid w:val="00933D61"/>
    <w:rsid w:val="00933DE4"/>
    <w:rsid w:val="00934044"/>
    <w:rsid w:val="00934736"/>
    <w:rsid w:val="00934FFD"/>
    <w:rsid w:val="009352CA"/>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1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5F7"/>
    <w:rsid w:val="0096392B"/>
    <w:rsid w:val="0096397B"/>
    <w:rsid w:val="009645C3"/>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A2C"/>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931"/>
    <w:rsid w:val="009765CF"/>
    <w:rsid w:val="009766CE"/>
    <w:rsid w:val="00976D1B"/>
    <w:rsid w:val="00976FFB"/>
    <w:rsid w:val="00977771"/>
    <w:rsid w:val="00977852"/>
    <w:rsid w:val="009778AB"/>
    <w:rsid w:val="00980403"/>
    <w:rsid w:val="009804CB"/>
    <w:rsid w:val="009809DD"/>
    <w:rsid w:val="00980ACA"/>
    <w:rsid w:val="00980F14"/>
    <w:rsid w:val="009813F1"/>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5FAF"/>
    <w:rsid w:val="009A6127"/>
    <w:rsid w:val="009A62DC"/>
    <w:rsid w:val="009A637B"/>
    <w:rsid w:val="009A6456"/>
    <w:rsid w:val="009A64EE"/>
    <w:rsid w:val="009A6C74"/>
    <w:rsid w:val="009A6EE7"/>
    <w:rsid w:val="009A7154"/>
    <w:rsid w:val="009A78D1"/>
    <w:rsid w:val="009A7B65"/>
    <w:rsid w:val="009A7DFB"/>
    <w:rsid w:val="009A7E08"/>
    <w:rsid w:val="009B003C"/>
    <w:rsid w:val="009B0EA8"/>
    <w:rsid w:val="009B1823"/>
    <w:rsid w:val="009B2604"/>
    <w:rsid w:val="009B2E47"/>
    <w:rsid w:val="009B3685"/>
    <w:rsid w:val="009B3745"/>
    <w:rsid w:val="009B3C79"/>
    <w:rsid w:val="009B3D47"/>
    <w:rsid w:val="009B4250"/>
    <w:rsid w:val="009B4821"/>
    <w:rsid w:val="009B4C1C"/>
    <w:rsid w:val="009B4C24"/>
    <w:rsid w:val="009B5821"/>
    <w:rsid w:val="009B5FEC"/>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221"/>
    <w:rsid w:val="009C5785"/>
    <w:rsid w:val="009C5874"/>
    <w:rsid w:val="009C6768"/>
    <w:rsid w:val="009C6894"/>
    <w:rsid w:val="009C6A4F"/>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0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A0"/>
    <w:rsid w:val="00A043B9"/>
    <w:rsid w:val="00A04541"/>
    <w:rsid w:val="00A04A92"/>
    <w:rsid w:val="00A04DB3"/>
    <w:rsid w:val="00A04E65"/>
    <w:rsid w:val="00A0559E"/>
    <w:rsid w:val="00A05A1F"/>
    <w:rsid w:val="00A05AA6"/>
    <w:rsid w:val="00A05BD0"/>
    <w:rsid w:val="00A05DFF"/>
    <w:rsid w:val="00A0608E"/>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48F3"/>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29F"/>
    <w:rsid w:val="00A322D5"/>
    <w:rsid w:val="00A325C2"/>
    <w:rsid w:val="00A325CC"/>
    <w:rsid w:val="00A327AB"/>
    <w:rsid w:val="00A327E2"/>
    <w:rsid w:val="00A329BB"/>
    <w:rsid w:val="00A32C37"/>
    <w:rsid w:val="00A3331F"/>
    <w:rsid w:val="00A3393A"/>
    <w:rsid w:val="00A34685"/>
    <w:rsid w:val="00A34DA0"/>
    <w:rsid w:val="00A35A0B"/>
    <w:rsid w:val="00A35BD0"/>
    <w:rsid w:val="00A35C1F"/>
    <w:rsid w:val="00A362CB"/>
    <w:rsid w:val="00A3747D"/>
    <w:rsid w:val="00A37A59"/>
    <w:rsid w:val="00A40531"/>
    <w:rsid w:val="00A40660"/>
    <w:rsid w:val="00A41821"/>
    <w:rsid w:val="00A41C5C"/>
    <w:rsid w:val="00A41EF0"/>
    <w:rsid w:val="00A422A2"/>
    <w:rsid w:val="00A42659"/>
    <w:rsid w:val="00A4339C"/>
    <w:rsid w:val="00A4392A"/>
    <w:rsid w:val="00A43F05"/>
    <w:rsid w:val="00A4424E"/>
    <w:rsid w:val="00A44882"/>
    <w:rsid w:val="00A44E28"/>
    <w:rsid w:val="00A45371"/>
    <w:rsid w:val="00A4570E"/>
    <w:rsid w:val="00A45767"/>
    <w:rsid w:val="00A4579D"/>
    <w:rsid w:val="00A45A3B"/>
    <w:rsid w:val="00A45C5B"/>
    <w:rsid w:val="00A46D1A"/>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466"/>
    <w:rsid w:val="00A606AC"/>
    <w:rsid w:val="00A6070B"/>
    <w:rsid w:val="00A609BC"/>
    <w:rsid w:val="00A60B4F"/>
    <w:rsid w:val="00A60EBB"/>
    <w:rsid w:val="00A615AF"/>
    <w:rsid w:val="00A61828"/>
    <w:rsid w:val="00A6189D"/>
    <w:rsid w:val="00A61919"/>
    <w:rsid w:val="00A6194B"/>
    <w:rsid w:val="00A61F65"/>
    <w:rsid w:val="00A6218C"/>
    <w:rsid w:val="00A621F3"/>
    <w:rsid w:val="00A623EF"/>
    <w:rsid w:val="00A62454"/>
    <w:rsid w:val="00A62788"/>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03D"/>
    <w:rsid w:val="00A6636E"/>
    <w:rsid w:val="00A66851"/>
    <w:rsid w:val="00A669D6"/>
    <w:rsid w:val="00A6743F"/>
    <w:rsid w:val="00A677C1"/>
    <w:rsid w:val="00A67A8E"/>
    <w:rsid w:val="00A67AC6"/>
    <w:rsid w:val="00A70A35"/>
    <w:rsid w:val="00A7141F"/>
    <w:rsid w:val="00A71964"/>
    <w:rsid w:val="00A71D6B"/>
    <w:rsid w:val="00A71F00"/>
    <w:rsid w:val="00A726A3"/>
    <w:rsid w:val="00A726DE"/>
    <w:rsid w:val="00A73242"/>
    <w:rsid w:val="00A73873"/>
    <w:rsid w:val="00A739AB"/>
    <w:rsid w:val="00A73D4C"/>
    <w:rsid w:val="00A744A2"/>
    <w:rsid w:val="00A74598"/>
    <w:rsid w:val="00A745D9"/>
    <w:rsid w:val="00A74E04"/>
    <w:rsid w:val="00A74F6C"/>
    <w:rsid w:val="00A74FB9"/>
    <w:rsid w:val="00A75212"/>
    <w:rsid w:val="00A7538B"/>
    <w:rsid w:val="00A75920"/>
    <w:rsid w:val="00A75DE7"/>
    <w:rsid w:val="00A7634B"/>
    <w:rsid w:val="00A764B9"/>
    <w:rsid w:val="00A76696"/>
    <w:rsid w:val="00A76A52"/>
    <w:rsid w:val="00A76AEE"/>
    <w:rsid w:val="00A76BF2"/>
    <w:rsid w:val="00A770A5"/>
    <w:rsid w:val="00A7735F"/>
    <w:rsid w:val="00A806D6"/>
    <w:rsid w:val="00A8135C"/>
    <w:rsid w:val="00A81633"/>
    <w:rsid w:val="00A81694"/>
    <w:rsid w:val="00A81D9B"/>
    <w:rsid w:val="00A8221B"/>
    <w:rsid w:val="00A82508"/>
    <w:rsid w:val="00A82759"/>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A97"/>
    <w:rsid w:val="00A86F67"/>
    <w:rsid w:val="00A86FEF"/>
    <w:rsid w:val="00A8706A"/>
    <w:rsid w:val="00A87482"/>
    <w:rsid w:val="00A87564"/>
    <w:rsid w:val="00A87E67"/>
    <w:rsid w:val="00A87F4E"/>
    <w:rsid w:val="00A90134"/>
    <w:rsid w:val="00A901CB"/>
    <w:rsid w:val="00A905F1"/>
    <w:rsid w:val="00A90E27"/>
    <w:rsid w:val="00A91218"/>
    <w:rsid w:val="00A91469"/>
    <w:rsid w:val="00A9164F"/>
    <w:rsid w:val="00A91F3E"/>
    <w:rsid w:val="00A9213F"/>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711"/>
    <w:rsid w:val="00A9692B"/>
    <w:rsid w:val="00A96CF6"/>
    <w:rsid w:val="00A96D7E"/>
    <w:rsid w:val="00A96E41"/>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79B"/>
    <w:rsid w:val="00AA29F2"/>
    <w:rsid w:val="00AA2CD8"/>
    <w:rsid w:val="00AA30A2"/>
    <w:rsid w:val="00AA3644"/>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A7CDD"/>
    <w:rsid w:val="00AB001C"/>
    <w:rsid w:val="00AB02C8"/>
    <w:rsid w:val="00AB05BC"/>
    <w:rsid w:val="00AB06B8"/>
    <w:rsid w:val="00AB06E6"/>
    <w:rsid w:val="00AB0ADE"/>
    <w:rsid w:val="00AB0B59"/>
    <w:rsid w:val="00AB0CA0"/>
    <w:rsid w:val="00AB102D"/>
    <w:rsid w:val="00AB15B8"/>
    <w:rsid w:val="00AB1705"/>
    <w:rsid w:val="00AB1A33"/>
    <w:rsid w:val="00AB2857"/>
    <w:rsid w:val="00AB2EB7"/>
    <w:rsid w:val="00AB3299"/>
    <w:rsid w:val="00AB3418"/>
    <w:rsid w:val="00AB3491"/>
    <w:rsid w:val="00AB3E16"/>
    <w:rsid w:val="00AB3E3E"/>
    <w:rsid w:val="00AB3F13"/>
    <w:rsid w:val="00AB3F9D"/>
    <w:rsid w:val="00AB4139"/>
    <w:rsid w:val="00AB4157"/>
    <w:rsid w:val="00AB42FF"/>
    <w:rsid w:val="00AB4300"/>
    <w:rsid w:val="00AB443A"/>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309"/>
    <w:rsid w:val="00AC0CC3"/>
    <w:rsid w:val="00AC1281"/>
    <w:rsid w:val="00AC12FD"/>
    <w:rsid w:val="00AC1459"/>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AAE"/>
    <w:rsid w:val="00AD7E17"/>
    <w:rsid w:val="00AE0160"/>
    <w:rsid w:val="00AE0D23"/>
    <w:rsid w:val="00AE0E9E"/>
    <w:rsid w:val="00AE14B7"/>
    <w:rsid w:val="00AE1803"/>
    <w:rsid w:val="00AE19D1"/>
    <w:rsid w:val="00AE2205"/>
    <w:rsid w:val="00AE232B"/>
    <w:rsid w:val="00AE26F5"/>
    <w:rsid w:val="00AE2968"/>
    <w:rsid w:val="00AE2CA5"/>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9CC"/>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FF5"/>
    <w:rsid w:val="00B03101"/>
    <w:rsid w:val="00B039CE"/>
    <w:rsid w:val="00B03BB8"/>
    <w:rsid w:val="00B03D26"/>
    <w:rsid w:val="00B04AD7"/>
    <w:rsid w:val="00B04D36"/>
    <w:rsid w:val="00B04F11"/>
    <w:rsid w:val="00B0540A"/>
    <w:rsid w:val="00B05688"/>
    <w:rsid w:val="00B0588E"/>
    <w:rsid w:val="00B06054"/>
    <w:rsid w:val="00B0618C"/>
    <w:rsid w:val="00B06771"/>
    <w:rsid w:val="00B06C77"/>
    <w:rsid w:val="00B07390"/>
    <w:rsid w:val="00B075EC"/>
    <w:rsid w:val="00B076A7"/>
    <w:rsid w:val="00B076C4"/>
    <w:rsid w:val="00B07CBE"/>
    <w:rsid w:val="00B10196"/>
    <w:rsid w:val="00B108ED"/>
    <w:rsid w:val="00B1093D"/>
    <w:rsid w:val="00B10DF3"/>
    <w:rsid w:val="00B11882"/>
    <w:rsid w:val="00B11E29"/>
    <w:rsid w:val="00B12A8C"/>
    <w:rsid w:val="00B13003"/>
    <w:rsid w:val="00B137BE"/>
    <w:rsid w:val="00B13829"/>
    <w:rsid w:val="00B13CD0"/>
    <w:rsid w:val="00B13F1F"/>
    <w:rsid w:val="00B14251"/>
    <w:rsid w:val="00B147CC"/>
    <w:rsid w:val="00B14A16"/>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305"/>
    <w:rsid w:val="00B24F49"/>
    <w:rsid w:val="00B251C6"/>
    <w:rsid w:val="00B25585"/>
    <w:rsid w:val="00B2571D"/>
    <w:rsid w:val="00B25A0E"/>
    <w:rsid w:val="00B25A70"/>
    <w:rsid w:val="00B25BD8"/>
    <w:rsid w:val="00B25E1D"/>
    <w:rsid w:val="00B25F9A"/>
    <w:rsid w:val="00B2613A"/>
    <w:rsid w:val="00B263BE"/>
    <w:rsid w:val="00B269CE"/>
    <w:rsid w:val="00B2757B"/>
    <w:rsid w:val="00B27B87"/>
    <w:rsid w:val="00B27D54"/>
    <w:rsid w:val="00B310A6"/>
    <w:rsid w:val="00B317EB"/>
    <w:rsid w:val="00B31E5F"/>
    <w:rsid w:val="00B322A7"/>
    <w:rsid w:val="00B32607"/>
    <w:rsid w:val="00B326BE"/>
    <w:rsid w:val="00B32F7F"/>
    <w:rsid w:val="00B33126"/>
    <w:rsid w:val="00B338CE"/>
    <w:rsid w:val="00B3396B"/>
    <w:rsid w:val="00B33BE6"/>
    <w:rsid w:val="00B33F7C"/>
    <w:rsid w:val="00B34390"/>
    <w:rsid w:val="00B3539A"/>
    <w:rsid w:val="00B354C9"/>
    <w:rsid w:val="00B35CB3"/>
    <w:rsid w:val="00B35F8E"/>
    <w:rsid w:val="00B366F1"/>
    <w:rsid w:val="00B36D0F"/>
    <w:rsid w:val="00B4003E"/>
    <w:rsid w:val="00B40276"/>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233"/>
    <w:rsid w:val="00B45A61"/>
    <w:rsid w:val="00B45AC0"/>
    <w:rsid w:val="00B46501"/>
    <w:rsid w:val="00B469D2"/>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5BF3"/>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AE3"/>
    <w:rsid w:val="00B67B2B"/>
    <w:rsid w:val="00B7021B"/>
    <w:rsid w:val="00B70333"/>
    <w:rsid w:val="00B70A03"/>
    <w:rsid w:val="00B70A49"/>
    <w:rsid w:val="00B70EDB"/>
    <w:rsid w:val="00B71A5D"/>
    <w:rsid w:val="00B72531"/>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699"/>
    <w:rsid w:val="00B77B57"/>
    <w:rsid w:val="00B77D8A"/>
    <w:rsid w:val="00B80132"/>
    <w:rsid w:val="00B8053A"/>
    <w:rsid w:val="00B80795"/>
    <w:rsid w:val="00B80F5B"/>
    <w:rsid w:val="00B81578"/>
    <w:rsid w:val="00B81684"/>
    <w:rsid w:val="00B817F4"/>
    <w:rsid w:val="00B820AE"/>
    <w:rsid w:val="00B821AB"/>
    <w:rsid w:val="00B8282F"/>
    <w:rsid w:val="00B8298D"/>
    <w:rsid w:val="00B82A8C"/>
    <w:rsid w:val="00B82E64"/>
    <w:rsid w:val="00B830F7"/>
    <w:rsid w:val="00B8321E"/>
    <w:rsid w:val="00B837F5"/>
    <w:rsid w:val="00B83AC3"/>
    <w:rsid w:val="00B83DAC"/>
    <w:rsid w:val="00B83DF6"/>
    <w:rsid w:val="00B841D6"/>
    <w:rsid w:val="00B84BE8"/>
    <w:rsid w:val="00B855A8"/>
    <w:rsid w:val="00B85837"/>
    <w:rsid w:val="00B85883"/>
    <w:rsid w:val="00B85F67"/>
    <w:rsid w:val="00B86557"/>
    <w:rsid w:val="00B87C60"/>
    <w:rsid w:val="00B90165"/>
    <w:rsid w:val="00B91356"/>
    <w:rsid w:val="00B91E9D"/>
    <w:rsid w:val="00B922C4"/>
    <w:rsid w:val="00B926E0"/>
    <w:rsid w:val="00B92AD4"/>
    <w:rsid w:val="00B92BF1"/>
    <w:rsid w:val="00B932E1"/>
    <w:rsid w:val="00B93344"/>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97CD8"/>
    <w:rsid w:val="00BA067F"/>
    <w:rsid w:val="00BA13E0"/>
    <w:rsid w:val="00BA15F3"/>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680"/>
    <w:rsid w:val="00BA682B"/>
    <w:rsid w:val="00BA68C1"/>
    <w:rsid w:val="00BA6D50"/>
    <w:rsid w:val="00BA712E"/>
    <w:rsid w:val="00BA7372"/>
    <w:rsid w:val="00BA7423"/>
    <w:rsid w:val="00BA7688"/>
    <w:rsid w:val="00BA7EB0"/>
    <w:rsid w:val="00BB008F"/>
    <w:rsid w:val="00BB0528"/>
    <w:rsid w:val="00BB070E"/>
    <w:rsid w:val="00BB0D75"/>
    <w:rsid w:val="00BB1286"/>
    <w:rsid w:val="00BB1C4F"/>
    <w:rsid w:val="00BB20E7"/>
    <w:rsid w:val="00BB225D"/>
    <w:rsid w:val="00BB277B"/>
    <w:rsid w:val="00BB2835"/>
    <w:rsid w:val="00BB2F14"/>
    <w:rsid w:val="00BB3224"/>
    <w:rsid w:val="00BB358E"/>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D5"/>
    <w:rsid w:val="00BB7A21"/>
    <w:rsid w:val="00BB7DB1"/>
    <w:rsid w:val="00BC0AE6"/>
    <w:rsid w:val="00BC16BF"/>
    <w:rsid w:val="00BC1B4B"/>
    <w:rsid w:val="00BC1EA8"/>
    <w:rsid w:val="00BC201A"/>
    <w:rsid w:val="00BC2BC7"/>
    <w:rsid w:val="00BC2F45"/>
    <w:rsid w:val="00BC344E"/>
    <w:rsid w:val="00BC38B8"/>
    <w:rsid w:val="00BC3CF8"/>
    <w:rsid w:val="00BC3D8E"/>
    <w:rsid w:val="00BC4960"/>
    <w:rsid w:val="00BC4B9C"/>
    <w:rsid w:val="00BC5181"/>
    <w:rsid w:val="00BC56C1"/>
    <w:rsid w:val="00BC5CE2"/>
    <w:rsid w:val="00BC5D0D"/>
    <w:rsid w:val="00BC642E"/>
    <w:rsid w:val="00BC6742"/>
    <w:rsid w:val="00BC71C5"/>
    <w:rsid w:val="00BC7659"/>
    <w:rsid w:val="00BC76D2"/>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D36"/>
    <w:rsid w:val="00BD7F9E"/>
    <w:rsid w:val="00BE072F"/>
    <w:rsid w:val="00BE0C3B"/>
    <w:rsid w:val="00BE13B8"/>
    <w:rsid w:val="00BE1542"/>
    <w:rsid w:val="00BE197A"/>
    <w:rsid w:val="00BE1A06"/>
    <w:rsid w:val="00BE2E99"/>
    <w:rsid w:val="00BE3AFA"/>
    <w:rsid w:val="00BE3F52"/>
    <w:rsid w:val="00BE403F"/>
    <w:rsid w:val="00BE5515"/>
    <w:rsid w:val="00BE5613"/>
    <w:rsid w:val="00BE5813"/>
    <w:rsid w:val="00BE5C7E"/>
    <w:rsid w:val="00BE65B3"/>
    <w:rsid w:val="00BE68B9"/>
    <w:rsid w:val="00BE7265"/>
    <w:rsid w:val="00BE7568"/>
    <w:rsid w:val="00BE76E2"/>
    <w:rsid w:val="00BE7B27"/>
    <w:rsid w:val="00BF0089"/>
    <w:rsid w:val="00BF02E6"/>
    <w:rsid w:val="00BF0A66"/>
    <w:rsid w:val="00BF10D2"/>
    <w:rsid w:val="00BF10D6"/>
    <w:rsid w:val="00BF120B"/>
    <w:rsid w:val="00BF1309"/>
    <w:rsid w:val="00BF18B9"/>
    <w:rsid w:val="00BF1B70"/>
    <w:rsid w:val="00BF220D"/>
    <w:rsid w:val="00BF2817"/>
    <w:rsid w:val="00BF290F"/>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17A"/>
    <w:rsid w:val="00BF7AB6"/>
    <w:rsid w:val="00BF7CDD"/>
    <w:rsid w:val="00BF7D43"/>
    <w:rsid w:val="00C00F1A"/>
    <w:rsid w:val="00C010F5"/>
    <w:rsid w:val="00C01835"/>
    <w:rsid w:val="00C01DFD"/>
    <w:rsid w:val="00C0207C"/>
    <w:rsid w:val="00C02192"/>
    <w:rsid w:val="00C0279C"/>
    <w:rsid w:val="00C02CDE"/>
    <w:rsid w:val="00C03B7B"/>
    <w:rsid w:val="00C03C30"/>
    <w:rsid w:val="00C0409A"/>
    <w:rsid w:val="00C04339"/>
    <w:rsid w:val="00C04C6C"/>
    <w:rsid w:val="00C057E0"/>
    <w:rsid w:val="00C05863"/>
    <w:rsid w:val="00C05C20"/>
    <w:rsid w:val="00C06031"/>
    <w:rsid w:val="00C06066"/>
    <w:rsid w:val="00C0648A"/>
    <w:rsid w:val="00C06615"/>
    <w:rsid w:val="00C067A4"/>
    <w:rsid w:val="00C06F8C"/>
    <w:rsid w:val="00C07A6C"/>
    <w:rsid w:val="00C07AE3"/>
    <w:rsid w:val="00C07AE4"/>
    <w:rsid w:val="00C10599"/>
    <w:rsid w:val="00C10EFD"/>
    <w:rsid w:val="00C10F46"/>
    <w:rsid w:val="00C1114F"/>
    <w:rsid w:val="00C11183"/>
    <w:rsid w:val="00C11197"/>
    <w:rsid w:val="00C1157C"/>
    <w:rsid w:val="00C11B8D"/>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F51"/>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5826"/>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459"/>
    <w:rsid w:val="00C3463A"/>
    <w:rsid w:val="00C346BB"/>
    <w:rsid w:val="00C346C1"/>
    <w:rsid w:val="00C34BDB"/>
    <w:rsid w:val="00C34C05"/>
    <w:rsid w:val="00C34D4B"/>
    <w:rsid w:val="00C34F16"/>
    <w:rsid w:val="00C3566B"/>
    <w:rsid w:val="00C35B23"/>
    <w:rsid w:val="00C36050"/>
    <w:rsid w:val="00C361B0"/>
    <w:rsid w:val="00C36492"/>
    <w:rsid w:val="00C367B9"/>
    <w:rsid w:val="00C36DAD"/>
    <w:rsid w:val="00C37050"/>
    <w:rsid w:val="00C37823"/>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042"/>
    <w:rsid w:val="00C4587D"/>
    <w:rsid w:val="00C45C66"/>
    <w:rsid w:val="00C470AA"/>
    <w:rsid w:val="00C47AE8"/>
    <w:rsid w:val="00C47B93"/>
    <w:rsid w:val="00C47BDE"/>
    <w:rsid w:val="00C5002F"/>
    <w:rsid w:val="00C5063C"/>
    <w:rsid w:val="00C508B7"/>
    <w:rsid w:val="00C509D3"/>
    <w:rsid w:val="00C51696"/>
    <w:rsid w:val="00C51D11"/>
    <w:rsid w:val="00C51D30"/>
    <w:rsid w:val="00C51D5C"/>
    <w:rsid w:val="00C51DCB"/>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A62"/>
    <w:rsid w:val="00C66C34"/>
    <w:rsid w:val="00C66F69"/>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6CB"/>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4A3"/>
    <w:rsid w:val="00C8198E"/>
    <w:rsid w:val="00C81B30"/>
    <w:rsid w:val="00C8220B"/>
    <w:rsid w:val="00C82387"/>
    <w:rsid w:val="00C823D0"/>
    <w:rsid w:val="00C831FC"/>
    <w:rsid w:val="00C83218"/>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A9F"/>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253"/>
    <w:rsid w:val="00CA49C0"/>
    <w:rsid w:val="00CA4A24"/>
    <w:rsid w:val="00CA4A3F"/>
    <w:rsid w:val="00CA4C14"/>
    <w:rsid w:val="00CA4F58"/>
    <w:rsid w:val="00CA51A0"/>
    <w:rsid w:val="00CA5DA3"/>
    <w:rsid w:val="00CA6164"/>
    <w:rsid w:val="00CB01BC"/>
    <w:rsid w:val="00CB0280"/>
    <w:rsid w:val="00CB03CF"/>
    <w:rsid w:val="00CB047F"/>
    <w:rsid w:val="00CB11BD"/>
    <w:rsid w:val="00CB1233"/>
    <w:rsid w:val="00CB1368"/>
    <w:rsid w:val="00CB167F"/>
    <w:rsid w:val="00CB1F2A"/>
    <w:rsid w:val="00CB27D0"/>
    <w:rsid w:val="00CB299C"/>
    <w:rsid w:val="00CB2A3C"/>
    <w:rsid w:val="00CB2BBA"/>
    <w:rsid w:val="00CB2C9B"/>
    <w:rsid w:val="00CB35ED"/>
    <w:rsid w:val="00CB39EB"/>
    <w:rsid w:val="00CB41E7"/>
    <w:rsid w:val="00CB480A"/>
    <w:rsid w:val="00CB4FA5"/>
    <w:rsid w:val="00CB5008"/>
    <w:rsid w:val="00CB58DD"/>
    <w:rsid w:val="00CB5A00"/>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0"/>
    <w:rsid w:val="00CC1A18"/>
    <w:rsid w:val="00CC1D2E"/>
    <w:rsid w:val="00CC1E3E"/>
    <w:rsid w:val="00CC1E40"/>
    <w:rsid w:val="00CC27F5"/>
    <w:rsid w:val="00CC2D18"/>
    <w:rsid w:val="00CC2EFE"/>
    <w:rsid w:val="00CC32B0"/>
    <w:rsid w:val="00CC3D8D"/>
    <w:rsid w:val="00CC3E8C"/>
    <w:rsid w:val="00CC400F"/>
    <w:rsid w:val="00CC4365"/>
    <w:rsid w:val="00CC4C4B"/>
    <w:rsid w:val="00CC4C5E"/>
    <w:rsid w:val="00CC4CD7"/>
    <w:rsid w:val="00CC4F58"/>
    <w:rsid w:val="00CC57AE"/>
    <w:rsid w:val="00CC6068"/>
    <w:rsid w:val="00CC606C"/>
    <w:rsid w:val="00CC620F"/>
    <w:rsid w:val="00CC6C91"/>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3E3"/>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BCF"/>
    <w:rsid w:val="00CF3E2B"/>
    <w:rsid w:val="00CF3F01"/>
    <w:rsid w:val="00CF4050"/>
    <w:rsid w:val="00CF41AE"/>
    <w:rsid w:val="00CF495B"/>
    <w:rsid w:val="00CF4F02"/>
    <w:rsid w:val="00CF4F88"/>
    <w:rsid w:val="00CF5EE9"/>
    <w:rsid w:val="00CF61A3"/>
    <w:rsid w:val="00CF66DE"/>
    <w:rsid w:val="00CF6848"/>
    <w:rsid w:val="00CF6AF3"/>
    <w:rsid w:val="00CF6C9A"/>
    <w:rsid w:val="00CF74A3"/>
    <w:rsid w:val="00CF74F6"/>
    <w:rsid w:val="00CF76AE"/>
    <w:rsid w:val="00CF7823"/>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B39"/>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4BAE"/>
    <w:rsid w:val="00D1552A"/>
    <w:rsid w:val="00D15D18"/>
    <w:rsid w:val="00D15D9D"/>
    <w:rsid w:val="00D1624D"/>
    <w:rsid w:val="00D17740"/>
    <w:rsid w:val="00D17869"/>
    <w:rsid w:val="00D1792B"/>
    <w:rsid w:val="00D17F37"/>
    <w:rsid w:val="00D202D3"/>
    <w:rsid w:val="00D2171B"/>
    <w:rsid w:val="00D217CE"/>
    <w:rsid w:val="00D21A77"/>
    <w:rsid w:val="00D22148"/>
    <w:rsid w:val="00D229A3"/>
    <w:rsid w:val="00D22C3A"/>
    <w:rsid w:val="00D22D40"/>
    <w:rsid w:val="00D22F49"/>
    <w:rsid w:val="00D23556"/>
    <w:rsid w:val="00D23A1F"/>
    <w:rsid w:val="00D23B89"/>
    <w:rsid w:val="00D23CE2"/>
    <w:rsid w:val="00D24313"/>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1FE2"/>
    <w:rsid w:val="00D421D9"/>
    <w:rsid w:val="00D42223"/>
    <w:rsid w:val="00D422E4"/>
    <w:rsid w:val="00D424E7"/>
    <w:rsid w:val="00D42B71"/>
    <w:rsid w:val="00D42D5D"/>
    <w:rsid w:val="00D43470"/>
    <w:rsid w:val="00D43888"/>
    <w:rsid w:val="00D4429F"/>
    <w:rsid w:val="00D44A5C"/>
    <w:rsid w:val="00D457F8"/>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3955"/>
    <w:rsid w:val="00D54370"/>
    <w:rsid w:val="00D5438E"/>
    <w:rsid w:val="00D54C59"/>
    <w:rsid w:val="00D54D49"/>
    <w:rsid w:val="00D54D88"/>
    <w:rsid w:val="00D5521C"/>
    <w:rsid w:val="00D554E6"/>
    <w:rsid w:val="00D55723"/>
    <w:rsid w:val="00D55B68"/>
    <w:rsid w:val="00D55BD5"/>
    <w:rsid w:val="00D55C37"/>
    <w:rsid w:val="00D55C62"/>
    <w:rsid w:val="00D56330"/>
    <w:rsid w:val="00D563C2"/>
    <w:rsid w:val="00D56650"/>
    <w:rsid w:val="00D56810"/>
    <w:rsid w:val="00D56C31"/>
    <w:rsid w:val="00D56D65"/>
    <w:rsid w:val="00D572B2"/>
    <w:rsid w:val="00D57C20"/>
    <w:rsid w:val="00D57F0A"/>
    <w:rsid w:val="00D60207"/>
    <w:rsid w:val="00D6038F"/>
    <w:rsid w:val="00D6041F"/>
    <w:rsid w:val="00D60BCB"/>
    <w:rsid w:val="00D60C1A"/>
    <w:rsid w:val="00D60CB2"/>
    <w:rsid w:val="00D60DD4"/>
    <w:rsid w:val="00D60EA4"/>
    <w:rsid w:val="00D60F92"/>
    <w:rsid w:val="00D610FA"/>
    <w:rsid w:val="00D6141A"/>
    <w:rsid w:val="00D61697"/>
    <w:rsid w:val="00D62243"/>
    <w:rsid w:val="00D6278F"/>
    <w:rsid w:val="00D62949"/>
    <w:rsid w:val="00D629D3"/>
    <w:rsid w:val="00D62DEC"/>
    <w:rsid w:val="00D62E00"/>
    <w:rsid w:val="00D63B19"/>
    <w:rsid w:val="00D63BAD"/>
    <w:rsid w:val="00D6410E"/>
    <w:rsid w:val="00D6420A"/>
    <w:rsid w:val="00D6447E"/>
    <w:rsid w:val="00D645BF"/>
    <w:rsid w:val="00D647F9"/>
    <w:rsid w:val="00D6485C"/>
    <w:rsid w:val="00D64864"/>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3EFE"/>
    <w:rsid w:val="00D74461"/>
    <w:rsid w:val="00D74AF7"/>
    <w:rsid w:val="00D7505F"/>
    <w:rsid w:val="00D75199"/>
    <w:rsid w:val="00D75277"/>
    <w:rsid w:val="00D75843"/>
    <w:rsid w:val="00D758A1"/>
    <w:rsid w:val="00D75E85"/>
    <w:rsid w:val="00D75F68"/>
    <w:rsid w:val="00D7643F"/>
    <w:rsid w:val="00D769F0"/>
    <w:rsid w:val="00D76A12"/>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87DDF"/>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878"/>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568"/>
    <w:rsid w:val="00DA1D80"/>
    <w:rsid w:val="00DA2046"/>
    <w:rsid w:val="00DA2185"/>
    <w:rsid w:val="00DA23D2"/>
    <w:rsid w:val="00DA29C4"/>
    <w:rsid w:val="00DA2D90"/>
    <w:rsid w:val="00DA2E62"/>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A7FCA"/>
    <w:rsid w:val="00DB0564"/>
    <w:rsid w:val="00DB09F7"/>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D50"/>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64C"/>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2A9C"/>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5EBF"/>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3DB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3F"/>
    <w:rsid w:val="00E108C4"/>
    <w:rsid w:val="00E11075"/>
    <w:rsid w:val="00E11D60"/>
    <w:rsid w:val="00E11EB8"/>
    <w:rsid w:val="00E1273A"/>
    <w:rsid w:val="00E12933"/>
    <w:rsid w:val="00E12A5A"/>
    <w:rsid w:val="00E12AF0"/>
    <w:rsid w:val="00E12E41"/>
    <w:rsid w:val="00E12FB2"/>
    <w:rsid w:val="00E136AE"/>
    <w:rsid w:val="00E139D0"/>
    <w:rsid w:val="00E143F1"/>
    <w:rsid w:val="00E145A7"/>
    <w:rsid w:val="00E145E0"/>
    <w:rsid w:val="00E147E5"/>
    <w:rsid w:val="00E14913"/>
    <w:rsid w:val="00E149D5"/>
    <w:rsid w:val="00E150B1"/>
    <w:rsid w:val="00E152A7"/>
    <w:rsid w:val="00E15343"/>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6EA7"/>
    <w:rsid w:val="00E272FE"/>
    <w:rsid w:val="00E27801"/>
    <w:rsid w:val="00E30517"/>
    <w:rsid w:val="00E3066B"/>
    <w:rsid w:val="00E3070A"/>
    <w:rsid w:val="00E30A72"/>
    <w:rsid w:val="00E30DB2"/>
    <w:rsid w:val="00E31506"/>
    <w:rsid w:val="00E3200D"/>
    <w:rsid w:val="00E32E0E"/>
    <w:rsid w:val="00E32E10"/>
    <w:rsid w:val="00E3305B"/>
    <w:rsid w:val="00E33506"/>
    <w:rsid w:val="00E33704"/>
    <w:rsid w:val="00E33802"/>
    <w:rsid w:val="00E33814"/>
    <w:rsid w:val="00E339C6"/>
    <w:rsid w:val="00E33B8C"/>
    <w:rsid w:val="00E33E4D"/>
    <w:rsid w:val="00E34120"/>
    <w:rsid w:val="00E34D6F"/>
    <w:rsid w:val="00E34F08"/>
    <w:rsid w:val="00E35698"/>
    <w:rsid w:val="00E35AC2"/>
    <w:rsid w:val="00E35EB9"/>
    <w:rsid w:val="00E35F47"/>
    <w:rsid w:val="00E3610B"/>
    <w:rsid w:val="00E363B9"/>
    <w:rsid w:val="00E36AED"/>
    <w:rsid w:val="00E371FD"/>
    <w:rsid w:val="00E377BF"/>
    <w:rsid w:val="00E37C25"/>
    <w:rsid w:val="00E40362"/>
    <w:rsid w:val="00E41BAC"/>
    <w:rsid w:val="00E42532"/>
    <w:rsid w:val="00E42D71"/>
    <w:rsid w:val="00E432AE"/>
    <w:rsid w:val="00E434D2"/>
    <w:rsid w:val="00E4356E"/>
    <w:rsid w:val="00E43F1E"/>
    <w:rsid w:val="00E4466A"/>
    <w:rsid w:val="00E447D5"/>
    <w:rsid w:val="00E44DE0"/>
    <w:rsid w:val="00E45041"/>
    <w:rsid w:val="00E450D8"/>
    <w:rsid w:val="00E452D0"/>
    <w:rsid w:val="00E45A9D"/>
    <w:rsid w:val="00E460A1"/>
    <w:rsid w:val="00E46CC9"/>
    <w:rsid w:val="00E46F11"/>
    <w:rsid w:val="00E47D5F"/>
    <w:rsid w:val="00E47D96"/>
    <w:rsid w:val="00E508D6"/>
    <w:rsid w:val="00E50FBC"/>
    <w:rsid w:val="00E515A3"/>
    <w:rsid w:val="00E51A1D"/>
    <w:rsid w:val="00E51E23"/>
    <w:rsid w:val="00E523F3"/>
    <w:rsid w:val="00E529A8"/>
    <w:rsid w:val="00E52F76"/>
    <w:rsid w:val="00E5315C"/>
    <w:rsid w:val="00E534EA"/>
    <w:rsid w:val="00E538E0"/>
    <w:rsid w:val="00E547DF"/>
    <w:rsid w:val="00E54D33"/>
    <w:rsid w:val="00E550B5"/>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27A"/>
    <w:rsid w:val="00E62AF2"/>
    <w:rsid w:val="00E62C6B"/>
    <w:rsid w:val="00E630F7"/>
    <w:rsid w:val="00E643D0"/>
    <w:rsid w:val="00E64763"/>
    <w:rsid w:val="00E647DC"/>
    <w:rsid w:val="00E6484F"/>
    <w:rsid w:val="00E64B4F"/>
    <w:rsid w:val="00E65A35"/>
    <w:rsid w:val="00E65D9F"/>
    <w:rsid w:val="00E65E6B"/>
    <w:rsid w:val="00E6640D"/>
    <w:rsid w:val="00E666A1"/>
    <w:rsid w:val="00E6682F"/>
    <w:rsid w:val="00E67631"/>
    <w:rsid w:val="00E67B7F"/>
    <w:rsid w:val="00E7041A"/>
    <w:rsid w:val="00E705E5"/>
    <w:rsid w:val="00E70B0C"/>
    <w:rsid w:val="00E71952"/>
    <w:rsid w:val="00E71DF1"/>
    <w:rsid w:val="00E71EDB"/>
    <w:rsid w:val="00E723D3"/>
    <w:rsid w:val="00E7242A"/>
    <w:rsid w:val="00E72ABE"/>
    <w:rsid w:val="00E72BCC"/>
    <w:rsid w:val="00E738E0"/>
    <w:rsid w:val="00E739A7"/>
    <w:rsid w:val="00E73B87"/>
    <w:rsid w:val="00E73E01"/>
    <w:rsid w:val="00E7449A"/>
    <w:rsid w:val="00E74B5A"/>
    <w:rsid w:val="00E7524F"/>
    <w:rsid w:val="00E7556D"/>
    <w:rsid w:val="00E75693"/>
    <w:rsid w:val="00E756FB"/>
    <w:rsid w:val="00E75BE6"/>
    <w:rsid w:val="00E76141"/>
    <w:rsid w:val="00E76270"/>
    <w:rsid w:val="00E76B45"/>
    <w:rsid w:val="00E77040"/>
    <w:rsid w:val="00E772AB"/>
    <w:rsid w:val="00E772C4"/>
    <w:rsid w:val="00E77655"/>
    <w:rsid w:val="00E8016D"/>
    <w:rsid w:val="00E810EC"/>
    <w:rsid w:val="00E8112C"/>
    <w:rsid w:val="00E81587"/>
    <w:rsid w:val="00E815AE"/>
    <w:rsid w:val="00E815D6"/>
    <w:rsid w:val="00E826C8"/>
    <w:rsid w:val="00E82819"/>
    <w:rsid w:val="00E82EE0"/>
    <w:rsid w:val="00E83280"/>
    <w:rsid w:val="00E832C9"/>
    <w:rsid w:val="00E8344D"/>
    <w:rsid w:val="00E83469"/>
    <w:rsid w:val="00E83E6E"/>
    <w:rsid w:val="00E8412F"/>
    <w:rsid w:val="00E84661"/>
    <w:rsid w:val="00E84934"/>
    <w:rsid w:val="00E84A69"/>
    <w:rsid w:val="00E852CB"/>
    <w:rsid w:val="00E853AC"/>
    <w:rsid w:val="00E85483"/>
    <w:rsid w:val="00E85B7C"/>
    <w:rsid w:val="00E86057"/>
    <w:rsid w:val="00E861F7"/>
    <w:rsid w:val="00E86323"/>
    <w:rsid w:val="00E8641E"/>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A1"/>
    <w:rsid w:val="00E939E4"/>
    <w:rsid w:val="00E93A7A"/>
    <w:rsid w:val="00E93B3D"/>
    <w:rsid w:val="00E93D80"/>
    <w:rsid w:val="00E94307"/>
    <w:rsid w:val="00E94762"/>
    <w:rsid w:val="00E94892"/>
    <w:rsid w:val="00E9510E"/>
    <w:rsid w:val="00E95754"/>
    <w:rsid w:val="00E959A9"/>
    <w:rsid w:val="00E95A9A"/>
    <w:rsid w:val="00E9627E"/>
    <w:rsid w:val="00E96C84"/>
    <w:rsid w:val="00E96F40"/>
    <w:rsid w:val="00E96F88"/>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90D"/>
    <w:rsid w:val="00EA3D67"/>
    <w:rsid w:val="00EA3DB9"/>
    <w:rsid w:val="00EA430C"/>
    <w:rsid w:val="00EA4660"/>
    <w:rsid w:val="00EA475F"/>
    <w:rsid w:val="00EA4A36"/>
    <w:rsid w:val="00EA4D6C"/>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5BA"/>
    <w:rsid w:val="00EC183D"/>
    <w:rsid w:val="00EC1D83"/>
    <w:rsid w:val="00EC1FE9"/>
    <w:rsid w:val="00EC28CD"/>
    <w:rsid w:val="00EC2C50"/>
    <w:rsid w:val="00EC2E21"/>
    <w:rsid w:val="00EC30AD"/>
    <w:rsid w:val="00EC30FE"/>
    <w:rsid w:val="00EC36DD"/>
    <w:rsid w:val="00EC3E81"/>
    <w:rsid w:val="00EC3EC8"/>
    <w:rsid w:val="00EC44E7"/>
    <w:rsid w:val="00EC4741"/>
    <w:rsid w:val="00EC4D77"/>
    <w:rsid w:val="00EC4D7B"/>
    <w:rsid w:val="00EC4E2E"/>
    <w:rsid w:val="00EC555C"/>
    <w:rsid w:val="00EC60A1"/>
    <w:rsid w:val="00EC614D"/>
    <w:rsid w:val="00EC6337"/>
    <w:rsid w:val="00EC6D68"/>
    <w:rsid w:val="00EC6D82"/>
    <w:rsid w:val="00EC6F95"/>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1B37"/>
    <w:rsid w:val="00EF209D"/>
    <w:rsid w:val="00EF20FD"/>
    <w:rsid w:val="00EF2396"/>
    <w:rsid w:val="00EF2457"/>
    <w:rsid w:val="00EF2786"/>
    <w:rsid w:val="00EF28E6"/>
    <w:rsid w:val="00EF2902"/>
    <w:rsid w:val="00EF3A28"/>
    <w:rsid w:val="00EF3A3D"/>
    <w:rsid w:val="00EF3A4A"/>
    <w:rsid w:val="00EF3D41"/>
    <w:rsid w:val="00EF3D43"/>
    <w:rsid w:val="00EF3EE0"/>
    <w:rsid w:val="00EF4056"/>
    <w:rsid w:val="00EF493B"/>
    <w:rsid w:val="00EF4F32"/>
    <w:rsid w:val="00EF5326"/>
    <w:rsid w:val="00EF57F7"/>
    <w:rsid w:val="00EF5861"/>
    <w:rsid w:val="00EF5DA3"/>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AF"/>
    <w:rsid w:val="00F046FD"/>
    <w:rsid w:val="00F04D51"/>
    <w:rsid w:val="00F0572E"/>
    <w:rsid w:val="00F05EED"/>
    <w:rsid w:val="00F05F00"/>
    <w:rsid w:val="00F068A5"/>
    <w:rsid w:val="00F06F02"/>
    <w:rsid w:val="00F077CE"/>
    <w:rsid w:val="00F07CD5"/>
    <w:rsid w:val="00F10437"/>
    <w:rsid w:val="00F10465"/>
    <w:rsid w:val="00F10864"/>
    <w:rsid w:val="00F1165E"/>
    <w:rsid w:val="00F11CF5"/>
    <w:rsid w:val="00F12312"/>
    <w:rsid w:val="00F12B3D"/>
    <w:rsid w:val="00F1323A"/>
    <w:rsid w:val="00F13242"/>
    <w:rsid w:val="00F13555"/>
    <w:rsid w:val="00F1403E"/>
    <w:rsid w:val="00F140FE"/>
    <w:rsid w:val="00F1415B"/>
    <w:rsid w:val="00F14FB4"/>
    <w:rsid w:val="00F16267"/>
    <w:rsid w:val="00F165FF"/>
    <w:rsid w:val="00F16BB1"/>
    <w:rsid w:val="00F16EA6"/>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88B"/>
    <w:rsid w:val="00F22C96"/>
    <w:rsid w:val="00F22FC1"/>
    <w:rsid w:val="00F2357F"/>
    <w:rsid w:val="00F23A96"/>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BFB"/>
    <w:rsid w:val="00F31CC5"/>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6EDF"/>
    <w:rsid w:val="00F377A2"/>
    <w:rsid w:val="00F37922"/>
    <w:rsid w:val="00F37AEF"/>
    <w:rsid w:val="00F37BD8"/>
    <w:rsid w:val="00F37DC6"/>
    <w:rsid w:val="00F41D1F"/>
    <w:rsid w:val="00F42910"/>
    <w:rsid w:val="00F42C2B"/>
    <w:rsid w:val="00F4476B"/>
    <w:rsid w:val="00F44833"/>
    <w:rsid w:val="00F45A74"/>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B6"/>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4C03"/>
    <w:rsid w:val="00F553D1"/>
    <w:rsid w:val="00F55553"/>
    <w:rsid w:val="00F558E3"/>
    <w:rsid w:val="00F55AC5"/>
    <w:rsid w:val="00F55B09"/>
    <w:rsid w:val="00F564B4"/>
    <w:rsid w:val="00F56D31"/>
    <w:rsid w:val="00F57183"/>
    <w:rsid w:val="00F5765A"/>
    <w:rsid w:val="00F57C72"/>
    <w:rsid w:val="00F57E51"/>
    <w:rsid w:val="00F57EA8"/>
    <w:rsid w:val="00F6021A"/>
    <w:rsid w:val="00F6021F"/>
    <w:rsid w:val="00F60845"/>
    <w:rsid w:val="00F61158"/>
    <w:rsid w:val="00F614D1"/>
    <w:rsid w:val="00F61564"/>
    <w:rsid w:val="00F61FDE"/>
    <w:rsid w:val="00F62143"/>
    <w:rsid w:val="00F62338"/>
    <w:rsid w:val="00F62377"/>
    <w:rsid w:val="00F62862"/>
    <w:rsid w:val="00F63005"/>
    <w:rsid w:val="00F63080"/>
    <w:rsid w:val="00F63289"/>
    <w:rsid w:val="00F639FA"/>
    <w:rsid w:val="00F63A49"/>
    <w:rsid w:val="00F63CD2"/>
    <w:rsid w:val="00F63F71"/>
    <w:rsid w:val="00F6433C"/>
    <w:rsid w:val="00F648A2"/>
    <w:rsid w:val="00F64928"/>
    <w:rsid w:val="00F64966"/>
    <w:rsid w:val="00F651ED"/>
    <w:rsid w:val="00F65961"/>
    <w:rsid w:val="00F65E8A"/>
    <w:rsid w:val="00F65E91"/>
    <w:rsid w:val="00F660B8"/>
    <w:rsid w:val="00F6617D"/>
    <w:rsid w:val="00F66709"/>
    <w:rsid w:val="00F669E3"/>
    <w:rsid w:val="00F66AF7"/>
    <w:rsid w:val="00F672EB"/>
    <w:rsid w:val="00F6753C"/>
    <w:rsid w:val="00F67906"/>
    <w:rsid w:val="00F67A85"/>
    <w:rsid w:val="00F67D0D"/>
    <w:rsid w:val="00F703BE"/>
    <w:rsid w:val="00F71026"/>
    <w:rsid w:val="00F71042"/>
    <w:rsid w:val="00F710A0"/>
    <w:rsid w:val="00F710D9"/>
    <w:rsid w:val="00F71976"/>
    <w:rsid w:val="00F71F79"/>
    <w:rsid w:val="00F721A1"/>
    <w:rsid w:val="00F724E3"/>
    <w:rsid w:val="00F7262B"/>
    <w:rsid w:val="00F727AA"/>
    <w:rsid w:val="00F729F2"/>
    <w:rsid w:val="00F72C94"/>
    <w:rsid w:val="00F735D9"/>
    <w:rsid w:val="00F73F43"/>
    <w:rsid w:val="00F74664"/>
    <w:rsid w:val="00F74791"/>
    <w:rsid w:val="00F747FD"/>
    <w:rsid w:val="00F74A7A"/>
    <w:rsid w:val="00F74D3F"/>
    <w:rsid w:val="00F75C0B"/>
    <w:rsid w:val="00F763DF"/>
    <w:rsid w:val="00F76C4D"/>
    <w:rsid w:val="00F77028"/>
    <w:rsid w:val="00F7792A"/>
    <w:rsid w:val="00F77C47"/>
    <w:rsid w:val="00F77CFA"/>
    <w:rsid w:val="00F802D3"/>
    <w:rsid w:val="00F80A32"/>
    <w:rsid w:val="00F80D8F"/>
    <w:rsid w:val="00F8116A"/>
    <w:rsid w:val="00F81311"/>
    <w:rsid w:val="00F81625"/>
    <w:rsid w:val="00F81A54"/>
    <w:rsid w:val="00F81E0E"/>
    <w:rsid w:val="00F81F03"/>
    <w:rsid w:val="00F81F25"/>
    <w:rsid w:val="00F82272"/>
    <w:rsid w:val="00F825FF"/>
    <w:rsid w:val="00F82760"/>
    <w:rsid w:val="00F82A7D"/>
    <w:rsid w:val="00F82D8E"/>
    <w:rsid w:val="00F83301"/>
    <w:rsid w:val="00F83380"/>
    <w:rsid w:val="00F837DD"/>
    <w:rsid w:val="00F849D7"/>
    <w:rsid w:val="00F84A2F"/>
    <w:rsid w:val="00F84BAB"/>
    <w:rsid w:val="00F850EB"/>
    <w:rsid w:val="00F855CB"/>
    <w:rsid w:val="00F85744"/>
    <w:rsid w:val="00F85841"/>
    <w:rsid w:val="00F86165"/>
    <w:rsid w:val="00F862CA"/>
    <w:rsid w:val="00F863EB"/>
    <w:rsid w:val="00F86B20"/>
    <w:rsid w:val="00F86C43"/>
    <w:rsid w:val="00F8718E"/>
    <w:rsid w:val="00F87201"/>
    <w:rsid w:val="00F87211"/>
    <w:rsid w:val="00F87317"/>
    <w:rsid w:val="00F879C6"/>
    <w:rsid w:val="00F87D07"/>
    <w:rsid w:val="00F87D16"/>
    <w:rsid w:val="00F87D54"/>
    <w:rsid w:val="00F901C2"/>
    <w:rsid w:val="00F902D2"/>
    <w:rsid w:val="00F90391"/>
    <w:rsid w:val="00F9046C"/>
    <w:rsid w:val="00F90BE4"/>
    <w:rsid w:val="00F90C86"/>
    <w:rsid w:val="00F90F6C"/>
    <w:rsid w:val="00F90FD6"/>
    <w:rsid w:val="00F910E4"/>
    <w:rsid w:val="00F915AB"/>
    <w:rsid w:val="00F9174D"/>
    <w:rsid w:val="00F91906"/>
    <w:rsid w:val="00F91932"/>
    <w:rsid w:val="00F91AD5"/>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807"/>
    <w:rsid w:val="00F9590D"/>
    <w:rsid w:val="00F9632D"/>
    <w:rsid w:val="00F9644F"/>
    <w:rsid w:val="00F96479"/>
    <w:rsid w:val="00F965D9"/>
    <w:rsid w:val="00F96977"/>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D1D"/>
    <w:rsid w:val="00FA7A20"/>
    <w:rsid w:val="00FA7AA6"/>
    <w:rsid w:val="00FA7C04"/>
    <w:rsid w:val="00FB0443"/>
    <w:rsid w:val="00FB0540"/>
    <w:rsid w:val="00FB15D5"/>
    <w:rsid w:val="00FB18E8"/>
    <w:rsid w:val="00FB19D8"/>
    <w:rsid w:val="00FB22E5"/>
    <w:rsid w:val="00FB2864"/>
    <w:rsid w:val="00FB2A9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1F1E"/>
    <w:rsid w:val="00FD235B"/>
    <w:rsid w:val="00FD2804"/>
    <w:rsid w:val="00FD282A"/>
    <w:rsid w:val="00FD2A71"/>
    <w:rsid w:val="00FD2BDC"/>
    <w:rsid w:val="00FD3124"/>
    <w:rsid w:val="00FD3905"/>
    <w:rsid w:val="00FD3B5F"/>
    <w:rsid w:val="00FD3C4C"/>
    <w:rsid w:val="00FD4A9C"/>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43E"/>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92BBA"/>
  <w14:defaultImageDpi w14:val="32767"/>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76AEE"/>
    <w:pPr>
      <w:overflowPunct w:val="0"/>
      <w:autoSpaceDE w:val="0"/>
      <w:autoSpaceDN w:val="0"/>
      <w:adjustRightInd w:val="0"/>
      <w:spacing w:before="120"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Pr>
      <w:b/>
      <w:bCs/>
    </w:rPr>
  </w:style>
  <w:style w:type="paragraph" w:customStyle="1" w:styleId="bodyCharCharChar">
    <w:name w:val="body Char Char Char"/>
    <w:basedOn w:val="Normal"/>
    <w:pPr>
      <w:tabs>
        <w:tab w:val="left" w:pos="2160"/>
      </w:tabs>
      <w:spacing w:line="280" w:lineRule="atLeast"/>
      <w:jc w:val="both"/>
    </w:pPr>
    <w:rPr>
      <w:rFonts w:ascii="New York" w:hAnsi="New York"/>
      <w:sz w:val="24"/>
    </w:rPr>
  </w:style>
  <w:style w:type="paragraph" w:styleId="BodyText">
    <w:name w:val="Body Text"/>
    <w:aliases w:val="bt"/>
    <w:basedOn w:val="Normal"/>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PlainTable3">
    <w:name w:val="Plain Table 3"/>
    <w:basedOn w:val="TableNormal"/>
    <w:uiPriority w:val="43"/>
    <w:rsid w:val="000C7CC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B0EA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Observation">
    <w:name w:val="Observation"/>
    <w:basedOn w:val="Normal"/>
    <w:link w:val="ObservationChar"/>
    <w:qFormat/>
    <w:rsid w:val="000C701A"/>
    <w:pPr>
      <w:tabs>
        <w:tab w:val="left" w:pos="1354"/>
      </w:tabs>
      <w:ind w:left="1354" w:hanging="1354"/>
      <w:jc w:val="both"/>
    </w:pPr>
    <w:rPr>
      <w:rFonts w:eastAsia="MS Mincho"/>
      <w:b/>
      <w:i/>
      <w:lang w:eastAsia="ja-JP"/>
    </w:rPr>
  </w:style>
  <w:style w:type="character" w:customStyle="1" w:styleId="ObservationChar">
    <w:name w:val="Observation Char"/>
    <w:basedOn w:val="DefaultParagraphFont"/>
    <w:link w:val="Observation"/>
    <w:rsid w:val="000C701A"/>
    <w:rPr>
      <w:rFonts w:ascii="Times New Roman" w:eastAsia="MS Mincho" w:hAnsi="Times New Roman"/>
      <w:b/>
      <w:i/>
      <w:lang w:eastAsia="ja-JP"/>
    </w:rPr>
  </w:style>
  <w:style w:type="paragraph" w:styleId="TableofFigures">
    <w:name w:val="table of figures"/>
    <w:basedOn w:val="Normal"/>
    <w:next w:val="Normal"/>
    <w:link w:val="TableofFiguresChar"/>
    <w:uiPriority w:val="99"/>
    <w:unhideWhenUsed/>
    <w:rsid w:val="00685A2F"/>
    <w:pPr>
      <w:spacing w:before="60" w:after="60"/>
    </w:pPr>
    <w:rPr>
      <w:b/>
      <w:i/>
    </w:rPr>
  </w:style>
  <w:style w:type="paragraph" w:customStyle="1" w:styleId="Proposal">
    <w:name w:val="Proposal"/>
    <w:basedOn w:val="Observation"/>
    <w:link w:val="ProposalChar"/>
    <w:qFormat/>
    <w:rsid w:val="005F2946"/>
    <w:pPr>
      <w:numPr>
        <w:numId w:val="28"/>
      </w:numPr>
    </w:pPr>
  </w:style>
  <w:style w:type="paragraph" w:customStyle="1" w:styleId="TableofProposal">
    <w:name w:val="Table of Proposal"/>
    <w:basedOn w:val="TableofFigures"/>
    <w:link w:val="TableofProposalChar"/>
    <w:qFormat/>
    <w:rsid w:val="004C0B07"/>
    <w:pPr>
      <w:tabs>
        <w:tab w:val="left" w:pos="1418"/>
        <w:tab w:val="right" w:leader="dot" w:pos="9962"/>
      </w:tabs>
      <w:ind w:left="1411" w:hanging="1411"/>
      <w:jc w:val="both"/>
    </w:pPr>
    <w:rPr>
      <w:lang w:val="en-GB"/>
    </w:rPr>
  </w:style>
  <w:style w:type="character" w:customStyle="1" w:styleId="ProposalChar">
    <w:name w:val="Proposal Char"/>
    <w:basedOn w:val="ObservationChar"/>
    <w:link w:val="Proposal"/>
    <w:rsid w:val="005F2946"/>
    <w:rPr>
      <w:rFonts w:ascii="Times New Roman" w:eastAsia="MS Mincho" w:hAnsi="Times New Roman"/>
      <w:b/>
      <w:i/>
      <w:lang w:eastAsia="ja-JP"/>
    </w:rPr>
  </w:style>
  <w:style w:type="character" w:customStyle="1" w:styleId="TableofFiguresChar">
    <w:name w:val="Table of Figures Char"/>
    <w:basedOn w:val="DefaultParagraphFont"/>
    <w:link w:val="TableofFigures"/>
    <w:uiPriority w:val="99"/>
    <w:rsid w:val="000528D4"/>
    <w:rPr>
      <w:rFonts w:ascii="Times New Roman" w:hAnsi="Times New Roman"/>
      <w:b/>
      <w:i/>
      <w:lang w:eastAsia="en-US"/>
    </w:rPr>
  </w:style>
  <w:style w:type="character" w:customStyle="1" w:styleId="TableofProposalChar">
    <w:name w:val="Table of Proposal Char"/>
    <w:basedOn w:val="TableofFiguresChar"/>
    <w:link w:val="TableofProposal"/>
    <w:rsid w:val="004C0B07"/>
    <w:rPr>
      <w:rFonts w:ascii="Times New Roman" w:hAnsi="Times New Roman"/>
      <w:b/>
      <w: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167538">
      <w:bodyDiv w:val="1"/>
      <w:marLeft w:val="0"/>
      <w:marRight w:val="0"/>
      <w:marTop w:val="0"/>
      <w:marBottom w:val="0"/>
      <w:divBdr>
        <w:top w:val="none" w:sz="0" w:space="0" w:color="auto"/>
        <w:left w:val="none" w:sz="0" w:space="0" w:color="auto"/>
        <w:bottom w:val="none" w:sz="0" w:space="0" w:color="auto"/>
        <w:right w:val="none" w:sz="0" w:space="0" w:color="auto"/>
      </w:divBdr>
      <w:divsChild>
        <w:div w:id="1625110885">
          <w:marLeft w:val="1166"/>
          <w:marRight w:val="0"/>
          <w:marTop w:val="115"/>
          <w:marBottom w:val="0"/>
          <w:divBdr>
            <w:top w:val="none" w:sz="0" w:space="0" w:color="auto"/>
            <w:left w:val="none" w:sz="0" w:space="0" w:color="auto"/>
            <w:bottom w:val="none" w:sz="0" w:space="0" w:color="auto"/>
            <w:right w:val="none" w:sz="0" w:space="0" w:color="auto"/>
          </w:divBdr>
        </w:div>
        <w:div w:id="2109889967">
          <w:marLeft w:val="1800"/>
          <w:marRight w:val="0"/>
          <w:marTop w:val="115"/>
          <w:marBottom w:val="0"/>
          <w:divBdr>
            <w:top w:val="none" w:sz="0" w:space="0" w:color="auto"/>
            <w:left w:val="none" w:sz="0" w:space="0" w:color="auto"/>
            <w:bottom w:val="none" w:sz="0" w:space="0" w:color="auto"/>
            <w:right w:val="none" w:sz="0" w:space="0" w:color="auto"/>
          </w:divBdr>
        </w:div>
        <w:div w:id="1999114642">
          <w:marLeft w:val="1166"/>
          <w:marRight w:val="0"/>
          <w:marTop w:val="115"/>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HR33RHYHUWRF-4-5660</_dlc_DocId>
    <_dlc_DocIdUrl xmlns="c06861ca-3f08-4d07-bff7-bb15bac121f4">
      <Url>https://projects.qualcomm.com/sites/pentari/_layouts/15/DocIdRedir.aspx?ID=HR33RHYHUWRF-4-5660</Url>
      <Description>HR33RHYHUWRF-4-5660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C7696-45C6-4E55-95CD-16F459750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41F25E-2CFE-4A80-B83E-E73ED5CFA846}">
  <ds:schemaRefs>
    <ds:schemaRef ds:uri="http://purl.org/dc/dcmitype/"/>
    <ds:schemaRef ds:uri="c06861ca-3f08-4d07-bff7-bb15bac121f4"/>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A4E3ACF0-ED1B-4691-85C6-DB6E8CA0F5F0}">
  <ds:schemaRefs>
    <ds:schemaRef ds:uri="http://schemas.microsoft.com/sharepoint/v3/contenttype/forms"/>
  </ds:schemaRefs>
</ds:datastoreItem>
</file>

<file path=customXml/itemProps4.xml><?xml version="1.0" encoding="utf-8"?>
<ds:datastoreItem xmlns:ds="http://schemas.openxmlformats.org/officeDocument/2006/customXml" ds:itemID="{055F44B5-A9DE-437F-90F8-7483FE4A401C}">
  <ds:schemaRefs>
    <ds:schemaRef ds:uri="http://schemas.microsoft.com/sharepoint/events"/>
  </ds:schemaRefs>
</ds:datastoreItem>
</file>

<file path=customXml/itemProps5.xml><?xml version="1.0" encoding="utf-8"?>
<ds:datastoreItem xmlns:ds="http://schemas.openxmlformats.org/officeDocument/2006/customXml" ds:itemID="{6F8958CC-0B44-4900-94F2-553655595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2687</TotalTime>
  <Pages>4</Pages>
  <Words>1518</Words>
  <Characters>8655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Non-codebook based UL transmission</vt:lpstr>
    </vt:vector>
  </TitlesOfParts>
  <Company>Qualcomm Inc.</Company>
  <LinksUpToDate>false</LinksUpToDate>
  <CharactersWithSpaces>10153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Non-codebook based UL transmission</dc:title>
  <dc:subject/>
  <dc:creator>Qualcomm Europe</dc:creator>
  <cp:keywords/>
  <dc:description/>
  <cp:lastModifiedBy>Yu Zhang</cp:lastModifiedBy>
  <cp:revision>134</cp:revision>
  <cp:lastPrinted>2014-11-07T05:38:00Z</cp:lastPrinted>
  <dcterms:created xsi:type="dcterms:W3CDTF">2017-06-15T21:05:00Z</dcterms:created>
  <dcterms:modified xsi:type="dcterms:W3CDTF">2017-09-12T05:05:00Z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70409668-5b8d-468c-bc94-cec82c4a698e</vt:lpwstr>
  </property>
</Properties>
</file>