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E5056" w14:textId="01CB7B55" w:rsidR="00C07E87" w:rsidRPr="00D22346" w:rsidRDefault="002C26E6" w:rsidP="00C07E87">
      <w:pPr>
        <w:pStyle w:val="3GPPHeader"/>
        <w:spacing w:after="60"/>
        <w:rPr>
          <w:sz w:val="32"/>
          <w:szCs w:val="32"/>
          <w:highlight w:val="yellow"/>
        </w:rPr>
      </w:pPr>
      <w:bookmarkStart w:id="0" w:name="_GoBack"/>
      <w:bookmarkEnd w:id="0"/>
      <w:r>
        <w:t>3GPP TSG-RAN WG</w:t>
      </w:r>
      <w:r w:rsidR="00812072" w:rsidRPr="00D22346">
        <w:t xml:space="preserve"> </w:t>
      </w:r>
      <w:r w:rsidR="000B3061">
        <w:t>NR Ad-Hoc</w:t>
      </w:r>
      <w:r>
        <w:t>#2</w:t>
      </w:r>
      <w:r w:rsidR="00C07E87" w:rsidRPr="00D22346">
        <w:tab/>
      </w:r>
      <w:r w:rsidR="003B365D" w:rsidRPr="00467E87">
        <w:rPr>
          <w:sz w:val="22"/>
        </w:rPr>
        <w:t xml:space="preserve"> </w:t>
      </w:r>
      <w:r w:rsidR="00240B51" w:rsidRPr="006C6517">
        <w:rPr>
          <w:szCs w:val="32"/>
        </w:rPr>
        <w:t>R1-</w:t>
      </w:r>
      <w:r w:rsidR="00AE553B" w:rsidRPr="006C6517">
        <w:rPr>
          <w:szCs w:val="32"/>
        </w:rPr>
        <w:t>17</w:t>
      </w:r>
      <w:r>
        <w:rPr>
          <w:szCs w:val="32"/>
        </w:rPr>
        <w:t>11479</w:t>
      </w:r>
    </w:p>
    <w:p w14:paraId="0AE713F2" w14:textId="7A295899" w:rsidR="00CE227E" w:rsidRDefault="002C26E6" w:rsidP="00CE227E">
      <w:pPr>
        <w:pStyle w:val="CRCoverPage"/>
        <w:outlineLvl w:val="0"/>
        <w:rPr>
          <w:b/>
          <w:noProof/>
          <w:sz w:val="24"/>
        </w:rPr>
      </w:pPr>
      <w:r>
        <w:rPr>
          <w:b/>
          <w:noProof/>
          <w:sz w:val="24"/>
        </w:rPr>
        <w:t>Qingdao</w:t>
      </w:r>
      <w:r w:rsidR="00EB4F32">
        <w:rPr>
          <w:b/>
          <w:noProof/>
          <w:sz w:val="24"/>
        </w:rPr>
        <w:t xml:space="preserve">, </w:t>
      </w:r>
      <w:r w:rsidR="000B3061">
        <w:rPr>
          <w:b/>
          <w:noProof/>
          <w:sz w:val="24"/>
        </w:rPr>
        <w:t xml:space="preserve">P.R. </w:t>
      </w:r>
      <w:r w:rsidR="00EB4F32">
        <w:rPr>
          <w:b/>
          <w:noProof/>
          <w:sz w:val="24"/>
        </w:rPr>
        <w:t>China</w:t>
      </w:r>
      <w:r w:rsidR="00CE227E" w:rsidRPr="00AB78B2">
        <w:rPr>
          <w:b/>
          <w:noProof/>
          <w:sz w:val="24"/>
        </w:rPr>
        <w:t xml:space="preserve">, </w:t>
      </w:r>
      <w:r>
        <w:rPr>
          <w:b/>
          <w:noProof/>
          <w:sz w:val="24"/>
        </w:rPr>
        <w:t>27</w:t>
      </w:r>
      <w:r w:rsidR="00EB4F32">
        <w:rPr>
          <w:b/>
          <w:noProof/>
          <w:sz w:val="24"/>
          <w:vertAlign w:val="superscript"/>
        </w:rPr>
        <w:t>th</w:t>
      </w:r>
      <w:r w:rsidR="00467E87">
        <w:rPr>
          <w:b/>
          <w:noProof/>
          <w:sz w:val="24"/>
        </w:rPr>
        <w:t xml:space="preserve">- </w:t>
      </w:r>
      <w:r>
        <w:rPr>
          <w:b/>
          <w:noProof/>
          <w:sz w:val="24"/>
        </w:rPr>
        <w:t>30</w:t>
      </w:r>
      <w:r w:rsidR="00CE227E" w:rsidRPr="00BD6748">
        <w:rPr>
          <w:b/>
          <w:noProof/>
          <w:sz w:val="24"/>
          <w:vertAlign w:val="superscript"/>
        </w:rPr>
        <w:t>th</w:t>
      </w:r>
      <w:r w:rsidR="00EB4F32">
        <w:rPr>
          <w:b/>
          <w:noProof/>
          <w:sz w:val="24"/>
        </w:rPr>
        <w:t xml:space="preserve"> May</w:t>
      </w:r>
      <w:r w:rsidR="00CE227E">
        <w:rPr>
          <w:b/>
          <w:noProof/>
          <w:sz w:val="24"/>
        </w:rPr>
        <w:t xml:space="preserve"> 2017</w:t>
      </w:r>
    </w:p>
    <w:p w14:paraId="189863E3" w14:textId="77777777" w:rsidR="00C07E87" w:rsidRPr="00CE0424" w:rsidRDefault="00C07E87" w:rsidP="00C07E87">
      <w:pPr>
        <w:pStyle w:val="3GPPHeader"/>
      </w:pPr>
    </w:p>
    <w:p w14:paraId="293CC8DE" w14:textId="7C25D419"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2C26E6">
        <w:rPr>
          <w:sz w:val="22"/>
          <w:szCs w:val="22"/>
        </w:rPr>
        <w:t>5</w:t>
      </w:r>
      <w:r w:rsidR="00AE553B" w:rsidRPr="00AE553B">
        <w:rPr>
          <w:sz w:val="22"/>
          <w:szCs w:val="22"/>
        </w:rPr>
        <w:t>.1.3.1.</w:t>
      </w:r>
      <w:r w:rsidR="00EB4F32">
        <w:rPr>
          <w:sz w:val="22"/>
          <w:szCs w:val="22"/>
        </w:rPr>
        <w:t>2</w:t>
      </w:r>
      <w:r w:rsidR="002C26E6">
        <w:rPr>
          <w:sz w:val="22"/>
          <w:szCs w:val="22"/>
        </w:rPr>
        <w:t>.1</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7CC09A20" w:rsidR="00E90E49" w:rsidRPr="00CE0424" w:rsidRDefault="003D3C45" w:rsidP="00311702">
      <w:pPr>
        <w:pStyle w:val="3GPPHeader"/>
        <w:rPr>
          <w:sz w:val="22"/>
          <w:szCs w:val="22"/>
        </w:rPr>
      </w:pPr>
      <w:r>
        <w:rPr>
          <w:sz w:val="22"/>
          <w:szCs w:val="22"/>
        </w:rPr>
        <w:t>Title:</w:t>
      </w:r>
      <w:r w:rsidR="00E90E49" w:rsidRPr="00CE0424">
        <w:rPr>
          <w:sz w:val="22"/>
          <w:szCs w:val="22"/>
        </w:rPr>
        <w:tab/>
      </w:r>
      <w:r w:rsidR="00AE5C65">
        <w:rPr>
          <w:sz w:val="22"/>
          <w:szCs w:val="22"/>
        </w:rPr>
        <w:t>On</w:t>
      </w:r>
      <w:r w:rsidR="00047697">
        <w:rPr>
          <w:sz w:val="22"/>
          <w:szCs w:val="22"/>
        </w:rPr>
        <w:t xml:space="preserve"> </w:t>
      </w:r>
      <w:r w:rsidR="00937B36">
        <w:rPr>
          <w:sz w:val="22"/>
          <w:szCs w:val="22"/>
        </w:rPr>
        <w:t>Configu</w:t>
      </w:r>
      <w:r w:rsidR="002C26E6">
        <w:rPr>
          <w:sz w:val="22"/>
          <w:szCs w:val="22"/>
        </w:rPr>
        <w:t>ration of Control Resource Sets</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6457A446" w14:textId="0FCF1664" w:rsidR="00E61AA3" w:rsidRPr="00E61AA3" w:rsidRDefault="00E30225" w:rsidP="006628A0">
      <w:pPr>
        <w:pStyle w:val="Heading1"/>
      </w:pPr>
      <w:r w:rsidRPr="00CE0424">
        <w:t>Introduction</w:t>
      </w:r>
    </w:p>
    <w:p w14:paraId="39E1D610" w14:textId="17DBB088" w:rsidR="00CB4B70" w:rsidRDefault="00CB4B70" w:rsidP="00E61AA3">
      <w:pPr>
        <w:rPr>
          <w:rFonts w:cs="Arial"/>
        </w:rPr>
      </w:pPr>
      <w:r>
        <w:rPr>
          <w:rFonts w:cs="Arial"/>
        </w:rPr>
        <w:t xml:space="preserve">A work item for NR was agreed in RAN#75 and updated in RAN#76 </w:t>
      </w:r>
      <w:r>
        <w:rPr>
          <w:rFonts w:cs="Arial"/>
        </w:rPr>
        <w:fldChar w:fldCharType="begin"/>
      </w:r>
      <w:r>
        <w:rPr>
          <w:rFonts w:cs="Arial"/>
        </w:rPr>
        <w:instrText xml:space="preserve"> REF _Ref477879020 \r \h </w:instrText>
      </w:r>
      <w:r>
        <w:rPr>
          <w:rFonts w:cs="Arial"/>
        </w:rPr>
      </w:r>
      <w:r>
        <w:rPr>
          <w:rFonts w:cs="Arial"/>
        </w:rPr>
        <w:fldChar w:fldCharType="separate"/>
      </w:r>
      <w:r w:rsidR="001649D4">
        <w:rPr>
          <w:rFonts w:cs="Arial"/>
        </w:rPr>
        <w:t>[1]</w:t>
      </w:r>
      <w:r>
        <w:rPr>
          <w:rFonts w:cs="Arial"/>
        </w:rPr>
        <w:fldChar w:fldCharType="end"/>
      </w:r>
      <w:r>
        <w:rPr>
          <w:rFonts w:cs="Arial"/>
        </w:rPr>
        <w:t>. The detailed objectives of the WID include the design of “</w:t>
      </w:r>
      <w:r w:rsidRPr="00E036CB">
        <w:rPr>
          <w:lang w:eastAsia="ja-JP"/>
        </w:rPr>
        <w:t>Physical layer channels for control and data based o</w:t>
      </w:r>
      <w:r>
        <w:rPr>
          <w:lang w:eastAsia="ja-JP"/>
        </w:rPr>
        <w:t xml:space="preserve">n associated waveform, </w:t>
      </w:r>
      <w:r w:rsidRPr="00E036CB">
        <w:rPr>
          <w:lang w:eastAsia="ja-JP"/>
        </w:rPr>
        <w:t>numerologies and frame structure in line with the conclusions of the study item, including mini-slot design</w:t>
      </w:r>
      <w:r>
        <w:rPr>
          <w:lang w:eastAsia="ja-JP"/>
        </w:rPr>
        <w:t>”.</w:t>
      </w:r>
    </w:p>
    <w:p w14:paraId="62CDF67D" w14:textId="77777777" w:rsidR="00E61AA3" w:rsidRPr="006628A0" w:rsidRDefault="00E61AA3" w:rsidP="006628A0">
      <w:pPr>
        <w:pStyle w:val="BodyText"/>
      </w:pPr>
    </w:p>
    <w:p w14:paraId="1F36573B" w14:textId="1C7579D1" w:rsidR="005F087C" w:rsidRDefault="00E54A3A" w:rsidP="005F087C">
      <w:pPr>
        <w:pStyle w:val="BodyText"/>
      </w:pPr>
      <w:r>
        <w:t xml:space="preserve">The following was agreed </w:t>
      </w:r>
      <w:r w:rsidR="00AE5C65">
        <w:t>at RAN1#88</w:t>
      </w:r>
      <w:r>
        <w:t xml:space="preserve"> </w:t>
      </w:r>
      <w:r w:rsidR="00E214D8">
        <w:fldChar w:fldCharType="begin"/>
      </w:r>
      <w:r w:rsidR="00E214D8">
        <w:instrText xml:space="preserve"> REF _Ref473934775 \n \h </w:instrText>
      </w:r>
      <w:r w:rsidR="00E214D8">
        <w:fldChar w:fldCharType="separate"/>
      </w:r>
      <w:r w:rsidR="001649D4">
        <w:t>[2]</w:t>
      </w:r>
      <w:r w:rsidR="00E214D8">
        <w:fldChar w:fldCharType="end"/>
      </w:r>
    </w:p>
    <w:p w14:paraId="233FD39A" w14:textId="77777777" w:rsidR="00AE5C65" w:rsidRPr="00AE5C65" w:rsidRDefault="00AE5C65" w:rsidP="00AE5C65">
      <w:pPr>
        <w:rPr>
          <w:rFonts w:eastAsia="MS Mincho" w:cs="Arial"/>
          <w:lang w:eastAsia="ja-JP"/>
        </w:rPr>
      </w:pPr>
      <w:r w:rsidRPr="00AE5C65">
        <w:rPr>
          <w:rFonts w:eastAsia="MS Mincho" w:cs="Arial"/>
          <w:highlight w:val="green"/>
          <w:lang w:eastAsia="ja-JP"/>
        </w:rPr>
        <w:t>Agreements</w:t>
      </w:r>
      <w:r w:rsidRPr="00AE5C65">
        <w:rPr>
          <w:rFonts w:eastAsia="MS Mincho" w:cs="Arial"/>
          <w:lang w:eastAsia="ja-JP"/>
        </w:rPr>
        <w:t>:</w:t>
      </w:r>
    </w:p>
    <w:p w14:paraId="62A5722A" w14:textId="77777777" w:rsidR="00AE5C65" w:rsidRPr="00451587" w:rsidRDefault="00AE5C65" w:rsidP="00AE5C65">
      <w:pPr>
        <w:pStyle w:val="ListParagraph"/>
        <w:numPr>
          <w:ilvl w:val="0"/>
          <w:numId w:val="34"/>
        </w:numPr>
        <w:spacing w:after="200" w:line="276" w:lineRule="auto"/>
        <w:contextualSpacing/>
        <w:rPr>
          <w:rFonts w:ascii="Arial" w:hAnsi="Arial" w:cs="Arial"/>
          <w:sz w:val="20"/>
          <w:szCs w:val="20"/>
          <w:lang w:val="en-US"/>
        </w:rPr>
      </w:pPr>
      <w:r w:rsidRPr="00451587">
        <w:rPr>
          <w:rFonts w:ascii="Arial" w:hAnsi="Arial" w:cs="Arial"/>
          <w:sz w:val="20"/>
          <w:szCs w:val="20"/>
          <w:lang w:val="en-US"/>
        </w:rPr>
        <w:t>Multiple control resource sets can be overlapped in frequency and time for a UE.</w:t>
      </w:r>
    </w:p>
    <w:p w14:paraId="0019B072" w14:textId="77777777" w:rsidR="00AE5C65" w:rsidRPr="00451587" w:rsidRDefault="00AE5C65" w:rsidP="00AE5C65">
      <w:pPr>
        <w:pStyle w:val="ListParagraph"/>
        <w:numPr>
          <w:ilvl w:val="0"/>
          <w:numId w:val="34"/>
        </w:numPr>
        <w:spacing w:after="200" w:line="276" w:lineRule="auto"/>
        <w:contextualSpacing/>
        <w:rPr>
          <w:rFonts w:ascii="Arial" w:hAnsi="Arial" w:cs="Arial"/>
          <w:sz w:val="20"/>
          <w:szCs w:val="20"/>
          <w:lang w:val="en-US"/>
        </w:rPr>
      </w:pPr>
      <w:r w:rsidRPr="00451587">
        <w:rPr>
          <w:rFonts w:ascii="Arial" w:hAnsi="Arial" w:cs="Arial"/>
          <w:sz w:val="20"/>
          <w:szCs w:val="20"/>
          <w:lang w:val="en-US"/>
        </w:rPr>
        <w:t>A search space in NR is associated with a single control resource set</w:t>
      </w:r>
    </w:p>
    <w:p w14:paraId="7492AA33" w14:textId="77777777" w:rsidR="00AE5C65" w:rsidRPr="00451587" w:rsidRDefault="00AE5C65" w:rsidP="00AE5C65">
      <w:pPr>
        <w:pStyle w:val="ListParagraph"/>
        <w:numPr>
          <w:ilvl w:val="0"/>
          <w:numId w:val="33"/>
        </w:numPr>
        <w:spacing w:after="200" w:line="276" w:lineRule="auto"/>
        <w:contextualSpacing/>
        <w:rPr>
          <w:rFonts w:ascii="Arial" w:hAnsi="Arial" w:cs="Arial"/>
          <w:sz w:val="20"/>
          <w:szCs w:val="20"/>
          <w:lang w:val="en-US"/>
        </w:rPr>
      </w:pPr>
      <w:r w:rsidRPr="00451587">
        <w:rPr>
          <w:rFonts w:ascii="Arial" w:hAnsi="Arial" w:cs="Arial"/>
          <w:sz w:val="20"/>
          <w:szCs w:val="20"/>
          <w:lang w:val="en-US"/>
        </w:rPr>
        <w:t>The search spaces in different control resources sets are defined independently.</w:t>
      </w:r>
    </w:p>
    <w:p w14:paraId="794B5E45" w14:textId="594ABF3E" w:rsidR="007130DC" w:rsidRPr="00A2583F" w:rsidRDefault="00AE5C65" w:rsidP="007130DC">
      <w:pPr>
        <w:pStyle w:val="ListParagraph"/>
        <w:numPr>
          <w:ilvl w:val="0"/>
          <w:numId w:val="34"/>
        </w:numPr>
        <w:spacing w:after="200" w:line="276" w:lineRule="auto"/>
        <w:contextualSpacing/>
        <w:rPr>
          <w:rFonts w:ascii="Arial" w:hAnsi="Arial" w:cs="Arial"/>
          <w:sz w:val="20"/>
          <w:szCs w:val="20"/>
          <w:lang w:val="en-US"/>
        </w:rPr>
      </w:pPr>
      <w:r w:rsidRPr="00451587">
        <w:rPr>
          <w:rFonts w:ascii="Arial" w:hAnsi="Arial" w:cs="Arial"/>
          <w:sz w:val="20"/>
          <w:szCs w:val="20"/>
          <w:lang w:val="en-US"/>
        </w:rPr>
        <w:t>The max number of BD candidates for a UE is defined independently of the number of control resource sets and the number of search spaces.</w:t>
      </w:r>
    </w:p>
    <w:p w14:paraId="19C9487A" w14:textId="608803A0" w:rsidR="000B34EB" w:rsidRPr="00A13354" w:rsidRDefault="000B34EB" w:rsidP="00A13354">
      <w:pPr>
        <w:pStyle w:val="BodyText"/>
      </w:pPr>
      <w:r>
        <w:t>In RAN1#89, the following was agreed</w:t>
      </w:r>
      <w:r w:rsidR="00A13354">
        <w:t xml:space="preserve"> </w:t>
      </w:r>
      <w:r w:rsidR="00A13354">
        <w:fldChar w:fldCharType="begin"/>
      </w:r>
      <w:r w:rsidR="00A13354">
        <w:instrText xml:space="preserve"> REF _Ref485400201 \r \h </w:instrText>
      </w:r>
      <w:r w:rsidR="00A13354">
        <w:fldChar w:fldCharType="separate"/>
      </w:r>
      <w:r w:rsidR="001649D4">
        <w:t>[3]</w:t>
      </w:r>
      <w:r w:rsidR="00A13354">
        <w:fldChar w:fldCharType="end"/>
      </w:r>
      <w:r w:rsidR="00A13354">
        <w:t>.</w:t>
      </w:r>
    </w:p>
    <w:p w14:paraId="59EE40B5" w14:textId="77777777" w:rsidR="000B34EB" w:rsidRPr="0007653C" w:rsidRDefault="000B34EB" w:rsidP="000B34EB">
      <w:pPr>
        <w:rPr>
          <w:rFonts w:eastAsia="MS Mincho"/>
          <w:b/>
          <w:u w:val="single"/>
          <w:lang w:eastAsia="ja-JP"/>
        </w:rPr>
      </w:pPr>
      <w:r w:rsidRPr="00285544">
        <w:rPr>
          <w:rFonts w:eastAsia="MS Mincho" w:hint="eastAsia"/>
          <w:b/>
          <w:highlight w:val="green"/>
          <w:u w:val="single"/>
          <w:lang w:eastAsia="ja-JP"/>
        </w:rPr>
        <w:t>Agreements:</w:t>
      </w:r>
    </w:p>
    <w:p w14:paraId="24354CE4" w14:textId="77777777" w:rsidR="000B34EB" w:rsidRPr="0007653C" w:rsidRDefault="000B34EB" w:rsidP="000B34EB">
      <w:pPr>
        <w:numPr>
          <w:ilvl w:val="0"/>
          <w:numId w:val="39"/>
        </w:numPr>
        <w:overflowPunct/>
        <w:autoSpaceDE/>
        <w:autoSpaceDN/>
        <w:adjustRightInd/>
        <w:spacing w:after="0"/>
        <w:jc w:val="left"/>
        <w:textAlignment w:val="auto"/>
        <w:rPr>
          <w:rFonts w:eastAsia="MS Mincho"/>
          <w:lang w:eastAsia="ja-JP"/>
        </w:rPr>
      </w:pPr>
      <w:r w:rsidRPr="0007653C">
        <w:rPr>
          <w:rFonts w:eastAsia="MS Mincho"/>
          <w:lang w:eastAsia="ja-JP"/>
        </w:rPr>
        <w:t>In time domain, a CORESET can be configured with one or a set of contiguous OFDM symbols</w:t>
      </w:r>
    </w:p>
    <w:p w14:paraId="2BD37CA1" w14:textId="77777777" w:rsidR="000B34EB" w:rsidRPr="0007653C" w:rsidRDefault="000B34EB" w:rsidP="000B34EB">
      <w:pPr>
        <w:numPr>
          <w:ilvl w:val="1"/>
          <w:numId w:val="39"/>
        </w:numPr>
        <w:overflowPunct/>
        <w:autoSpaceDE/>
        <w:autoSpaceDN/>
        <w:adjustRightInd/>
        <w:spacing w:after="0"/>
        <w:jc w:val="left"/>
        <w:textAlignment w:val="auto"/>
        <w:rPr>
          <w:rFonts w:eastAsia="MS Mincho"/>
          <w:lang w:eastAsia="ja-JP"/>
        </w:rPr>
      </w:pPr>
      <w:r w:rsidRPr="0007653C">
        <w:rPr>
          <w:rFonts w:eastAsia="MS Mincho"/>
          <w:lang w:eastAsia="ja-JP"/>
        </w:rPr>
        <w:t xml:space="preserve"> The configuration </w:t>
      </w:r>
      <w:r>
        <w:rPr>
          <w:rFonts w:eastAsia="MS Mincho" w:hint="eastAsia"/>
          <w:lang w:eastAsia="ja-JP"/>
        </w:rPr>
        <w:t xml:space="preserve">can </w:t>
      </w:r>
      <w:r>
        <w:rPr>
          <w:rFonts w:eastAsia="MS Mincho"/>
          <w:lang w:eastAsia="ja-JP"/>
        </w:rPr>
        <w:t>indicate</w:t>
      </w:r>
      <w:r w:rsidRPr="0007653C">
        <w:rPr>
          <w:rFonts w:eastAsia="MS Mincho"/>
          <w:lang w:eastAsia="ja-JP"/>
        </w:rPr>
        <w:t xml:space="preserve"> the starting OFDM symbol and time duration</w:t>
      </w:r>
    </w:p>
    <w:p w14:paraId="6B60EFFF" w14:textId="77777777" w:rsidR="000B34EB" w:rsidRPr="0007653C" w:rsidRDefault="000B34EB" w:rsidP="000B34EB">
      <w:pPr>
        <w:numPr>
          <w:ilvl w:val="0"/>
          <w:numId w:val="39"/>
        </w:numPr>
        <w:overflowPunct/>
        <w:autoSpaceDE/>
        <w:autoSpaceDN/>
        <w:adjustRightInd/>
        <w:spacing w:after="0"/>
        <w:jc w:val="left"/>
        <w:textAlignment w:val="auto"/>
        <w:rPr>
          <w:rFonts w:eastAsia="MS Mincho"/>
          <w:lang w:eastAsia="ja-JP"/>
        </w:rPr>
      </w:pPr>
      <w:r w:rsidRPr="0007653C">
        <w:rPr>
          <w:rFonts w:eastAsia="MS Mincho"/>
          <w:lang w:eastAsia="ja-JP"/>
        </w:rPr>
        <w:t>A CORESET is configured with only one CCE-to-REG mapping</w:t>
      </w:r>
    </w:p>
    <w:p w14:paraId="00E3FCBB" w14:textId="77777777" w:rsidR="000B34EB" w:rsidRDefault="000B34EB" w:rsidP="000B34EB">
      <w:pPr>
        <w:rPr>
          <w:rFonts w:eastAsia="MS Mincho"/>
          <w:highlight w:val="yellow"/>
          <w:lang w:eastAsia="ja-JP"/>
        </w:rPr>
      </w:pPr>
    </w:p>
    <w:p w14:paraId="45634569" w14:textId="77777777" w:rsidR="000B34EB" w:rsidRPr="002B1B65" w:rsidRDefault="000B34EB" w:rsidP="000B34EB">
      <w:pPr>
        <w:rPr>
          <w:rFonts w:eastAsia="MS Mincho"/>
          <w:b/>
          <w:u w:val="single"/>
          <w:lang w:eastAsia="ja-JP"/>
        </w:rPr>
      </w:pPr>
      <w:r w:rsidRPr="00832511">
        <w:rPr>
          <w:rFonts w:eastAsia="MS Mincho" w:hint="eastAsia"/>
          <w:b/>
          <w:highlight w:val="darkYellow"/>
          <w:u w:val="single"/>
          <w:lang w:eastAsia="ja-JP"/>
        </w:rPr>
        <w:t>Working assumption</w:t>
      </w:r>
      <w:r>
        <w:rPr>
          <w:rFonts w:eastAsia="MS Mincho" w:hint="eastAsia"/>
          <w:b/>
          <w:highlight w:val="darkYellow"/>
          <w:u w:val="single"/>
          <w:lang w:eastAsia="ja-JP"/>
        </w:rPr>
        <w:t>s</w:t>
      </w:r>
      <w:r w:rsidRPr="00832511">
        <w:rPr>
          <w:rFonts w:eastAsia="MS Mincho" w:hint="eastAsia"/>
          <w:b/>
          <w:highlight w:val="darkYellow"/>
          <w:u w:val="single"/>
          <w:lang w:eastAsia="ja-JP"/>
        </w:rPr>
        <w:t>:</w:t>
      </w:r>
    </w:p>
    <w:p w14:paraId="0C6A9ED2" w14:textId="77777777" w:rsidR="000B34EB" w:rsidRPr="002B1B65" w:rsidRDefault="000B34EB" w:rsidP="000B34EB">
      <w:pPr>
        <w:numPr>
          <w:ilvl w:val="0"/>
          <w:numId w:val="40"/>
        </w:numPr>
        <w:overflowPunct/>
        <w:autoSpaceDE/>
        <w:autoSpaceDN/>
        <w:adjustRightInd/>
        <w:spacing w:after="0"/>
        <w:jc w:val="left"/>
        <w:textAlignment w:val="auto"/>
        <w:rPr>
          <w:rFonts w:eastAsia="MS Mincho"/>
          <w:lang w:eastAsia="ja-JP"/>
        </w:rPr>
      </w:pPr>
      <w:r w:rsidRPr="002B1B65">
        <w:rPr>
          <w:rFonts w:eastAsia="MS Mincho"/>
          <w:lang w:eastAsia="ja-JP"/>
        </w:rPr>
        <w:t>For a time-duration of a CORESET:</w:t>
      </w:r>
    </w:p>
    <w:p w14:paraId="715B9CC7" w14:textId="77777777" w:rsidR="000B34EB" w:rsidRPr="002B1B65" w:rsidRDefault="000B34EB" w:rsidP="000B34EB">
      <w:pPr>
        <w:numPr>
          <w:ilvl w:val="1"/>
          <w:numId w:val="40"/>
        </w:numPr>
        <w:overflowPunct/>
        <w:autoSpaceDE/>
        <w:autoSpaceDN/>
        <w:adjustRightInd/>
        <w:spacing w:after="0"/>
        <w:jc w:val="left"/>
        <w:textAlignment w:val="auto"/>
        <w:rPr>
          <w:rFonts w:eastAsia="MS Mincho"/>
          <w:lang w:eastAsia="ja-JP"/>
        </w:rPr>
      </w:pPr>
      <w:r>
        <w:rPr>
          <w:rFonts w:eastAsia="MS Mincho" w:hint="eastAsia"/>
          <w:lang w:eastAsia="ja-JP"/>
        </w:rPr>
        <w:t>Support 1-</w:t>
      </w:r>
      <w:r w:rsidRPr="002B1B65">
        <w:rPr>
          <w:rFonts w:eastAsia="MS Mincho" w:hint="eastAsia"/>
          <w:lang w:eastAsia="ja-JP"/>
        </w:rPr>
        <w:t xml:space="preserve">3 OFDM symbol as time duration for a CORESET </w:t>
      </w:r>
      <w:r>
        <w:rPr>
          <w:rFonts w:eastAsia="MS Mincho" w:hint="eastAsia"/>
          <w:lang w:eastAsia="ja-JP"/>
        </w:rPr>
        <w:t>on the NR carrier with less than or equal to X PRBs</w:t>
      </w:r>
    </w:p>
    <w:p w14:paraId="629A6ADD" w14:textId="77777777" w:rsidR="000B34EB" w:rsidRPr="002B1B65" w:rsidRDefault="000B34EB" w:rsidP="000B34EB">
      <w:pPr>
        <w:numPr>
          <w:ilvl w:val="1"/>
          <w:numId w:val="40"/>
        </w:numPr>
        <w:overflowPunct/>
        <w:autoSpaceDE/>
        <w:autoSpaceDN/>
        <w:adjustRightInd/>
        <w:spacing w:after="0"/>
        <w:jc w:val="left"/>
        <w:textAlignment w:val="auto"/>
        <w:rPr>
          <w:rFonts w:eastAsia="MS Mincho"/>
          <w:lang w:eastAsia="ja-JP"/>
        </w:rPr>
      </w:pPr>
      <w:r>
        <w:rPr>
          <w:rFonts w:eastAsia="MS Mincho" w:hint="eastAsia"/>
          <w:lang w:eastAsia="ja-JP"/>
        </w:rPr>
        <w:t>Support 1-</w:t>
      </w:r>
      <w:r w:rsidRPr="002B1B65">
        <w:rPr>
          <w:rFonts w:eastAsia="MS Mincho" w:hint="eastAsia"/>
          <w:lang w:eastAsia="ja-JP"/>
        </w:rPr>
        <w:t xml:space="preserve">2 OFDM symbol as time duration for a CORESET </w:t>
      </w:r>
      <w:r>
        <w:rPr>
          <w:rFonts w:eastAsia="MS Mincho" w:hint="eastAsia"/>
          <w:lang w:eastAsia="ja-JP"/>
        </w:rPr>
        <w:t>on the NR carrier with wider than X PRBs</w:t>
      </w:r>
    </w:p>
    <w:p w14:paraId="590281C4" w14:textId="77777777" w:rsidR="000B34EB" w:rsidRDefault="000B34EB" w:rsidP="000B34EB">
      <w:pPr>
        <w:numPr>
          <w:ilvl w:val="1"/>
          <w:numId w:val="40"/>
        </w:numPr>
        <w:overflowPunct/>
        <w:autoSpaceDE/>
        <w:autoSpaceDN/>
        <w:adjustRightInd/>
        <w:spacing w:after="0"/>
        <w:jc w:val="left"/>
        <w:textAlignment w:val="auto"/>
        <w:rPr>
          <w:rFonts w:eastAsia="MS Mincho"/>
          <w:lang w:eastAsia="ja-JP"/>
        </w:rPr>
      </w:pPr>
      <w:r>
        <w:rPr>
          <w:rFonts w:eastAsia="MS Mincho" w:hint="eastAsia"/>
          <w:lang w:eastAsia="ja-JP"/>
        </w:rPr>
        <w:t>FFS: X values</w:t>
      </w:r>
    </w:p>
    <w:p w14:paraId="5039221B" w14:textId="77777777" w:rsidR="000B34EB" w:rsidRPr="00744F84" w:rsidRDefault="000B34EB" w:rsidP="000B34EB">
      <w:pPr>
        <w:numPr>
          <w:ilvl w:val="1"/>
          <w:numId w:val="40"/>
        </w:numPr>
        <w:overflowPunct/>
        <w:autoSpaceDE/>
        <w:autoSpaceDN/>
        <w:adjustRightInd/>
        <w:spacing w:after="0"/>
        <w:jc w:val="left"/>
        <w:textAlignment w:val="auto"/>
        <w:rPr>
          <w:rFonts w:eastAsia="MS Mincho"/>
          <w:lang w:eastAsia="ja-JP"/>
        </w:rPr>
      </w:pPr>
      <w:r w:rsidRPr="00744F84">
        <w:rPr>
          <w:rFonts w:eastAsia="MS Mincho"/>
          <w:lang w:eastAsia="ja-JP"/>
        </w:rPr>
        <w:t>FFS: Other time duration</w:t>
      </w:r>
    </w:p>
    <w:p w14:paraId="3ADE40D9" w14:textId="77777777" w:rsidR="000B34EB" w:rsidRDefault="000B34EB" w:rsidP="000B34EB">
      <w:pPr>
        <w:numPr>
          <w:ilvl w:val="1"/>
          <w:numId w:val="40"/>
        </w:numPr>
        <w:overflowPunct/>
        <w:autoSpaceDE/>
        <w:autoSpaceDN/>
        <w:adjustRightInd/>
        <w:spacing w:after="0"/>
        <w:jc w:val="left"/>
        <w:textAlignment w:val="auto"/>
        <w:rPr>
          <w:rFonts w:eastAsia="MS Mincho"/>
          <w:lang w:eastAsia="ja-JP"/>
        </w:rPr>
      </w:pPr>
      <w:r w:rsidRPr="00744F84">
        <w:rPr>
          <w:rFonts w:eastAsia="MS Mincho"/>
          <w:lang w:eastAsia="ja-JP"/>
        </w:rPr>
        <w:t>FFS: Relationship of a first PDSCH DMRS symbol with one or more symbols of a CORESET for slot-based scheduling</w:t>
      </w:r>
    </w:p>
    <w:p w14:paraId="7B6A92E7" w14:textId="77777777" w:rsidR="000B34EB" w:rsidRDefault="000B34EB" w:rsidP="000B34EB">
      <w:pPr>
        <w:numPr>
          <w:ilvl w:val="1"/>
          <w:numId w:val="40"/>
        </w:numPr>
        <w:overflowPunct/>
        <w:autoSpaceDE/>
        <w:autoSpaceDN/>
        <w:adjustRightInd/>
        <w:spacing w:after="0"/>
        <w:jc w:val="left"/>
        <w:textAlignment w:val="auto"/>
        <w:rPr>
          <w:rFonts w:eastAsia="MS Mincho"/>
          <w:lang w:eastAsia="ja-JP"/>
        </w:rPr>
      </w:pPr>
      <w:r>
        <w:rPr>
          <w:rFonts w:eastAsia="MS Mincho" w:hint="eastAsia"/>
          <w:lang w:eastAsia="ja-JP"/>
        </w:rPr>
        <w:t>FFS: restriction in the certain conditions</w:t>
      </w:r>
    </w:p>
    <w:p w14:paraId="4689C474" w14:textId="77777777" w:rsidR="000B34EB" w:rsidRDefault="000B34EB" w:rsidP="006628A0">
      <w:pPr>
        <w:pStyle w:val="BodyText"/>
      </w:pPr>
    </w:p>
    <w:p w14:paraId="22560DAE" w14:textId="5BAC66C7" w:rsidR="0009560B" w:rsidRPr="0009560B" w:rsidRDefault="008B458D" w:rsidP="006628A0">
      <w:pPr>
        <w:pStyle w:val="BodyText"/>
      </w:pPr>
      <w:r>
        <w:t>In this con</w:t>
      </w:r>
      <w:r w:rsidR="00AE5C65">
        <w:t>tribution we discuss</w:t>
      </w:r>
      <w:r w:rsidR="00A2583F">
        <w:t xml:space="preserve"> configuration of</w:t>
      </w:r>
      <w:r w:rsidR="00AE5C65">
        <w:t xml:space="preserve"> </w:t>
      </w:r>
      <w:r w:rsidR="00A2583F">
        <w:t xml:space="preserve">CORESETs and </w:t>
      </w:r>
      <w:r w:rsidR="00AE5C65">
        <w:t>search spaces within which the UE searches for NR-PDCCH candidates</w:t>
      </w:r>
      <w:r w:rsidR="006C6517">
        <w:t>.</w:t>
      </w:r>
    </w:p>
    <w:p w14:paraId="0AF66C71" w14:textId="2B665131" w:rsidR="00975A0C" w:rsidRDefault="005261FA" w:rsidP="0001638B">
      <w:pPr>
        <w:pStyle w:val="Heading1"/>
      </w:pPr>
      <w:r>
        <w:t>Discussion</w:t>
      </w:r>
    </w:p>
    <w:p w14:paraId="5E2FE25D" w14:textId="71D73FFE" w:rsidR="003245DE" w:rsidRPr="00B34994" w:rsidRDefault="00047697" w:rsidP="003245DE">
      <w:pPr>
        <w:pStyle w:val="BodyText"/>
      </w:pPr>
      <w:r>
        <w:rPr>
          <w:b/>
          <w:u w:val="single"/>
        </w:rPr>
        <w:t>Search spaces and control regions:</w:t>
      </w:r>
    </w:p>
    <w:p w14:paraId="58C2ABCA" w14:textId="6B8F6A51" w:rsidR="003245DE" w:rsidRDefault="00B10446" w:rsidP="003245DE">
      <w:pPr>
        <w:pStyle w:val="BodyText"/>
      </w:pPr>
      <w:r>
        <w:lastRenderedPageBreak/>
        <w:t xml:space="preserve">We observe that after initial access is performed, the UE does not yet have any opportunity to be configured a control resource set other than receiving information over the NR-PBCH which is quite limited in capacity. Therefore, a control resource set must either be implicitly defined or must be explicitly signaled with very minimal signaling to the UE in order to be able to receiver further control messages. Considering the capacity limitations of the NR-PBCH, a better approach may be to limit or eliminate the signaling needed to be carried on this channel. This would imply that there are benefits to implicitly defining a control resource </w:t>
      </w:r>
      <w:r w:rsidR="00EB4F32">
        <w:t>set</w:t>
      </w:r>
      <w:r>
        <w:t xml:space="preserve"> where at least messages common to all UEs can be received after performing initial access on a serving cell. That is, this con</w:t>
      </w:r>
      <w:r w:rsidR="00984049">
        <w:t xml:space="preserve">trol </w:t>
      </w:r>
      <w:r w:rsidR="00EB4F32">
        <w:t>set</w:t>
      </w:r>
      <w:r w:rsidR="00984049">
        <w:t xml:space="preserve"> should at least support</w:t>
      </w:r>
      <w:r>
        <w:t xml:space="preserve"> a common search space.</w:t>
      </w:r>
    </w:p>
    <w:p w14:paraId="3BD26036" w14:textId="75A6F838" w:rsidR="00984049" w:rsidRDefault="00984049" w:rsidP="003245DE">
      <w:pPr>
        <w:pStyle w:val="BodyText"/>
        <w:rPr>
          <w:b/>
          <w:u w:val="single"/>
        </w:rPr>
      </w:pPr>
      <w:r>
        <w:rPr>
          <w:b/>
          <w:i/>
        </w:rPr>
        <w:t xml:space="preserve">Observation: </w:t>
      </w:r>
      <w:r>
        <w:t xml:space="preserve">At least a common search space must be supported in a control resource </w:t>
      </w:r>
      <w:r w:rsidR="00EB4F32">
        <w:t>set</w:t>
      </w:r>
      <w:r>
        <w:t xml:space="preserve"> that is either implicitly defined or explicitly signaled to the UE during initial access procedures.</w:t>
      </w:r>
    </w:p>
    <w:p w14:paraId="10B1DD72" w14:textId="32351945" w:rsidR="0042144C" w:rsidRDefault="00C70F6F" w:rsidP="00C70F6F">
      <w:pPr>
        <w:pStyle w:val="BodyText"/>
      </w:pPr>
      <w:r>
        <w:t>We note that m</w:t>
      </w:r>
      <w:r w:rsidR="0042144C">
        <w:t>inimal signaling may need to be used during initial access procedures in order to provide flexibility of assigning the control resource set in relation to the location of the sync sequence on the carrier which may not always be in the center. Furthermore, UE bandwidth flexibility for power saving reasons may also put additional constraints. Another consideration is that the PRB numbering itself may be UE-specific and UEs may not really know the total bandwidth of the carrier from an eNB perspective</w:t>
      </w:r>
    </w:p>
    <w:p w14:paraId="50BD7271" w14:textId="6561A524" w:rsidR="0042144C" w:rsidRDefault="00C70F6F" w:rsidP="00C70F6F">
      <w:pPr>
        <w:pStyle w:val="BodyText"/>
      </w:pPr>
      <w:r>
        <w:t xml:space="preserve">Considering the question of whether UE-specific search spaces should exist in the same control resource </w:t>
      </w:r>
      <w:r w:rsidR="00EB4F32">
        <w:t>set</w:t>
      </w:r>
      <w:r>
        <w:t>, we note that i</w:t>
      </w:r>
      <w:r w:rsidR="0042144C">
        <w:t>f a control resource set is anyway defined for common search spaces, it may be wasteful to have to use RRC signaling to every UE just to indicate UE-specific search spaces in addition. Instead</w:t>
      </w:r>
      <w:r>
        <w:t>,</w:t>
      </w:r>
      <w:r w:rsidR="0042144C">
        <w:t xml:space="preserve"> it would be more efficient to have this control resource set signaled after initial access to also contain a UE-specific search space. Then, further UE-specific search spaces could be RRC signaled to the UE if necessary.</w:t>
      </w:r>
    </w:p>
    <w:p w14:paraId="6666F584" w14:textId="64249206" w:rsidR="00C904BF" w:rsidRDefault="00954E2B" w:rsidP="00C70F6F">
      <w:pPr>
        <w:pStyle w:val="BodyText"/>
      </w:pPr>
      <w:r>
        <w:t xml:space="preserve">The definition of search spaces and the management of multiple search spaces within a single control </w:t>
      </w:r>
      <w:r w:rsidR="00EB4F32">
        <w:t>set</w:t>
      </w:r>
      <w:r>
        <w:t xml:space="preserve"> can be facilitated by numbering the </w:t>
      </w:r>
      <w:r w:rsidR="0042144C">
        <w:t xml:space="preserve">CCEs within a control resource </w:t>
      </w:r>
      <w:r w:rsidR="00EB4F32">
        <w:t>set</w:t>
      </w:r>
      <w:r w:rsidR="005F3106">
        <w:t xml:space="preserve"> as proposed in </w:t>
      </w:r>
      <w:r w:rsidR="005F3106">
        <w:fldChar w:fldCharType="begin"/>
      </w:r>
      <w:r w:rsidR="005F3106">
        <w:instrText xml:space="preserve"> REF _Ref478185288 \r \h </w:instrText>
      </w:r>
      <w:r w:rsidR="005F3106">
        <w:fldChar w:fldCharType="separate"/>
      </w:r>
      <w:r w:rsidR="001649D4">
        <w:t>[4]</w:t>
      </w:r>
      <w:r w:rsidR="005F3106">
        <w:fldChar w:fldCharType="end"/>
      </w:r>
      <w:r w:rsidR="0042144C">
        <w:t xml:space="preserve"> </w:t>
      </w:r>
      <w:r>
        <w:t xml:space="preserve">so that </w:t>
      </w:r>
      <w:r w:rsidR="0042144C">
        <w:t>the first few can be used for common search spaces and the rest for UE-specific search spaces</w:t>
      </w:r>
      <w:r>
        <w:t xml:space="preserve">. </w:t>
      </w:r>
      <w:r w:rsidR="00C904BF">
        <w:t xml:space="preserve">Furthermore, to minimize signaling, it would be beneficial if the </w:t>
      </w:r>
      <w:r w:rsidR="005F3106">
        <w:t>CCE definition and numbering</w:t>
      </w:r>
      <w:r w:rsidR="00C904BF">
        <w:t xml:space="preserve"> is implicit based on some configured, signaled or specified parameters for the control resource </w:t>
      </w:r>
      <w:r w:rsidR="00EB4F32">
        <w:t>set</w:t>
      </w:r>
      <w:r w:rsidR="00C904BF">
        <w:t xml:space="preserve">, such as the bandwidth of the control resource </w:t>
      </w:r>
      <w:r w:rsidR="00EB4F32">
        <w:t>set</w:t>
      </w:r>
      <w:r w:rsidR="00C904BF">
        <w:t xml:space="preserve"> and the number of OFDM symbols in the </w:t>
      </w:r>
      <w:r w:rsidR="00EB4F32">
        <w:t>set</w:t>
      </w:r>
      <w:r w:rsidR="00C904BF">
        <w:t>.</w:t>
      </w:r>
    </w:p>
    <w:p w14:paraId="6A3A6B1C" w14:textId="0D795507" w:rsidR="0042144C" w:rsidRDefault="00954E2B" w:rsidP="00C70F6F">
      <w:pPr>
        <w:pStyle w:val="BodyText"/>
      </w:pPr>
      <w:r>
        <w:t xml:space="preserve">Considering that the common search space will need to be used for messages intended for multiple UEs, it would make sense for this control resource </w:t>
      </w:r>
      <w:r w:rsidR="00EB4F32">
        <w:t>set</w:t>
      </w:r>
      <w:r>
        <w:t xml:space="preserve"> to use a distributed mapping of REGs to CCEs as described in </w:t>
      </w:r>
      <w:r w:rsidR="006C6517">
        <w:fldChar w:fldCharType="begin"/>
      </w:r>
      <w:r w:rsidR="006C6517">
        <w:instrText xml:space="preserve"> REF _Ref478185288 \n \h </w:instrText>
      </w:r>
      <w:r w:rsidR="006C6517">
        <w:fldChar w:fldCharType="separate"/>
      </w:r>
      <w:r w:rsidR="001649D4">
        <w:t>[4]</w:t>
      </w:r>
      <w:r w:rsidR="006C6517">
        <w:fldChar w:fldCharType="end"/>
      </w:r>
      <w:r>
        <w:t xml:space="preserve">. </w:t>
      </w:r>
      <w:r w:rsidR="00C904BF">
        <w:t>Based on the above discussion, we propose the following.</w:t>
      </w:r>
    </w:p>
    <w:p w14:paraId="59A48EA6" w14:textId="77777777" w:rsidR="00C904BF" w:rsidRDefault="00C904BF" w:rsidP="00C70F6F">
      <w:pPr>
        <w:pStyle w:val="BodyText"/>
      </w:pPr>
    </w:p>
    <w:p w14:paraId="509D0D3F" w14:textId="77217B47" w:rsidR="003242AA" w:rsidRDefault="0042144C" w:rsidP="003245DE">
      <w:pPr>
        <w:pStyle w:val="BodyText"/>
        <w:rPr>
          <w:b/>
          <w:i/>
        </w:rPr>
      </w:pPr>
      <w:r>
        <w:rPr>
          <w:b/>
          <w:i/>
        </w:rPr>
        <w:t>Proposal</w:t>
      </w:r>
      <w:r w:rsidR="00047697">
        <w:rPr>
          <w:b/>
          <w:i/>
        </w:rPr>
        <w:t>s</w:t>
      </w:r>
      <w:r>
        <w:rPr>
          <w:b/>
          <w:i/>
        </w:rPr>
        <w:t xml:space="preserve">: </w:t>
      </w:r>
    </w:p>
    <w:p w14:paraId="3633A796" w14:textId="4E321E7C" w:rsidR="003242AA" w:rsidRDefault="0042144C" w:rsidP="003245DE">
      <w:pPr>
        <w:pStyle w:val="BodyText"/>
        <w:numPr>
          <w:ilvl w:val="0"/>
          <w:numId w:val="36"/>
        </w:numPr>
      </w:pPr>
      <w:r>
        <w:t xml:space="preserve">A control resource </w:t>
      </w:r>
      <w:r w:rsidR="007B7B40">
        <w:t>set (CORESET)</w:t>
      </w:r>
      <w:r>
        <w:t xml:space="preserve"> carrying a common search space and a UE-specific search space should be signaled to the UE during initial access procedures</w:t>
      </w:r>
    </w:p>
    <w:p w14:paraId="628A6210" w14:textId="1836572E" w:rsidR="003242AA" w:rsidRDefault="00C904BF" w:rsidP="003245DE">
      <w:pPr>
        <w:pStyle w:val="BodyText"/>
        <w:numPr>
          <w:ilvl w:val="0"/>
          <w:numId w:val="36"/>
        </w:numPr>
      </w:pPr>
      <w:r>
        <w:t xml:space="preserve">The </w:t>
      </w:r>
      <w:r w:rsidR="005F3106">
        <w:t xml:space="preserve">CCE definition and numbering </w:t>
      </w:r>
      <w:r>
        <w:t xml:space="preserve">within the control resource </w:t>
      </w:r>
      <w:r w:rsidR="00EB4F32">
        <w:t>set</w:t>
      </w:r>
      <w:r>
        <w:t xml:space="preserve"> </w:t>
      </w:r>
      <w:r w:rsidR="005F3106">
        <w:t>is</w:t>
      </w:r>
      <w:r>
        <w:t xml:space="preserve"> defined implicitly based on the parameters of the control resource </w:t>
      </w:r>
      <w:r w:rsidR="00EB4F32">
        <w:t>set</w:t>
      </w:r>
      <w:r>
        <w:t>.</w:t>
      </w:r>
    </w:p>
    <w:p w14:paraId="45B8B8B4" w14:textId="72130AC4" w:rsidR="0042144C" w:rsidRPr="003242AA" w:rsidRDefault="0042144C" w:rsidP="003245DE">
      <w:pPr>
        <w:pStyle w:val="BodyText"/>
        <w:numPr>
          <w:ilvl w:val="0"/>
          <w:numId w:val="36"/>
        </w:numPr>
      </w:pPr>
      <w:r>
        <w:t xml:space="preserve">The common search space within the signaled control resource </w:t>
      </w:r>
      <w:r w:rsidR="00EB4F32">
        <w:t>set</w:t>
      </w:r>
      <w:r>
        <w:t xml:space="preserve"> can occupy the first few CCEs within the control resource </w:t>
      </w:r>
      <w:r w:rsidR="00EB4F32">
        <w:t>set</w:t>
      </w:r>
      <w:r>
        <w:t xml:space="preserve">, while the UE-specific search space may be located in the other CCEs in the control resource </w:t>
      </w:r>
      <w:r w:rsidR="00EB4F32">
        <w:t>set</w:t>
      </w:r>
    </w:p>
    <w:p w14:paraId="20E9BC11" w14:textId="6B1D0B9B" w:rsidR="00984049" w:rsidRDefault="00984049" w:rsidP="003245DE">
      <w:pPr>
        <w:pStyle w:val="BodyText"/>
        <w:rPr>
          <w:b/>
          <w:u w:val="single"/>
        </w:rPr>
      </w:pPr>
    </w:p>
    <w:p w14:paraId="37C67B61" w14:textId="77777777" w:rsidR="00363106" w:rsidRDefault="00363106" w:rsidP="00363106">
      <w:pPr>
        <w:pStyle w:val="BodyText"/>
        <w:rPr>
          <w:b/>
          <w:u w:val="single"/>
        </w:rPr>
      </w:pPr>
      <w:r>
        <w:rPr>
          <w:b/>
          <w:u w:val="single"/>
        </w:rPr>
        <w:t>Size of control resource sets</w:t>
      </w:r>
    </w:p>
    <w:p w14:paraId="547805B7" w14:textId="46F6F542" w:rsidR="00363106" w:rsidRDefault="00363106" w:rsidP="00363106">
      <w:pPr>
        <w:pStyle w:val="BodyText"/>
      </w:pPr>
      <w:r>
        <w:t xml:space="preserve">The size of a control resource set should allow for the largest possible control channel (i.e. the largest combination of DCI payload and aggregation level). It also defines the smallest possible UE bandwidth, i.e. a UE not capable of receiving at least one control resource set would not be able to access the system. For lower carrier frequencies, a control resource set of approximately 5 MHz seems to be a good choice. For higher carrier frequencies, a somewhat larger control resource set of around 20 MHz can be considered as the spectrum allocations in these cases typically are larger. </w:t>
      </w:r>
    </w:p>
    <w:p w14:paraId="19611196" w14:textId="30BAC3C3" w:rsidR="007E0916" w:rsidRDefault="00363106" w:rsidP="006B6397">
      <w:pPr>
        <w:rPr>
          <w:lang w:val="en-GB"/>
        </w:rPr>
      </w:pPr>
      <w:r>
        <w:rPr>
          <w:lang w:val="en-GB"/>
        </w:rPr>
        <w:t>A UE can have multiple CORESETs defined for monitoring. Given the flexibility in assigning the bandwidth of the CORESET, the larger amount of bandwidth available in most bands, and the fact that LTE is able to operate with a control region of up to 3 OFDM symbols except for a small bandwidth of 1.4 MHz, a CORESET does not have to exceed 3 OFDM symbols in time. In fact, 1 to 2 OFDM symbols is most likely enough for most scenarios. We therefore propose the following.</w:t>
      </w:r>
    </w:p>
    <w:p w14:paraId="0C4A6F52" w14:textId="26E8ECB5" w:rsidR="007E0916" w:rsidRDefault="007E0916" w:rsidP="007E0916">
      <w:pPr>
        <w:pStyle w:val="BodyText"/>
      </w:pPr>
      <w:r>
        <w:rPr>
          <w:lang w:val="en-GB"/>
        </w:rPr>
        <w:t xml:space="preserve">It is important to consider UEs that may operate on a smaller bandwidth part for receiving control messages than the bandwidth used for data. </w:t>
      </w:r>
      <w:r>
        <w:t xml:space="preserve">A search space may be contained entirely within a CORESET and depending on the search space design, it may be feasible for the bandwidth of the search space for a UE inside a </w:t>
      </w:r>
      <w:r>
        <w:lastRenderedPageBreak/>
        <w:t xml:space="preserve">CORESET to be smaller than the bandwidth of the CORESET itself. Hence, one design approach to satisfy a UE being able to receive control messages on a smaller RF bandwidth before switching to a larger one for data could be to ensure that search spaces are defined in a way that they may occupy a smaller bandwidth than a CORESET. This would enable CORESETs to span a large enough bandwidth to have adequate capacity for many UEs and enable the use of fewer CORESETs by the gNB. </w:t>
      </w:r>
    </w:p>
    <w:p w14:paraId="1E9D4FD1" w14:textId="77777777" w:rsidR="007E0916" w:rsidRDefault="007E0916" w:rsidP="007E0916">
      <w:pPr>
        <w:pStyle w:val="BodyText"/>
      </w:pPr>
      <w:r>
        <w:t xml:space="preserve">Another design approach would be to define the CORESET itself to be smaller than the smaller RF bandwidth that UEs must monitor. In this approach, there would be fewer restrictions on the search space a UE monitors within a CORESET leading to a simpler design for the design of search spaces within CORESETs especially if the CORESET has multiple symbols in it. Therefore, it would be beneficial for NR to enable this simpler design and allow the CORESET size to be configurable in a small enough bandwidth so that it can fit within the smaller RF bandwidth that UEs should monitor for the purposes of bandwidth adaptation. </w:t>
      </w:r>
    </w:p>
    <w:p w14:paraId="140BD327" w14:textId="77777777" w:rsidR="007E0916" w:rsidRDefault="007E0916" w:rsidP="007E0916">
      <w:pPr>
        <w:pStyle w:val="BodyText"/>
      </w:pPr>
      <w:r w:rsidRPr="007E0916">
        <w:rPr>
          <w:b/>
          <w:i/>
        </w:rPr>
        <w:t>Proposal:</w:t>
      </w:r>
      <w:r w:rsidRPr="007E0916">
        <w:rPr>
          <w:i/>
        </w:rPr>
        <w:t xml:space="preserve"> </w:t>
      </w:r>
      <w:r>
        <w:t>CORESET size should be configurable to be within the smaller RF bandwidth.</w:t>
      </w:r>
    </w:p>
    <w:p w14:paraId="07F4E39D" w14:textId="2960A4E3" w:rsidR="007E0916" w:rsidRPr="006B6397" w:rsidRDefault="007E0916" w:rsidP="006B6397">
      <w:pPr>
        <w:rPr>
          <w:lang w:val="en-GB"/>
        </w:rPr>
      </w:pPr>
    </w:p>
    <w:p w14:paraId="1B801047" w14:textId="77777777" w:rsidR="00363106" w:rsidRPr="00047697" w:rsidRDefault="00363106" w:rsidP="00363106">
      <w:pPr>
        <w:pStyle w:val="BodyText"/>
        <w:rPr>
          <w:b/>
          <w:i/>
        </w:rPr>
      </w:pPr>
      <w:r w:rsidRPr="00047697">
        <w:rPr>
          <w:b/>
          <w:i/>
        </w:rPr>
        <w:t xml:space="preserve">Proposal: </w:t>
      </w:r>
    </w:p>
    <w:p w14:paraId="54532940" w14:textId="11CABFA7" w:rsidR="00363106" w:rsidRDefault="00363106" w:rsidP="006B6397">
      <w:pPr>
        <w:pStyle w:val="BodyText"/>
        <w:numPr>
          <w:ilvl w:val="0"/>
          <w:numId w:val="38"/>
        </w:numPr>
      </w:pPr>
      <w:r w:rsidRPr="004668CD">
        <w:t>A control resource set is in the order of 5 MHz for lower carrier frequencies</w:t>
      </w:r>
      <w:r>
        <w:t xml:space="preserve"> and should be scalable according to the sub-carrier spacing</w:t>
      </w:r>
      <w:r w:rsidRPr="004668CD">
        <w:t>.</w:t>
      </w:r>
    </w:p>
    <w:p w14:paraId="2A272F34" w14:textId="22F15724" w:rsidR="00363106" w:rsidRPr="007E0916" w:rsidRDefault="00363106" w:rsidP="006B6397">
      <w:pPr>
        <w:pStyle w:val="BodyText"/>
        <w:numPr>
          <w:ilvl w:val="0"/>
          <w:numId w:val="38"/>
        </w:numPr>
      </w:pPr>
      <w:r>
        <w:rPr>
          <w:lang w:val="en-GB"/>
        </w:rPr>
        <w:t>A CORESET can be configured to span 1 to 3 OFDM symbols.</w:t>
      </w:r>
    </w:p>
    <w:p w14:paraId="1FA8B607" w14:textId="15E5F804" w:rsidR="007E0916" w:rsidRDefault="007E0916" w:rsidP="006B6397">
      <w:pPr>
        <w:pStyle w:val="BodyText"/>
        <w:numPr>
          <w:ilvl w:val="0"/>
          <w:numId w:val="38"/>
        </w:numPr>
      </w:pPr>
      <w:r>
        <w:t>CORESET size should be configurable to be within the smaller RF bandwidth.</w:t>
      </w:r>
    </w:p>
    <w:p w14:paraId="693E027B" w14:textId="04B10E69" w:rsidR="00825D3D" w:rsidRDefault="00825D3D" w:rsidP="006628A0">
      <w:pPr>
        <w:pStyle w:val="BodyText"/>
        <w:overflowPunct/>
        <w:autoSpaceDE/>
        <w:autoSpaceDN/>
        <w:adjustRightInd/>
        <w:textAlignment w:val="auto"/>
        <w:rPr>
          <w:u w:val="single"/>
        </w:rPr>
      </w:pPr>
    </w:p>
    <w:p w14:paraId="7D5ECA05" w14:textId="504D609A" w:rsidR="000C3145" w:rsidRDefault="000C3145" w:rsidP="000C3145">
      <w:r>
        <w:t xml:space="preserve">There is a working assumption that has been made on the number of PRBs in a CORESET above which only 1-2 symbols should be allowed as the duration of the CORESET and below which up to 3 symbols may be allowed. </w:t>
      </w:r>
      <w:r w:rsidR="001E0BFF">
        <w:t xml:space="preserve">Control channel capacity similar to LTE could potentially imply that up to 3 OFDM symbols may be desirable for a bandwidth of up to 10 MHz with a 15 kHz subcarrier spacing, i.e., with 50 PRBs. For larger bandwidths, it is probably adequate to have 2 OFDM symbols. </w:t>
      </w:r>
      <w:r>
        <w:t>Longer CORESETs could be considered for bandwidths below</w:t>
      </w:r>
      <w:r w:rsidR="001E0BFF">
        <w:t xml:space="preserve"> 50</w:t>
      </w:r>
      <w:r>
        <w:t xml:space="preserve"> PRBs, if needed.</w:t>
      </w:r>
      <w:r w:rsidR="001E0BFF">
        <w:t xml:space="preserve"> Considering a CCE size of 6 REGs, we propose the following.</w:t>
      </w:r>
    </w:p>
    <w:p w14:paraId="387915BB" w14:textId="75E80603" w:rsidR="000C3145" w:rsidRDefault="000C3145" w:rsidP="000C3145">
      <w:r w:rsidRPr="00644351">
        <w:rPr>
          <w:b/>
          <w:i/>
        </w:rPr>
        <w:t>Proposal:</w:t>
      </w:r>
      <w:r w:rsidRPr="009537B1">
        <w:rPr>
          <w:b/>
        </w:rPr>
        <w:t xml:space="preserve"> </w:t>
      </w:r>
      <w:r>
        <w:t>A CORESET duration can be 1 or 2 OFDM symbols wh</w:t>
      </w:r>
      <w:r w:rsidR="001E0BFF">
        <w:t>en the CORESET spans at least 48</w:t>
      </w:r>
      <w:r>
        <w:t xml:space="preserve"> PRBs. </w:t>
      </w:r>
    </w:p>
    <w:p w14:paraId="178297C1" w14:textId="2621C0C8" w:rsidR="000C3145" w:rsidRDefault="000C3145" w:rsidP="006628A0">
      <w:pPr>
        <w:pStyle w:val="BodyText"/>
        <w:overflowPunct/>
        <w:autoSpaceDE/>
        <w:autoSpaceDN/>
        <w:adjustRightInd/>
        <w:textAlignment w:val="auto"/>
        <w:rPr>
          <w:u w:val="single"/>
        </w:rPr>
      </w:pPr>
    </w:p>
    <w:p w14:paraId="77ED8022" w14:textId="0D2967A3" w:rsidR="001E0BFF" w:rsidRDefault="001E0BFF" w:rsidP="001E0BFF">
      <w:pPr>
        <w:pStyle w:val="BodyText"/>
      </w:pPr>
      <w:r w:rsidRPr="001E0BFF">
        <w:t>T</w:t>
      </w:r>
      <w:r>
        <w:t xml:space="preserve">he allocation of PRBs for a CORESET should be compatible with the allocation of PRBs for PDSCH since the CORESET may not span the entire bandwidth of the carrier. This is most easily achieved if the same PRB allocation mechanisms are used for both data and for control resource sets. </w:t>
      </w:r>
      <w:r w:rsidR="00644351">
        <w:t xml:space="preserve">Considering that a REG bundle size of 2 is a good choice from a performance perspective </w:t>
      </w:r>
      <w:r w:rsidR="00644351">
        <w:fldChar w:fldCharType="begin"/>
      </w:r>
      <w:r w:rsidR="00644351">
        <w:instrText xml:space="preserve"> REF _Ref478185288 \r \h </w:instrText>
      </w:r>
      <w:r w:rsidR="00644351">
        <w:fldChar w:fldCharType="separate"/>
      </w:r>
      <w:r w:rsidR="001649D4">
        <w:t>[4]</w:t>
      </w:r>
      <w:r w:rsidR="00644351">
        <w:fldChar w:fldCharType="end"/>
      </w:r>
      <w:r w:rsidR="00644351">
        <w:t>, the PRB allocation mechanism should be capable of assigning PRBs in groups of 2 and multiples of 2.</w:t>
      </w:r>
    </w:p>
    <w:p w14:paraId="10899B4E" w14:textId="6AFD2110" w:rsidR="00644351" w:rsidRPr="001E0BFF" w:rsidRDefault="00644351" w:rsidP="001E0BFF">
      <w:pPr>
        <w:pStyle w:val="BodyText"/>
      </w:pPr>
      <w:r w:rsidRPr="00644351">
        <w:rPr>
          <w:b/>
          <w:i/>
        </w:rPr>
        <w:t>Proposal:</w:t>
      </w:r>
      <w:r>
        <w:t xml:space="preserve"> The same PRB allocation mechanism should be used for assigning the PRBs for a CORESET as is used for data. </w:t>
      </w:r>
    </w:p>
    <w:p w14:paraId="52194F8F" w14:textId="5F2EDD0E" w:rsidR="00AE553B" w:rsidRDefault="00AE553B" w:rsidP="00AE553B">
      <w:pPr>
        <w:pStyle w:val="Heading1"/>
      </w:pPr>
      <w:r>
        <w:t>Conclusion</w:t>
      </w:r>
    </w:p>
    <w:p w14:paraId="683F4B88" w14:textId="6B9309A4" w:rsidR="00C46A98" w:rsidRDefault="007B7B40" w:rsidP="00C46A98">
      <w:pPr>
        <w:pStyle w:val="BodyText"/>
      </w:pPr>
      <w:r>
        <w:t xml:space="preserve">We discussed the configuration of control resource sets and search spaces and </w:t>
      </w:r>
      <w:r w:rsidR="004A3DA8">
        <w:t>made the following observations and proposals</w:t>
      </w:r>
      <w:r>
        <w:t>.</w:t>
      </w:r>
    </w:p>
    <w:p w14:paraId="49BEB207" w14:textId="72DD27F2" w:rsidR="004A3DA8" w:rsidRDefault="006B6397" w:rsidP="00C46A98">
      <w:pPr>
        <w:pStyle w:val="BodyText"/>
      </w:pPr>
      <w:r>
        <w:rPr>
          <w:b/>
          <w:i/>
        </w:rPr>
        <w:t xml:space="preserve">Observation: </w:t>
      </w:r>
      <w:r>
        <w:t xml:space="preserve">At least a common search space must be supported in a control resource </w:t>
      </w:r>
      <w:r w:rsidR="00EB4F32">
        <w:t>set</w:t>
      </w:r>
      <w:r>
        <w:t xml:space="preserve"> that is either implicitly defined or explicitly signaled to the UE during initial access procedures.</w:t>
      </w:r>
    </w:p>
    <w:p w14:paraId="095058CC" w14:textId="77777777" w:rsidR="006B6397" w:rsidRDefault="006B6397" w:rsidP="006B6397">
      <w:pPr>
        <w:pStyle w:val="BodyText"/>
        <w:rPr>
          <w:b/>
          <w:i/>
        </w:rPr>
      </w:pPr>
      <w:r>
        <w:rPr>
          <w:b/>
          <w:i/>
        </w:rPr>
        <w:t xml:space="preserve">Proposals: </w:t>
      </w:r>
    </w:p>
    <w:p w14:paraId="6A6B380A" w14:textId="77777777" w:rsidR="006B6397" w:rsidRDefault="006B6397" w:rsidP="006B6397">
      <w:pPr>
        <w:pStyle w:val="BodyText"/>
        <w:numPr>
          <w:ilvl w:val="0"/>
          <w:numId w:val="36"/>
        </w:numPr>
      </w:pPr>
      <w:r>
        <w:t>A control resource set (CORESET) carrying a common search space and a UE-specific search space should be signaled to the UE during initial access procedures</w:t>
      </w:r>
    </w:p>
    <w:p w14:paraId="110F09BE" w14:textId="4555AAE6" w:rsidR="006B6397" w:rsidRDefault="006B6397" w:rsidP="006B6397">
      <w:pPr>
        <w:pStyle w:val="BodyText"/>
        <w:numPr>
          <w:ilvl w:val="0"/>
          <w:numId w:val="36"/>
        </w:numPr>
      </w:pPr>
      <w:r>
        <w:t xml:space="preserve">The CCE definition and numbering within the control resource </w:t>
      </w:r>
      <w:r w:rsidR="00EB4F32">
        <w:t>set</w:t>
      </w:r>
      <w:r>
        <w:t xml:space="preserve"> is defined implicitly based on the parameters of the control resource </w:t>
      </w:r>
      <w:r w:rsidR="00EB4F32">
        <w:t>set</w:t>
      </w:r>
      <w:r>
        <w:t>.</w:t>
      </w:r>
    </w:p>
    <w:p w14:paraId="08F57087" w14:textId="6C7B60D7" w:rsidR="006B6397" w:rsidRDefault="006B6397" w:rsidP="006B6397">
      <w:pPr>
        <w:pStyle w:val="BodyText"/>
        <w:numPr>
          <w:ilvl w:val="0"/>
          <w:numId w:val="36"/>
        </w:numPr>
      </w:pPr>
      <w:r>
        <w:t xml:space="preserve">The common search space within the signaled control resource </w:t>
      </w:r>
      <w:r w:rsidR="00EB4F32">
        <w:t>set</w:t>
      </w:r>
      <w:r>
        <w:t xml:space="preserve"> can occupy the first few CCEs within the control resource </w:t>
      </w:r>
      <w:r w:rsidR="00EB4F32">
        <w:t>set</w:t>
      </w:r>
      <w:r>
        <w:t xml:space="preserve">, while the UE-specific search space may be located in the other CCEs in the control resource </w:t>
      </w:r>
      <w:r w:rsidR="00EB4F32">
        <w:t>set</w:t>
      </w:r>
    </w:p>
    <w:p w14:paraId="2AAF3771" w14:textId="77777777" w:rsidR="006B6397" w:rsidRDefault="006B6397" w:rsidP="006B6397">
      <w:pPr>
        <w:pStyle w:val="BodyText"/>
        <w:numPr>
          <w:ilvl w:val="0"/>
          <w:numId w:val="36"/>
        </w:numPr>
      </w:pPr>
      <w:r w:rsidRPr="004668CD">
        <w:lastRenderedPageBreak/>
        <w:t>A control resource set is in the order of 5 MHz for lower carrier frequencies</w:t>
      </w:r>
      <w:r>
        <w:t xml:space="preserve"> and should be scalable according to the sub-carrier spacing</w:t>
      </w:r>
      <w:r w:rsidRPr="004668CD">
        <w:t>.</w:t>
      </w:r>
    </w:p>
    <w:p w14:paraId="24ABB28F" w14:textId="7BE4A1AB" w:rsidR="006B6397" w:rsidRPr="000B4429" w:rsidRDefault="006B6397" w:rsidP="006B6397">
      <w:pPr>
        <w:pStyle w:val="BodyText"/>
        <w:numPr>
          <w:ilvl w:val="0"/>
          <w:numId w:val="36"/>
        </w:numPr>
      </w:pPr>
      <w:r>
        <w:rPr>
          <w:lang w:val="en-GB"/>
        </w:rPr>
        <w:t>A CORESET can be configured to span 1 to 3 OFDM symbols.</w:t>
      </w:r>
    </w:p>
    <w:p w14:paraId="0D1B13D0" w14:textId="4DE180DD" w:rsidR="000B4429" w:rsidRDefault="000B4429" w:rsidP="006B6397">
      <w:pPr>
        <w:pStyle w:val="BodyText"/>
        <w:numPr>
          <w:ilvl w:val="0"/>
          <w:numId w:val="36"/>
        </w:numPr>
      </w:pPr>
      <w:r>
        <w:t>CORESET size should be configurable to be within the smaller RF bandwidth.</w:t>
      </w:r>
    </w:p>
    <w:p w14:paraId="5F197B0B" w14:textId="697BDBFB" w:rsidR="00644351" w:rsidRPr="003242AA" w:rsidRDefault="00644351" w:rsidP="006B6397">
      <w:pPr>
        <w:pStyle w:val="BodyText"/>
        <w:numPr>
          <w:ilvl w:val="0"/>
          <w:numId w:val="36"/>
        </w:numPr>
      </w:pPr>
      <w:r>
        <w:t>The same PRB allocation mechanism should be used for assigning the PRBs for a CORESET as is used for data.</w:t>
      </w:r>
    </w:p>
    <w:p w14:paraId="2A456164" w14:textId="229F9900" w:rsidR="00047697" w:rsidRPr="007B5FE5" w:rsidRDefault="00047697" w:rsidP="006628A0">
      <w:pPr>
        <w:pStyle w:val="BodyText"/>
        <w:rPr>
          <w:b/>
        </w:rPr>
      </w:pPr>
    </w:p>
    <w:p w14:paraId="3CA25FCB" w14:textId="041390C9" w:rsidR="00F507D1" w:rsidRDefault="00F507D1" w:rsidP="0009033B">
      <w:pPr>
        <w:pStyle w:val="Heading1"/>
      </w:pPr>
      <w:bookmarkStart w:id="1" w:name="_In-sequence_SDU_delivery"/>
      <w:bookmarkEnd w:id="1"/>
      <w:r w:rsidRPr="00CE0424">
        <w:t>References</w:t>
      </w:r>
    </w:p>
    <w:p w14:paraId="4F91C782" w14:textId="77777777" w:rsidR="00CB4B70" w:rsidRDefault="00CB4B70" w:rsidP="00CB4B70">
      <w:pPr>
        <w:pStyle w:val="Reference"/>
      </w:pPr>
      <w:bookmarkStart w:id="2" w:name="_Ref477879020"/>
      <w:bookmarkStart w:id="3" w:name="_Ref477803338"/>
      <w:r>
        <w:t xml:space="preserve">RP-171485, </w:t>
      </w:r>
      <w:r>
        <w:tab/>
      </w:r>
      <w:r>
        <w:tab/>
        <w:t>“Revised WID on New Radio Access Technology”, NTT DOCOMO Inc.</w:t>
      </w:r>
      <w:bookmarkEnd w:id="2"/>
    </w:p>
    <w:p w14:paraId="2E0E0E5C" w14:textId="16E42B7E" w:rsidR="00836182" w:rsidRDefault="00EA313F" w:rsidP="003B365D">
      <w:pPr>
        <w:pStyle w:val="Reference"/>
      </w:pPr>
      <w:bookmarkStart w:id="4" w:name="_Ref473934775"/>
      <w:bookmarkStart w:id="5" w:name="_Ref473637092"/>
      <w:bookmarkStart w:id="6" w:name="_Ref470613638"/>
      <w:bookmarkStart w:id="7" w:name="_Ref465931227"/>
      <w:bookmarkStart w:id="8" w:name="_Ref458515583"/>
      <w:bookmarkStart w:id="9" w:name="_Ref174151459"/>
      <w:bookmarkStart w:id="10" w:name="_Ref189809556"/>
      <w:bookmarkStart w:id="11" w:name="_Ref458165837"/>
      <w:bookmarkStart w:id="12" w:name="_Ref473896381"/>
      <w:bookmarkEnd w:id="3"/>
      <w:r w:rsidRPr="006C6517">
        <w:t>C</w:t>
      </w:r>
      <w:r w:rsidR="003579EB" w:rsidRPr="006C6517">
        <w:t>hairman’s N</w:t>
      </w:r>
      <w:r w:rsidR="004C5E10" w:rsidRPr="006C6517">
        <w:t>otes, 3GPP TSG RAN WG1 Meeting</w:t>
      </w:r>
      <w:r w:rsidR="009E10DB" w:rsidRPr="006C6517">
        <w:t>#8</w:t>
      </w:r>
      <w:bookmarkEnd w:id="4"/>
      <w:r w:rsidR="00AE5C65" w:rsidRPr="006C6517">
        <w:t>8</w:t>
      </w:r>
    </w:p>
    <w:p w14:paraId="46D8707A" w14:textId="5EE44E28" w:rsidR="00C06DB3" w:rsidRPr="006C6517" w:rsidRDefault="00A13354" w:rsidP="001649D4">
      <w:pPr>
        <w:pStyle w:val="Reference"/>
      </w:pPr>
      <w:bookmarkStart w:id="13" w:name="_Ref485400201"/>
      <w:r w:rsidRPr="006C6517">
        <w:t>Chairman’s Notes, 3GPP TSG RAN WG1 Meeting#8</w:t>
      </w:r>
      <w:r>
        <w:t>9</w:t>
      </w:r>
      <w:bookmarkStart w:id="14" w:name="_Ref473934800"/>
      <w:bookmarkEnd w:id="13"/>
    </w:p>
    <w:p w14:paraId="21750C94" w14:textId="2955E782" w:rsidR="006C6517" w:rsidRPr="006C6517" w:rsidRDefault="006C6517" w:rsidP="00E214D8">
      <w:pPr>
        <w:pStyle w:val="Reference"/>
      </w:pPr>
      <w:bookmarkStart w:id="15" w:name="_Ref478185288"/>
      <w:r w:rsidRPr="006C6517">
        <w:t>R1-17</w:t>
      </w:r>
      <w:r w:rsidR="00532338">
        <w:t>11477</w:t>
      </w:r>
      <w:r w:rsidRPr="006C6517">
        <w:t xml:space="preserve">, </w:t>
      </w:r>
      <w:r w:rsidR="006B6397">
        <w:tab/>
      </w:r>
      <w:r w:rsidR="001649D4">
        <w:t>“On NR PDCCH Structure”,</w:t>
      </w:r>
      <w:r w:rsidRPr="006C6517">
        <w:t xml:space="preserve"> Ericsson</w:t>
      </w:r>
      <w:bookmarkEnd w:id="15"/>
    </w:p>
    <w:bookmarkEnd w:id="5"/>
    <w:bookmarkEnd w:id="6"/>
    <w:bookmarkEnd w:id="7"/>
    <w:bookmarkEnd w:id="8"/>
    <w:bookmarkEnd w:id="9"/>
    <w:bookmarkEnd w:id="10"/>
    <w:bookmarkEnd w:id="11"/>
    <w:bookmarkEnd w:id="12"/>
    <w:bookmarkEnd w:id="14"/>
    <w:p w14:paraId="7BD1958E" w14:textId="7986C986" w:rsidR="002F43C5" w:rsidRPr="00BE3726" w:rsidRDefault="002F43C5" w:rsidP="0009560B">
      <w:pPr>
        <w:pStyle w:val="Reference"/>
        <w:numPr>
          <w:ilvl w:val="0"/>
          <w:numId w:val="0"/>
        </w:numPr>
        <w:ind w:left="567"/>
      </w:pPr>
    </w:p>
    <w:sectPr w:rsidR="002F43C5" w:rsidRPr="00BE372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7CD48" w14:textId="77777777" w:rsidR="000753C8" w:rsidRDefault="000753C8">
      <w:r>
        <w:separator/>
      </w:r>
    </w:p>
  </w:endnote>
  <w:endnote w:type="continuationSeparator" w:id="0">
    <w:p w14:paraId="0C3E06FF" w14:textId="77777777" w:rsidR="000753C8" w:rsidRDefault="000753C8">
      <w:r>
        <w:continuationSeparator/>
      </w:r>
    </w:p>
  </w:endnote>
  <w:endnote w:type="continuationNotice" w:id="1">
    <w:p w14:paraId="6C7861B0" w14:textId="77777777" w:rsidR="000753C8" w:rsidRDefault="000753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5499FF22" w:rsidR="00944308" w:rsidRDefault="009443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F463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F463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46B659" w14:textId="77777777" w:rsidR="000753C8" w:rsidRDefault="000753C8">
      <w:r>
        <w:separator/>
      </w:r>
    </w:p>
  </w:footnote>
  <w:footnote w:type="continuationSeparator" w:id="0">
    <w:p w14:paraId="3828F6A9" w14:textId="77777777" w:rsidR="000753C8" w:rsidRDefault="000753C8">
      <w:r>
        <w:continuationSeparator/>
      </w:r>
    </w:p>
  </w:footnote>
  <w:footnote w:type="continuationNotice" w:id="1">
    <w:p w14:paraId="020D529C" w14:textId="77777777" w:rsidR="000753C8" w:rsidRDefault="000753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944308" w:rsidRDefault="0094430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7730"/>
    <w:multiLevelType w:val="hybridMultilevel"/>
    <w:tmpl w:val="841A4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8323C2"/>
    <w:multiLevelType w:val="hybridMultilevel"/>
    <w:tmpl w:val="0D224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A7F99"/>
    <w:multiLevelType w:val="hybridMultilevel"/>
    <w:tmpl w:val="B3BA70C2"/>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24C26FB8"/>
    <w:multiLevelType w:val="hybridMultilevel"/>
    <w:tmpl w:val="561E58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CE014F"/>
    <w:multiLevelType w:val="hybridMultilevel"/>
    <w:tmpl w:val="A712C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AE27A3"/>
    <w:multiLevelType w:val="hybridMultilevel"/>
    <w:tmpl w:val="B54CD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66E5F"/>
    <w:multiLevelType w:val="hybridMultilevel"/>
    <w:tmpl w:val="42066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133C7A"/>
    <w:multiLevelType w:val="hybridMultilevel"/>
    <w:tmpl w:val="94DAF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F243E90"/>
    <w:multiLevelType w:val="hybridMultilevel"/>
    <w:tmpl w:val="6F50D636"/>
    <w:lvl w:ilvl="0" w:tplc="9524193C">
      <w:start w:val="1"/>
      <w:numFmt w:val="lowerLetter"/>
      <w:lvlText w:val="(%1)"/>
      <w:lvlJc w:val="left"/>
      <w:pPr>
        <w:ind w:left="4896" w:hanging="360"/>
      </w:pPr>
      <w:rPr>
        <w:rFonts w:hint="default"/>
      </w:rPr>
    </w:lvl>
    <w:lvl w:ilvl="1" w:tplc="041D0019" w:tentative="1">
      <w:start w:val="1"/>
      <w:numFmt w:val="lowerLetter"/>
      <w:lvlText w:val="%2."/>
      <w:lvlJc w:val="left"/>
      <w:pPr>
        <w:ind w:left="5616" w:hanging="360"/>
      </w:pPr>
    </w:lvl>
    <w:lvl w:ilvl="2" w:tplc="041D001B" w:tentative="1">
      <w:start w:val="1"/>
      <w:numFmt w:val="lowerRoman"/>
      <w:lvlText w:val="%3."/>
      <w:lvlJc w:val="right"/>
      <w:pPr>
        <w:ind w:left="6336" w:hanging="180"/>
      </w:pPr>
    </w:lvl>
    <w:lvl w:ilvl="3" w:tplc="041D000F" w:tentative="1">
      <w:start w:val="1"/>
      <w:numFmt w:val="decimal"/>
      <w:lvlText w:val="%4."/>
      <w:lvlJc w:val="left"/>
      <w:pPr>
        <w:ind w:left="7056" w:hanging="360"/>
      </w:pPr>
    </w:lvl>
    <w:lvl w:ilvl="4" w:tplc="041D0019" w:tentative="1">
      <w:start w:val="1"/>
      <w:numFmt w:val="lowerLetter"/>
      <w:lvlText w:val="%5."/>
      <w:lvlJc w:val="left"/>
      <w:pPr>
        <w:ind w:left="7776" w:hanging="360"/>
      </w:pPr>
    </w:lvl>
    <w:lvl w:ilvl="5" w:tplc="041D001B" w:tentative="1">
      <w:start w:val="1"/>
      <w:numFmt w:val="lowerRoman"/>
      <w:lvlText w:val="%6."/>
      <w:lvlJc w:val="right"/>
      <w:pPr>
        <w:ind w:left="8496" w:hanging="180"/>
      </w:pPr>
    </w:lvl>
    <w:lvl w:ilvl="6" w:tplc="041D000F" w:tentative="1">
      <w:start w:val="1"/>
      <w:numFmt w:val="decimal"/>
      <w:lvlText w:val="%7."/>
      <w:lvlJc w:val="left"/>
      <w:pPr>
        <w:ind w:left="9216" w:hanging="360"/>
      </w:pPr>
    </w:lvl>
    <w:lvl w:ilvl="7" w:tplc="041D0019" w:tentative="1">
      <w:start w:val="1"/>
      <w:numFmt w:val="lowerLetter"/>
      <w:lvlText w:val="%8."/>
      <w:lvlJc w:val="left"/>
      <w:pPr>
        <w:ind w:left="9936" w:hanging="360"/>
      </w:pPr>
    </w:lvl>
    <w:lvl w:ilvl="8" w:tplc="041D001B" w:tentative="1">
      <w:start w:val="1"/>
      <w:numFmt w:val="lowerRoman"/>
      <w:lvlText w:val="%9."/>
      <w:lvlJc w:val="right"/>
      <w:pPr>
        <w:ind w:left="10656" w:hanging="180"/>
      </w:pPr>
    </w:lvl>
  </w:abstractNum>
  <w:abstractNum w:abstractNumId="16" w15:restartNumberingAfterBreak="0">
    <w:nsid w:val="30D1119B"/>
    <w:multiLevelType w:val="hybridMultilevel"/>
    <w:tmpl w:val="22B86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071C43"/>
    <w:multiLevelType w:val="hybridMultilevel"/>
    <w:tmpl w:val="E79A7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B7F43CE"/>
    <w:multiLevelType w:val="hybridMultilevel"/>
    <w:tmpl w:val="C58030D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2FA364E"/>
    <w:multiLevelType w:val="hybridMultilevel"/>
    <w:tmpl w:val="130AEDA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F43AF7"/>
    <w:multiLevelType w:val="hybridMultilevel"/>
    <w:tmpl w:val="BE8C8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CF68CC"/>
    <w:multiLevelType w:val="hybridMultilevel"/>
    <w:tmpl w:val="ACE08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6523D4"/>
    <w:multiLevelType w:val="hybridMultilevel"/>
    <w:tmpl w:val="371821C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294056"/>
    <w:multiLevelType w:val="hybridMultilevel"/>
    <w:tmpl w:val="D5E404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8134B2"/>
    <w:multiLevelType w:val="hybridMultilevel"/>
    <w:tmpl w:val="8968FBEE"/>
    <w:lvl w:ilvl="0" w:tplc="7A047842">
      <w:start w:val="1"/>
      <w:numFmt w:val="bullet"/>
      <w:lvlText w:val="›"/>
      <w:lvlJc w:val="left"/>
      <w:pPr>
        <w:tabs>
          <w:tab w:val="num" w:pos="720"/>
        </w:tabs>
        <w:ind w:left="720" w:hanging="360"/>
      </w:pPr>
      <w:rPr>
        <w:rFonts w:ascii="Arial" w:hAnsi="Arial" w:hint="default"/>
      </w:rPr>
    </w:lvl>
    <w:lvl w:ilvl="1" w:tplc="1BA00A28">
      <w:numFmt w:val="bullet"/>
      <w:lvlText w:val="–"/>
      <w:lvlJc w:val="left"/>
      <w:pPr>
        <w:tabs>
          <w:tab w:val="num" w:pos="1440"/>
        </w:tabs>
        <w:ind w:left="1440" w:hanging="360"/>
      </w:pPr>
      <w:rPr>
        <w:rFonts w:ascii="Ericsson Capital TT" w:hAnsi="Ericsson Capital TT" w:hint="default"/>
      </w:rPr>
    </w:lvl>
    <w:lvl w:ilvl="2" w:tplc="13A4C974">
      <w:numFmt w:val="bullet"/>
      <w:lvlText w:val="›"/>
      <w:lvlJc w:val="left"/>
      <w:pPr>
        <w:tabs>
          <w:tab w:val="num" w:pos="2160"/>
        </w:tabs>
        <w:ind w:left="2160" w:hanging="360"/>
      </w:pPr>
      <w:rPr>
        <w:rFonts w:ascii="Ericsson Capital TT" w:hAnsi="Ericsson Capital TT" w:hint="default"/>
      </w:rPr>
    </w:lvl>
    <w:lvl w:ilvl="3" w:tplc="F42A7418">
      <w:numFmt w:val="bullet"/>
      <w:lvlText w:val="-"/>
      <w:lvlJc w:val="left"/>
      <w:pPr>
        <w:tabs>
          <w:tab w:val="num" w:pos="2880"/>
        </w:tabs>
        <w:ind w:left="2880" w:hanging="360"/>
      </w:pPr>
      <w:rPr>
        <w:rFonts w:ascii="Ericsson Capital TT" w:hAnsi="Ericsson Capital TT" w:hint="default"/>
      </w:rPr>
    </w:lvl>
    <w:lvl w:ilvl="4" w:tplc="1C762B7C" w:tentative="1">
      <w:start w:val="1"/>
      <w:numFmt w:val="bullet"/>
      <w:lvlText w:val="›"/>
      <w:lvlJc w:val="left"/>
      <w:pPr>
        <w:tabs>
          <w:tab w:val="num" w:pos="3600"/>
        </w:tabs>
        <w:ind w:left="3600" w:hanging="360"/>
      </w:pPr>
      <w:rPr>
        <w:rFonts w:ascii="Arial" w:hAnsi="Arial" w:hint="default"/>
      </w:rPr>
    </w:lvl>
    <w:lvl w:ilvl="5" w:tplc="7A5C7F2C" w:tentative="1">
      <w:start w:val="1"/>
      <w:numFmt w:val="bullet"/>
      <w:lvlText w:val="›"/>
      <w:lvlJc w:val="left"/>
      <w:pPr>
        <w:tabs>
          <w:tab w:val="num" w:pos="4320"/>
        </w:tabs>
        <w:ind w:left="4320" w:hanging="360"/>
      </w:pPr>
      <w:rPr>
        <w:rFonts w:ascii="Arial" w:hAnsi="Arial" w:hint="default"/>
      </w:rPr>
    </w:lvl>
    <w:lvl w:ilvl="6" w:tplc="229E6E0E" w:tentative="1">
      <w:start w:val="1"/>
      <w:numFmt w:val="bullet"/>
      <w:lvlText w:val="›"/>
      <w:lvlJc w:val="left"/>
      <w:pPr>
        <w:tabs>
          <w:tab w:val="num" w:pos="5040"/>
        </w:tabs>
        <w:ind w:left="5040" w:hanging="360"/>
      </w:pPr>
      <w:rPr>
        <w:rFonts w:ascii="Arial" w:hAnsi="Arial" w:hint="default"/>
      </w:rPr>
    </w:lvl>
    <w:lvl w:ilvl="7" w:tplc="8EDAB25A" w:tentative="1">
      <w:start w:val="1"/>
      <w:numFmt w:val="bullet"/>
      <w:lvlText w:val="›"/>
      <w:lvlJc w:val="left"/>
      <w:pPr>
        <w:tabs>
          <w:tab w:val="num" w:pos="5760"/>
        </w:tabs>
        <w:ind w:left="5760" w:hanging="360"/>
      </w:pPr>
      <w:rPr>
        <w:rFonts w:ascii="Arial" w:hAnsi="Arial" w:hint="default"/>
      </w:rPr>
    </w:lvl>
    <w:lvl w:ilvl="8" w:tplc="9FE21E8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60C32A9"/>
    <w:multiLevelType w:val="hybridMultilevel"/>
    <w:tmpl w:val="6FC440A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04144E"/>
    <w:multiLevelType w:val="hybridMultilevel"/>
    <w:tmpl w:val="9D74FF4A"/>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abstractNum w:abstractNumId="39"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9"/>
  </w:num>
  <w:num w:numId="3">
    <w:abstractNumId w:val="20"/>
  </w:num>
  <w:num w:numId="4">
    <w:abstractNumId w:val="23"/>
  </w:num>
  <w:num w:numId="5">
    <w:abstractNumId w:val="17"/>
  </w:num>
  <w:num w:numId="6">
    <w:abstractNumId w:val="25"/>
  </w:num>
  <w:num w:numId="7">
    <w:abstractNumId w:val="32"/>
  </w:num>
  <w:num w:numId="8">
    <w:abstractNumId w:val="18"/>
  </w:num>
  <w:num w:numId="9">
    <w:abstractNumId w:val="31"/>
  </w:num>
  <w:num w:numId="10">
    <w:abstractNumId w:val="8"/>
  </w:num>
  <w:num w:numId="11">
    <w:abstractNumId w:val="3"/>
  </w:num>
  <w:num w:numId="12">
    <w:abstractNumId w:val="6"/>
  </w:num>
  <w:num w:numId="13">
    <w:abstractNumId w:val="34"/>
  </w:num>
  <w:num w:numId="14">
    <w:abstractNumId w:val="21"/>
  </w:num>
  <w:num w:numId="15">
    <w:abstractNumId w:val="10"/>
  </w:num>
  <w:num w:numId="16">
    <w:abstractNumId w:val="33"/>
  </w:num>
  <w:num w:numId="17">
    <w:abstractNumId w:val="24"/>
  </w:num>
  <w:num w:numId="18">
    <w:abstractNumId w:val="15"/>
  </w:num>
  <w:num w:numId="19">
    <w:abstractNumId w:val="28"/>
  </w:num>
  <w:num w:numId="20">
    <w:abstractNumId w:val="35"/>
  </w:num>
  <w:num w:numId="21">
    <w:abstractNumId w:val="12"/>
  </w:num>
  <w:num w:numId="22">
    <w:abstractNumId w:val="38"/>
  </w:num>
  <w:num w:numId="23">
    <w:abstractNumId w:val="4"/>
  </w:num>
  <w:num w:numId="24">
    <w:abstractNumId w:val="26"/>
  </w:num>
  <w:num w:numId="25">
    <w:abstractNumId w:val="11"/>
  </w:num>
  <w:num w:numId="26">
    <w:abstractNumId w:val="27"/>
  </w:num>
  <w:num w:numId="27">
    <w:abstractNumId w:val="0"/>
  </w:num>
  <w:num w:numId="28">
    <w:abstractNumId w:val="16"/>
  </w:num>
  <w:num w:numId="29">
    <w:abstractNumId w:val="22"/>
  </w:num>
  <w:num w:numId="30">
    <w:abstractNumId w:val="30"/>
  </w:num>
  <w:num w:numId="31">
    <w:abstractNumId w:val="39"/>
  </w:num>
  <w:num w:numId="32">
    <w:abstractNumId w:val="37"/>
  </w:num>
  <w:num w:numId="33">
    <w:abstractNumId w:val="14"/>
  </w:num>
  <w:num w:numId="34">
    <w:abstractNumId w:val="5"/>
  </w:num>
  <w:num w:numId="35">
    <w:abstractNumId w:val="13"/>
  </w:num>
  <w:num w:numId="36">
    <w:abstractNumId w:val="19"/>
  </w:num>
  <w:num w:numId="37">
    <w:abstractNumId w:val="7"/>
  </w:num>
  <w:num w:numId="38">
    <w:abstractNumId w:val="9"/>
  </w:num>
  <w:num w:numId="39">
    <w:abstractNumId w:val="2"/>
  </w:num>
  <w:num w:numId="40">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444"/>
    <w:rsid w:val="00007CDC"/>
    <w:rsid w:val="00007EDB"/>
    <w:rsid w:val="00010036"/>
    <w:rsid w:val="00011802"/>
    <w:rsid w:val="00011B28"/>
    <w:rsid w:val="00015154"/>
    <w:rsid w:val="00015D15"/>
    <w:rsid w:val="00015F6F"/>
    <w:rsid w:val="0001638B"/>
    <w:rsid w:val="000173FD"/>
    <w:rsid w:val="000211D9"/>
    <w:rsid w:val="000235DF"/>
    <w:rsid w:val="0002564D"/>
    <w:rsid w:val="00025ECA"/>
    <w:rsid w:val="000266D4"/>
    <w:rsid w:val="0003178D"/>
    <w:rsid w:val="000325B8"/>
    <w:rsid w:val="00032982"/>
    <w:rsid w:val="000340C8"/>
    <w:rsid w:val="00034C15"/>
    <w:rsid w:val="00036BA1"/>
    <w:rsid w:val="000370CC"/>
    <w:rsid w:val="00040DF6"/>
    <w:rsid w:val="000422E2"/>
    <w:rsid w:val="00042F22"/>
    <w:rsid w:val="00043F9F"/>
    <w:rsid w:val="000444EF"/>
    <w:rsid w:val="00045529"/>
    <w:rsid w:val="00047697"/>
    <w:rsid w:val="000476CE"/>
    <w:rsid w:val="00052A07"/>
    <w:rsid w:val="000534E3"/>
    <w:rsid w:val="0005606A"/>
    <w:rsid w:val="0005666E"/>
    <w:rsid w:val="00056D8D"/>
    <w:rsid w:val="00057117"/>
    <w:rsid w:val="000616E7"/>
    <w:rsid w:val="0006478A"/>
    <w:rsid w:val="0006487E"/>
    <w:rsid w:val="00065E1A"/>
    <w:rsid w:val="0007265B"/>
    <w:rsid w:val="000753C8"/>
    <w:rsid w:val="00076115"/>
    <w:rsid w:val="00076453"/>
    <w:rsid w:val="00076C39"/>
    <w:rsid w:val="00077E5F"/>
    <w:rsid w:val="0008036A"/>
    <w:rsid w:val="00080FF1"/>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9560B"/>
    <w:rsid w:val="000A006F"/>
    <w:rsid w:val="000A1B7B"/>
    <w:rsid w:val="000A27B7"/>
    <w:rsid w:val="000A3EEC"/>
    <w:rsid w:val="000A56F2"/>
    <w:rsid w:val="000B2719"/>
    <w:rsid w:val="000B3061"/>
    <w:rsid w:val="000B34EB"/>
    <w:rsid w:val="000B3A8F"/>
    <w:rsid w:val="000B4429"/>
    <w:rsid w:val="000B4AB9"/>
    <w:rsid w:val="000B58C3"/>
    <w:rsid w:val="000B61E9"/>
    <w:rsid w:val="000B66A8"/>
    <w:rsid w:val="000B7B33"/>
    <w:rsid w:val="000C165A"/>
    <w:rsid w:val="000C2E19"/>
    <w:rsid w:val="000C3145"/>
    <w:rsid w:val="000D0D07"/>
    <w:rsid w:val="000D1F00"/>
    <w:rsid w:val="000D4797"/>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4F9B"/>
    <w:rsid w:val="00126B4A"/>
    <w:rsid w:val="00132FD0"/>
    <w:rsid w:val="001344C0"/>
    <w:rsid w:val="001346FA"/>
    <w:rsid w:val="00135252"/>
    <w:rsid w:val="00136F34"/>
    <w:rsid w:val="00137AB5"/>
    <w:rsid w:val="00137F0B"/>
    <w:rsid w:val="00140964"/>
    <w:rsid w:val="00142332"/>
    <w:rsid w:val="00142AA9"/>
    <w:rsid w:val="001434BA"/>
    <w:rsid w:val="0014596D"/>
    <w:rsid w:val="00145CF2"/>
    <w:rsid w:val="00147B9C"/>
    <w:rsid w:val="001507D7"/>
    <w:rsid w:val="00151E23"/>
    <w:rsid w:val="001526E0"/>
    <w:rsid w:val="001551B5"/>
    <w:rsid w:val="00156F68"/>
    <w:rsid w:val="0016360E"/>
    <w:rsid w:val="001649D4"/>
    <w:rsid w:val="00164D4A"/>
    <w:rsid w:val="001659C1"/>
    <w:rsid w:val="00166E7F"/>
    <w:rsid w:val="00167763"/>
    <w:rsid w:val="00170546"/>
    <w:rsid w:val="00170C0D"/>
    <w:rsid w:val="001723CF"/>
    <w:rsid w:val="00173A8E"/>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38F5"/>
    <w:rsid w:val="001A6173"/>
    <w:rsid w:val="001A6CBA"/>
    <w:rsid w:val="001B089D"/>
    <w:rsid w:val="001B0D97"/>
    <w:rsid w:val="001B23E5"/>
    <w:rsid w:val="001B501F"/>
    <w:rsid w:val="001B5A5D"/>
    <w:rsid w:val="001B69AE"/>
    <w:rsid w:val="001B700F"/>
    <w:rsid w:val="001C1CE5"/>
    <w:rsid w:val="001C2C68"/>
    <w:rsid w:val="001C3D2A"/>
    <w:rsid w:val="001C7626"/>
    <w:rsid w:val="001C7F04"/>
    <w:rsid w:val="001D51BA"/>
    <w:rsid w:val="001D6342"/>
    <w:rsid w:val="001D6D53"/>
    <w:rsid w:val="001E0BFF"/>
    <w:rsid w:val="001E1C24"/>
    <w:rsid w:val="001E58E2"/>
    <w:rsid w:val="001E6E7C"/>
    <w:rsid w:val="001E7AED"/>
    <w:rsid w:val="001F1728"/>
    <w:rsid w:val="001F238A"/>
    <w:rsid w:val="001F344D"/>
    <w:rsid w:val="001F3916"/>
    <w:rsid w:val="001F54C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C2F"/>
    <w:rsid w:val="00220600"/>
    <w:rsid w:val="0022138B"/>
    <w:rsid w:val="002224DB"/>
    <w:rsid w:val="002232CC"/>
    <w:rsid w:val="00223847"/>
    <w:rsid w:val="00223FCB"/>
    <w:rsid w:val="002252C3"/>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500C8"/>
    <w:rsid w:val="002512D7"/>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5F5"/>
    <w:rsid w:val="00280751"/>
    <w:rsid w:val="00280AD8"/>
    <w:rsid w:val="0028280A"/>
    <w:rsid w:val="00283372"/>
    <w:rsid w:val="00283E43"/>
    <w:rsid w:val="00286ACD"/>
    <w:rsid w:val="00286C66"/>
    <w:rsid w:val="0028727E"/>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2C17"/>
    <w:rsid w:val="002A42F1"/>
    <w:rsid w:val="002A7A8C"/>
    <w:rsid w:val="002B0227"/>
    <w:rsid w:val="002B0907"/>
    <w:rsid w:val="002B24D6"/>
    <w:rsid w:val="002B4CE9"/>
    <w:rsid w:val="002B5943"/>
    <w:rsid w:val="002C26E6"/>
    <w:rsid w:val="002C406E"/>
    <w:rsid w:val="002C41E6"/>
    <w:rsid w:val="002C6788"/>
    <w:rsid w:val="002D071A"/>
    <w:rsid w:val="002D1464"/>
    <w:rsid w:val="002D34B2"/>
    <w:rsid w:val="002D4824"/>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5BBD"/>
    <w:rsid w:val="002F73DD"/>
    <w:rsid w:val="00301CE6"/>
    <w:rsid w:val="0030256B"/>
    <w:rsid w:val="00302CA2"/>
    <w:rsid w:val="00303563"/>
    <w:rsid w:val="003042A8"/>
    <w:rsid w:val="0030501F"/>
    <w:rsid w:val="0030638C"/>
    <w:rsid w:val="00307BA1"/>
    <w:rsid w:val="00310A30"/>
    <w:rsid w:val="003110D0"/>
    <w:rsid w:val="00311702"/>
    <w:rsid w:val="00311CC7"/>
    <w:rsid w:val="00311E82"/>
    <w:rsid w:val="00313FD6"/>
    <w:rsid w:val="003143BD"/>
    <w:rsid w:val="00314D7C"/>
    <w:rsid w:val="003203ED"/>
    <w:rsid w:val="00322C9F"/>
    <w:rsid w:val="003242AA"/>
    <w:rsid w:val="003244F4"/>
    <w:rsid w:val="003245DE"/>
    <w:rsid w:val="00324D23"/>
    <w:rsid w:val="003268E0"/>
    <w:rsid w:val="00331751"/>
    <w:rsid w:val="00334579"/>
    <w:rsid w:val="00335858"/>
    <w:rsid w:val="0033662A"/>
    <w:rsid w:val="00336BDA"/>
    <w:rsid w:val="00337334"/>
    <w:rsid w:val="00337F45"/>
    <w:rsid w:val="0034246D"/>
    <w:rsid w:val="00342BD7"/>
    <w:rsid w:val="00343A07"/>
    <w:rsid w:val="00344243"/>
    <w:rsid w:val="00344600"/>
    <w:rsid w:val="00346DB5"/>
    <w:rsid w:val="003477B1"/>
    <w:rsid w:val="00357380"/>
    <w:rsid w:val="003579EB"/>
    <w:rsid w:val="003602D9"/>
    <w:rsid w:val="003604CE"/>
    <w:rsid w:val="00363106"/>
    <w:rsid w:val="003639EA"/>
    <w:rsid w:val="00365F79"/>
    <w:rsid w:val="00370E47"/>
    <w:rsid w:val="003742AC"/>
    <w:rsid w:val="00374679"/>
    <w:rsid w:val="003766F3"/>
    <w:rsid w:val="00377CE1"/>
    <w:rsid w:val="00385BF0"/>
    <w:rsid w:val="0038707C"/>
    <w:rsid w:val="003939FF"/>
    <w:rsid w:val="0039565F"/>
    <w:rsid w:val="003959F6"/>
    <w:rsid w:val="003964D9"/>
    <w:rsid w:val="003972B2"/>
    <w:rsid w:val="003A0931"/>
    <w:rsid w:val="003A1EC8"/>
    <w:rsid w:val="003A2223"/>
    <w:rsid w:val="003A2A0F"/>
    <w:rsid w:val="003A3F21"/>
    <w:rsid w:val="003A45A1"/>
    <w:rsid w:val="003A596A"/>
    <w:rsid w:val="003A5B0A"/>
    <w:rsid w:val="003A5C65"/>
    <w:rsid w:val="003A5E71"/>
    <w:rsid w:val="003A6BAC"/>
    <w:rsid w:val="003A7EF3"/>
    <w:rsid w:val="003B159C"/>
    <w:rsid w:val="003B34DC"/>
    <w:rsid w:val="003B365D"/>
    <w:rsid w:val="003B369F"/>
    <w:rsid w:val="003B36A3"/>
    <w:rsid w:val="003B4E27"/>
    <w:rsid w:val="003B598D"/>
    <w:rsid w:val="003B7FE5"/>
    <w:rsid w:val="003C11C8"/>
    <w:rsid w:val="003C1F1D"/>
    <w:rsid w:val="003C2702"/>
    <w:rsid w:val="003C3308"/>
    <w:rsid w:val="003C6056"/>
    <w:rsid w:val="003C7806"/>
    <w:rsid w:val="003C78E0"/>
    <w:rsid w:val="003D0CD4"/>
    <w:rsid w:val="003D109F"/>
    <w:rsid w:val="003D2478"/>
    <w:rsid w:val="003D3C45"/>
    <w:rsid w:val="003D549B"/>
    <w:rsid w:val="003D5B1F"/>
    <w:rsid w:val="003E15FA"/>
    <w:rsid w:val="003E1E1D"/>
    <w:rsid w:val="003E25DB"/>
    <w:rsid w:val="003E55E4"/>
    <w:rsid w:val="003E5F40"/>
    <w:rsid w:val="003E6625"/>
    <w:rsid w:val="003E74E3"/>
    <w:rsid w:val="003F0058"/>
    <w:rsid w:val="003F05C7"/>
    <w:rsid w:val="003F26FA"/>
    <w:rsid w:val="003F2CD4"/>
    <w:rsid w:val="003F463A"/>
    <w:rsid w:val="003F6BBE"/>
    <w:rsid w:val="004000E8"/>
    <w:rsid w:val="00400F1F"/>
    <w:rsid w:val="00402E2B"/>
    <w:rsid w:val="0040512B"/>
    <w:rsid w:val="00405CA5"/>
    <w:rsid w:val="00407CD3"/>
    <w:rsid w:val="00410134"/>
    <w:rsid w:val="00410B72"/>
    <w:rsid w:val="00410F18"/>
    <w:rsid w:val="0041263E"/>
    <w:rsid w:val="00413AAC"/>
    <w:rsid w:val="0041557D"/>
    <w:rsid w:val="00421105"/>
    <w:rsid w:val="0042144C"/>
    <w:rsid w:val="004242F4"/>
    <w:rsid w:val="004264D4"/>
    <w:rsid w:val="00426A03"/>
    <w:rsid w:val="00426AF1"/>
    <w:rsid w:val="00427248"/>
    <w:rsid w:val="004314DE"/>
    <w:rsid w:val="00435264"/>
    <w:rsid w:val="00437447"/>
    <w:rsid w:val="00441A92"/>
    <w:rsid w:val="00444F56"/>
    <w:rsid w:val="00446488"/>
    <w:rsid w:val="00446AFF"/>
    <w:rsid w:val="00447DDB"/>
    <w:rsid w:val="00451587"/>
    <w:rsid w:val="004517AA"/>
    <w:rsid w:val="00452B53"/>
    <w:rsid w:val="00452CAC"/>
    <w:rsid w:val="00454932"/>
    <w:rsid w:val="00457565"/>
    <w:rsid w:val="00457B71"/>
    <w:rsid w:val="004669E2"/>
    <w:rsid w:val="00467E87"/>
    <w:rsid w:val="00470C31"/>
    <w:rsid w:val="004734D0"/>
    <w:rsid w:val="0047447B"/>
    <w:rsid w:val="00474CE8"/>
    <w:rsid w:val="0047556B"/>
    <w:rsid w:val="00477768"/>
    <w:rsid w:val="00484D60"/>
    <w:rsid w:val="00484FD1"/>
    <w:rsid w:val="004903E5"/>
    <w:rsid w:val="00492BC5"/>
    <w:rsid w:val="004959FC"/>
    <w:rsid w:val="004964F1"/>
    <w:rsid w:val="004A163A"/>
    <w:rsid w:val="004A16BC"/>
    <w:rsid w:val="004A2B94"/>
    <w:rsid w:val="004A3DA8"/>
    <w:rsid w:val="004B17E1"/>
    <w:rsid w:val="004B6991"/>
    <w:rsid w:val="004B7787"/>
    <w:rsid w:val="004B7C0C"/>
    <w:rsid w:val="004C3898"/>
    <w:rsid w:val="004C4D69"/>
    <w:rsid w:val="004C5E10"/>
    <w:rsid w:val="004C6818"/>
    <w:rsid w:val="004C691A"/>
    <w:rsid w:val="004C6FA5"/>
    <w:rsid w:val="004D204A"/>
    <w:rsid w:val="004D36B1"/>
    <w:rsid w:val="004D466C"/>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500B4A"/>
    <w:rsid w:val="00503653"/>
    <w:rsid w:val="0050591F"/>
    <w:rsid w:val="00506557"/>
    <w:rsid w:val="0050677A"/>
    <w:rsid w:val="00507DE2"/>
    <w:rsid w:val="00510362"/>
    <w:rsid w:val="005108D8"/>
    <w:rsid w:val="005116F9"/>
    <w:rsid w:val="005153A7"/>
    <w:rsid w:val="005219CF"/>
    <w:rsid w:val="005261FA"/>
    <w:rsid w:val="00532338"/>
    <w:rsid w:val="00533841"/>
    <w:rsid w:val="00534B59"/>
    <w:rsid w:val="00536759"/>
    <w:rsid w:val="0053760B"/>
    <w:rsid w:val="00537C62"/>
    <w:rsid w:val="00541957"/>
    <w:rsid w:val="00543986"/>
    <w:rsid w:val="00544D5B"/>
    <w:rsid w:val="00545E72"/>
    <w:rsid w:val="00546970"/>
    <w:rsid w:val="00546C74"/>
    <w:rsid w:val="0055245F"/>
    <w:rsid w:val="00554E19"/>
    <w:rsid w:val="00554E73"/>
    <w:rsid w:val="00555435"/>
    <w:rsid w:val="00557D7C"/>
    <w:rsid w:val="0056121F"/>
    <w:rsid w:val="00562566"/>
    <w:rsid w:val="00566E2B"/>
    <w:rsid w:val="0057036A"/>
    <w:rsid w:val="00572505"/>
    <w:rsid w:val="005827E6"/>
    <w:rsid w:val="00582809"/>
    <w:rsid w:val="00585F85"/>
    <w:rsid w:val="0058798C"/>
    <w:rsid w:val="005900FA"/>
    <w:rsid w:val="005935A4"/>
    <w:rsid w:val="005948C2"/>
    <w:rsid w:val="00595DCA"/>
    <w:rsid w:val="00595EC8"/>
    <w:rsid w:val="0059779B"/>
    <w:rsid w:val="005A0A5B"/>
    <w:rsid w:val="005A209A"/>
    <w:rsid w:val="005A2E25"/>
    <w:rsid w:val="005A4122"/>
    <w:rsid w:val="005A61E5"/>
    <w:rsid w:val="005A662D"/>
    <w:rsid w:val="005B35D7"/>
    <w:rsid w:val="005B392A"/>
    <w:rsid w:val="005B3AA3"/>
    <w:rsid w:val="005B3F59"/>
    <w:rsid w:val="005B6F83"/>
    <w:rsid w:val="005C0B51"/>
    <w:rsid w:val="005C0C58"/>
    <w:rsid w:val="005C18F5"/>
    <w:rsid w:val="005C74FB"/>
    <w:rsid w:val="005D1602"/>
    <w:rsid w:val="005D22E6"/>
    <w:rsid w:val="005E0F14"/>
    <w:rsid w:val="005E1A85"/>
    <w:rsid w:val="005E3240"/>
    <w:rsid w:val="005E385F"/>
    <w:rsid w:val="005E5469"/>
    <w:rsid w:val="005E5B81"/>
    <w:rsid w:val="005F087C"/>
    <w:rsid w:val="005F10E8"/>
    <w:rsid w:val="005F2CB1"/>
    <w:rsid w:val="005F3025"/>
    <w:rsid w:val="005F3106"/>
    <w:rsid w:val="005F618C"/>
    <w:rsid w:val="005F70BD"/>
    <w:rsid w:val="005F70DE"/>
    <w:rsid w:val="00602337"/>
    <w:rsid w:val="0060283C"/>
    <w:rsid w:val="00604F14"/>
    <w:rsid w:val="00607EBB"/>
    <w:rsid w:val="00611444"/>
    <w:rsid w:val="00611B83"/>
    <w:rsid w:val="00612861"/>
    <w:rsid w:val="00613257"/>
    <w:rsid w:val="00617C2C"/>
    <w:rsid w:val="00620A71"/>
    <w:rsid w:val="00620D80"/>
    <w:rsid w:val="00621B29"/>
    <w:rsid w:val="006234A6"/>
    <w:rsid w:val="006238D8"/>
    <w:rsid w:val="00623B0C"/>
    <w:rsid w:val="0062431E"/>
    <w:rsid w:val="00624B66"/>
    <w:rsid w:val="00627151"/>
    <w:rsid w:val="00630001"/>
    <w:rsid w:val="00630264"/>
    <w:rsid w:val="006311B3"/>
    <w:rsid w:val="0063284C"/>
    <w:rsid w:val="00636398"/>
    <w:rsid w:val="006368D3"/>
    <w:rsid w:val="00637247"/>
    <w:rsid w:val="006377EC"/>
    <w:rsid w:val="0064151F"/>
    <w:rsid w:val="00641533"/>
    <w:rsid w:val="0064208D"/>
    <w:rsid w:val="00643475"/>
    <w:rsid w:val="0064396A"/>
    <w:rsid w:val="00644351"/>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8A0"/>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E97"/>
    <w:rsid w:val="0069360B"/>
    <w:rsid w:val="00695FC2"/>
    <w:rsid w:val="00696949"/>
    <w:rsid w:val="00697052"/>
    <w:rsid w:val="0069729E"/>
    <w:rsid w:val="006A46FB"/>
    <w:rsid w:val="006A5717"/>
    <w:rsid w:val="006A5E28"/>
    <w:rsid w:val="006A697B"/>
    <w:rsid w:val="006A7AFF"/>
    <w:rsid w:val="006B1816"/>
    <w:rsid w:val="006B2099"/>
    <w:rsid w:val="006B32FA"/>
    <w:rsid w:val="006B4B81"/>
    <w:rsid w:val="006B50CF"/>
    <w:rsid w:val="006B5BE6"/>
    <w:rsid w:val="006B6278"/>
    <w:rsid w:val="006B6397"/>
    <w:rsid w:val="006B6614"/>
    <w:rsid w:val="006C03B8"/>
    <w:rsid w:val="006C3409"/>
    <w:rsid w:val="006C5761"/>
    <w:rsid w:val="006C5EC9"/>
    <w:rsid w:val="006C6059"/>
    <w:rsid w:val="006C6517"/>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E7EDA"/>
    <w:rsid w:val="006F03E4"/>
    <w:rsid w:val="006F0505"/>
    <w:rsid w:val="006F14F2"/>
    <w:rsid w:val="006F1B70"/>
    <w:rsid w:val="006F341D"/>
    <w:rsid w:val="006F3CDE"/>
    <w:rsid w:val="006F58D4"/>
    <w:rsid w:val="006F6178"/>
    <w:rsid w:val="006F642D"/>
    <w:rsid w:val="0070346E"/>
    <w:rsid w:val="00703C66"/>
    <w:rsid w:val="00704EDB"/>
    <w:rsid w:val="00706101"/>
    <w:rsid w:val="0070655A"/>
    <w:rsid w:val="00707072"/>
    <w:rsid w:val="00707D61"/>
    <w:rsid w:val="00711B0A"/>
    <w:rsid w:val="00712287"/>
    <w:rsid w:val="00712772"/>
    <w:rsid w:val="007130DC"/>
    <w:rsid w:val="007146C7"/>
    <w:rsid w:val="007148D3"/>
    <w:rsid w:val="0071565A"/>
    <w:rsid w:val="00715B9A"/>
    <w:rsid w:val="00716F2B"/>
    <w:rsid w:val="00720D98"/>
    <w:rsid w:val="00721857"/>
    <w:rsid w:val="00722763"/>
    <w:rsid w:val="00722D34"/>
    <w:rsid w:val="00723B89"/>
    <w:rsid w:val="00726EA6"/>
    <w:rsid w:val="00727208"/>
    <w:rsid w:val="00727680"/>
    <w:rsid w:val="00730A5D"/>
    <w:rsid w:val="007348B1"/>
    <w:rsid w:val="007362A6"/>
    <w:rsid w:val="007369A2"/>
    <w:rsid w:val="00736D7D"/>
    <w:rsid w:val="00740E58"/>
    <w:rsid w:val="00742371"/>
    <w:rsid w:val="007445A0"/>
    <w:rsid w:val="0074524B"/>
    <w:rsid w:val="00747D8B"/>
    <w:rsid w:val="007501F3"/>
    <w:rsid w:val="00750E8F"/>
    <w:rsid w:val="00751228"/>
    <w:rsid w:val="00753C5D"/>
    <w:rsid w:val="007557B4"/>
    <w:rsid w:val="007571E1"/>
    <w:rsid w:val="007604B2"/>
    <w:rsid w:val="0076267E"/>
    <w:rsid w:val="00763252"/>
    <w:rsid w:val="00765281"/>
    <w:rsid w:val="00766BAD"/>
    <w:rsid w:val="007705B8"/>
    <w:rsid w:val="00772090"/>
    <w:rsid w:val="007730BD"/>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97D7F"/>
    <w:rsid w:val="007A1CB3"/>
    <w:rsid w:val="007A306F"/>
    <w:rsid w:val="007A43A6"/>
    <w:rsid w:val="007A4FAC"/>
    <w:rsid w:val="007A512C"/>
    <w:rsid w:val="007A58A6"/>
    <w:rsid w:val="007A7157"/>
    <w:rsid w:val="007A7298"/>
    <w:rsid w:val="007B3BCA"/>
    <w:rsid w:val="007B3D2D"/>
    <w:rsid w:val="007B50AE"/>
    <w:rsid w:val="007B51DF"/>
    <w:rsid w:val="007B5283"/>
    <w:rsid w:val="007B71A3"/>
    <w:rsid w:val="007B7B40"/>
    <w:rsid w:val="007C05DD"/>
    <w:rsid w:val="007C3D18"/>
    <w:rsid w:val="007C60BF"/>
    <w:rsid w:val="007C6A07"/>
    <w:rsid w:val="007C75A1"/>
    <w:rsid w:val="007C77A5"/>
    <w:rsid w:val="007D04E5"/>
    <w:rsid w:val="007D304B"/>
    <w:rsid w:val="007D386C"/>
    <w:rsid w:val="007D497F"/>
    <w:rsid w:val="007D5506"/>
    <w:rsid w:val="007D5901"/>
    <w:rsid w:val="007D7526"/>
    <w:rsid w:val="007E0916"/>
    <w:rsid w:val="007E1602"/>
    <w:rsid w:val="007E4610"/>
    <w:rsid w:val="007E4715"/>
    <w:rsid w:val="007E505B"/>
    <w:rsid w:val="007E7091"/>
    <w:rsid w:val="007F09D8"/>
    <w:rsid w:val="007F31E8"/>
    <w:rsid w:val="007F532D"/>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4AB4"/>
    <w:rsid w:val="00825C42"/>
    <w:rsid w:val="00825D25"/>
    <w:rsid w:val="00825D3D"/>
    <w:rsid w:val="00826F90"/>
    <w:rsid w:val="00827D6F"/>
    <w:rsid w:val="00830A27"/>
    <w:rsid w:val="008349CB"/>
    <w:rsid w:val="00836182"/>
    <w:rsid w:val="00836B3D"/>
    <w:rsid w:val="008376AC"/>
    <w:rsid w:val="00840358"/>
    <w:rsid w:val="0084390D"/>
    <w:rsid w:val="008444E8"/>
    <w:rsid w:val="00844E80"/>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CD7"/>
    <w:rsid w:val="00876A4D"/>
    <w:rsid w:val="00876B4D"/>
    <w:rsid w:val="00877F18"/>
    <w:rsid w:val="00883405"/>
    <w:rsid w:val="008903FE"/>
    <w:rsid w:val="00891E1F"/>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120C"/>
    <w:rsid w:val="008B3562"/>
    <w:rsid w:val="008B458D"/>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1909"/>
    <w:rsid w:val="008E5110"/>
    <w:rsid w:val="008F1EAB"/>
    <w:rsid w:val="008F33DC"/>
    <w:rsid w:val="008F477F"/>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BEA"/>
    <w:rsid w:val="00917CE9"/>
    <w:rsid w:val="00920BF2"/>
    <w:rsid w:val="00922010"/>
    <w:rsid w:val="00924D26"/>
    <w:rsid w:val="00931BD9"/>
    <w:rsid w:val="009368F3"/>
    <w:rsid w:val="009375A0"/>
    <w:rsid w:val="00937B36"/>
    <w:rsid w:val="009413F8"/>
    <w:rsid w:val="009414E8"/>
    <w:rsid w:val="00941636"/>
    <w:rsid w:val="00943742"/>
    <w:rsid w:val="00943F21"/>
    <w:rsid w:val="00944308"/>
    <w:rsid w:val="00945C05"/>
    <w:rsid w:val="00946945"/>
    <w:rsid w:val="00947713"/>
    <w:rsid w:val="00950DE7"/>
    <w:rsid w:val="009525B1"/>
    <w:rsid w:val="00952C58"/>
    <w:rsid w:val="00953054"/>
    <w:rsid w:val="00953920"/>
    <w:rsid w:val="00953D47"/>
    <w:rsid w:val="00954E2B"/>
    <w:rsid w:val="0095681E"/>
    <w:rsid w:val="009572D4"/>
    <w:rsid w:val="00961921"/>
    <w:rsid w:val="00963728"/>
    <w:rsid w:val="0096430A"/>
    <w:rsid w:val="0096518D"/>
    <w:rsid w:val="0096554B"/>
    <w:rsid w:val="0096584A"/>
    <w:rsid w:val="00971DFC"/>
    <w:rsid w:val="00971F08"/>
    <w:rsid w:val="00975A0C"/>
    <w:rsid w:val="00975A11"/>
    <w:rsid w:val="0097603D"/>
    <w:rsid w:val="00976949"/>
    <w:rsid w:val="00976AB0"/>
    <w:rsid w:val="00976E66"/>
    <w:rsid w:val="00980477"/>
    <w:rsid w:val="009810A2"/>
    <w:rsid w:val="00981206"/>
    <w:rsid w:val="0098381D"/>
    <w:rsid w:val="00984049"/>
    <w:rsid w:val="00985253"/>
    <w:rsid w:val="009853B3"/>
    <w:rsid w:val="0098620A"/>
    <w:rsid w:val="00990630"/>
    <w:rsid w:val="00991484"/>
    <w:rsid w:val="00991761"/>
    <w:rsid w:val="009921F5"/>
    <w:rsid w:val="00992A22"/>
    <w:rsid w:val="00994DCA"/>
    <w:rsid w:val="00995A19"/>
    <w:rsid w:val="009960EC"/>
    <w:rsid w:val="009970DD"/>
    <w:rsid w:val="009A0FBA"/>
    <w:rsid w:val="009A1601"/>
    <w:rsid w:val="009A462D"/>
    <w:rsid w:val="009A5835"/>
    <w:rsid w:val="009A5CBA"/>
    <w:rsid w:val="009B1990"/>
    <w:rsid w:val="009B1F30"/>
    <w:rsid w:val="009B3AC2"/>
    <w:rsid w:val="009B4DF4"/>
    <w:rsid w:val="009B4FF0"/>
    <w:rsid w:val="009B564E"/>
    <w:rsid w:val="009B7E87"/>
    <w:rsid w:val="009C11C1"/>
    <w:rsid w:val="009C2D17"/>
    <w:rsid w:val="009C3A61"/>
    <w:rsid w:val="009C403E"/>
    <w:rsid w:val="009C5D6A"/>
    <w:rsid w:val="009D475A"/>
    <w:rsid w:val="009D4FF0"/>
    <w:rsid w:val="009D60A6"/>
    <w:rsid w:val="009D6F94"/>
    <w:rsid w:val="009D703C"/>
    <w:rsid w:val="009D718F"/>
    <w:rsid w:val="009E068F"/>
    <w:rsid w:val="009E10DB"/>
    <w:rsid w:val="009E14E0"/>
    <w:rsid w:val="009E35DB"/>
    <w:rsid w:val="009E47A3"/>
    <w:rsid w:val="009E6849"/>
    <w:rsid w:val="009F03C6"/>
    <w:rsid w:val="009F08F3"/>
    <w:rsid w:val="009F18A9"/>
    <w:rsid w:val="009F344F"/>
    <w:rsid w:val="00A02E75"/>
    <w:rsid w:val="00A0362C"/>
    <w:rsid w:val="00A048A8"/>
    <w:rsid w:val="00A04F49"/>
    <w:rsid w:val="00A12469"/>
    <w:rsid w:val="00A13354"/>
    <w:rsid w:val="00A13E54"/>
    <w:rsid w:val="00A17F63"/>
    <w:rsid w:val="00A207DD"/>
    <w:rsid w:val="00A2193B"/>
    <w:rsid w:val="00A220BC"/>
    <w:rsid w:val="00A2351A"/>
    <w:rsid w:val="00A2583F"/>
    <w:rsid w:val="00A264A9"/>
    <w:rsid w:val="00A275C6"/>
    <w:rsid w:val="00A27785"/>
    <w:rsid w:val="00A30187"/>
    <w:rsid w:val="00A3448A"/>
    <w:rsid w:val="00A36297"/>
    <w:rsid w:val="00A374E0"/>
    <w:rsid w:val="00A40019"/>
    <w:rsid w:val="00A41B97"/>
    <w:rsid w:val="00A41E2B"/>
    <w:rsid w:val="00A45B74"/>
    <w:rsid w:val="00A52E1D"/>
    <w:rsid w:val="00A53AC1"/>
    <w:rsid w:val="00A54210"/>
    <w:rsid w:val="00A54B08"/>
    <w:rsid w:val="00A570F2"/>
    <w:rsid w:val="00A5758B"/>
    <w:rsid w:val="00A61499"/>
    <w:rsid w:val="00A62A77"/>
    <w:rsid w:val="00A63483"/>
    <w:rsid w:val="00A635A6"/>
    <w:rsid w:val="00A653DB"/>
    <w:rsid w:val="00A657D7"/>
    <w:rsid w:val="00A660AC"/>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6F"/>
    <w:rsid w:val="00AA01F8"/>
    <w:rsid w:val="00AA1ED6"/>
    <w:rsid w:val="00AA3BFA"/>
    <w:rsid w:val="00AA4801"/>
    <w:rsid w:val="00AA51D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24"/>
    <w:rsid w:val="00AD4A5A"/>
    <w:rsid w:val="00AD571B"/>
    <w:rsid w:val="00AD6819"/>
    <w:rsid w:val="00AE27AC"/>
    <w:rsid w:val="00AE3270"/>
    <w:rsid w:val="00AE40E0"/>
    <w:rsid w:val="00AE4DBA"/>
    <w:rsid w:val="00AE4F07"/>
    <w:rsid w:val="00AE553B"/>
    <w:rsid w:val="00AE5AE8"/>
    <w:rsid w:val="00AE5C65"/>
    <w:rsid w:val="00AE6B46"/>
    <w:rsid w:val="00AE6CFE"/>
    <w:rsid w:val="00AE7CA0"/>
    <w:rsid w:val="00AF01B7"/>
    <w:rsid w:val="00AF1C5D"/>
    <w:rsid w:val="00AF42D7"/>
    <w:rsid w:val="00B006FE"/>
    <w:rsid w:val="00B007CB"/>
    <w:rsid w:val="00B02AA9"/>
    <w:rsid w:val="00B02FA3"/>
    <w:rsid w:val="00B05084"/>
    <w:rsid w:val="00B05920"/>
    <w:rsid w:val="00B07227"/>
    <w:rsid w:val="00B10020"/>
    <w:rsid w:val="00B10446"/>
    <w:rsid w:val="00B119E8"/>
    <w:rsid w:val="00B12C24"/>
    <w:rsid w:val="00B1337F"/>
    <w:rsid w:val="00B157F9"/>
    <w:rsid w:val="00B20256"/>
    <w:rsid w:val="00B207CF"/>
    <w:rsid w:val="00B20D09"/>
    <w:rsid w:val="00B22BAA"/>
    <w:rsid w:val="00B25305"/>
    <w:rsid w:val="00B2763F"/>
    <w:rsid w:val="00B27AAC"/>
    <w:rsid w:val="00B3010A"/>
    <w:rsid w:val="00B30929"/>
    <w:rsid w:val="00B372AA"/>
    <w:rsid w:val="00B40445"/>
    <w:rsid w:val="00B41888"/>
    <w:rsid w:val="00B4408D"/>
    <w:rsid w:val="00B44CDC"/>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67A45"/>
    <w:rsid w:val="00B739F6"/>
    <w:rsid w:val="00B81A6C"/>
    <w:rsid w:val="00B81BE4"/>
    <w:rsid w:val="00B82871"/>
    <w:rsid w:val="00B842A0"/>
    <w:rsid w:val="00B85DE5"/>
    <w:rsid w:val="00B90F73"/>
    <w:rsid w:val="00B9130D"/>
    <w:rsid w:val="00B9371D"/>
    <w:rsid w:val="00B93B59"/>
    <w:rsid w:val="00B9406A"/>
    <w:rsid w:val="00BA2280"/>
    <w:rsid w:val="00BA2A08"/>
    <w:rsid w:val="00BA520C"/>
    <w:rsid w:val="00BA56D2"/>
    <w:rsid w:val="00BA62FA"/>
    <w:rsid w:val="00BA6C49"/>
    <w:rsid w:val="00BA76E0"/>
    <w:rsid w:val="00BB0976"/>
    <w:rsid w:val="00BB207A"/>
    <w:rsid w:val="00BB2A25"/>
    <w:rsid w:val="00BB51E9"/>
    <w:rsid w:val="00BB5C77"/>
    <w:rsid w:val="00BB6AD5"/>
    <w:rsid w:val="00BB7848"/>
    <w:rsid w:val="00BC0FDC"/>
    <w:rsid w:val="00BC3053"/>
    <w:rsid w:val="00BC4D2E"/>
    <w:rsid w:val="00BC5E44"/>
    <w:rsid w:val="00BD48AC"/>
    <w:rsid w:val="00BD5C65"/>
    <w:rsid w:val="00BD5F1A"/>
    <w:rsid w:val="00BD762E"/>
    <w:rsid w:val="00BE1234"/>
    <w:rsid w:val="00BE17CD"/>
    <w:rsid w:val="00BE2FA6"/>
    <w:rsid w:val="00BE333F"/>
    <w:rsid w:val="00BE3726"/>
    <w:rsid w:val="00BE59F1"/>
    <w:rsid w:val="00BE7406"/>
    <w:rsid w:val="00BE7603"/>
    <w:rsid w:val="00BF3279"/>
    <w:rsid w:val="00BF74C7"/>
    <w:rsid w:val="00C015F1"/>
    <w:rsid w:val="00C01F33"/>
    <w:rsid w:val="00C02CC6"/>
    <w:rsid w:val="00C040F7"/>
    <w:rsid w:val="00C041B0"/>
    <w:rsid w:val="00C044AB"/>
    <w:rsid w:val="00C05706"/>
    <w:rsid w:val="00C06DB3"/>
    <w:rsid w:val="00C07377"/>
    <w:rsid w:val="00C07E87"/>
    <w:rsid w:val="00C10478"/>
    <w:rsid w:val="00C1093B"/>
    <w:rsid w:val="00C12107"/>
    <w:rsid w:val="00C12DA1"/>
    <w:rsid w:val="00C1414B"/>
    <w:rsid w:val="00C14D4B"/>
    <w:rsid w:val="00C154BB"/>
    <w:rsid w:val="00C20166"/>
    <w:rsid w:val="00C213F7"/>
    <w:rsid w:val="00C25F2F"/>
    <w:rsid w:val="00C27624"/>
    <w:rsid w:val="00C279B5"/>
    <w:rsid w:val="00C27C45"/>
    <w:rsid w:val="00C3719D"/>
    <w:rsid w:val="00C43027"/>
    <w:rsid w:val="00C43FE1"/>
    <w:rsid w:val="00C450B3"/>
    <w:rsid w:val="00C46A98"/>
    <w:rsid w:val="00C47B3C"/>
    <w:rsid w:val="00C5028B"/>
    <w:rsid w:val="00C54995"/>
    <w:rsid w:val="00C54D41"/>
    <w:rsid w:val="00C57688"/>
    <w:rsid w:val="00C57B03"/>
    <w:rsid w:val="00C60783"/>
    <w:rsid w:val="00C61DA0"/>
    <w:rsid w:val="00C64672"/>
    <w:rsid w:val="00C66FD4"/>
    <w:rsid w:val="00C704D9"/>
    <w:rsid w:val="00C70697"/>
    <w:rsid w:val="00C70F6F"/>
    <w:rsid w:val="00C72EF4"/>
    <w:rsid w:val="00C73DD5"/>
    <w:rsid w:val="00C75D2F"/>
    <w:rsid w:val="00C767BE"/>
    <w:rsid w:val="00C76E3C"/>
    <w:rsid w:val="00C77721"/>
    <w:rsid w:val="00C7775C"/>
    <w:rsid w:val="00C80444"/>
    <w:rsid w:val="00C80973"/>
    <w:rsid w:val="00C81568"/>
    <w:rsid w:val="00C83223"/>
    <w:rsid w:val="00C9027A"/>
    <w:rsid w:val="00C904BF"/>
    <w:rsid w:val="00C9068E"/>
    <w:rsid w:val="00C90B11"/>
    <w:rsid w:val="00C93C4B"/>
    <w:rsid w:val="00C944AB"/>
    <w:rsid w:val="00C95B40"/>
    <w:rsid w:val="00CA1B65"/>
    <w:rsid w:val="00CA1ED8"/>
    <w:rsid w:val="00CA2D38"/>
    <w:rsid w:val="00CA424B"/>
    <w:rsid w:val="00CA4F77"/>
    <w:rsid w:val="00CB1F63"/>
    <w:rsid w:val="00CB456D"/>
    <w:rsid w:val="00CB462A"/>
    <w:rsid w:val="00CB4675"/>
    <w:rsid w:val="00CB4B70"/>
    <w:rsid w:val="00CB4C7D"/>
    <w:rsid w:val="00CB6DFE"/>
    <w:rsid w:val="00CB7170"/>
    <w:rsid w:val="00CC040E"/>
    <w:rsid w:val="00CC111F"/>
    <w:rsid w:val="00CC2011"/>
    <w:rsid w:val="00CC3EA0"/>
    <w:rsid w:val="00CC5215"/>
    <w:rsid w:val="00CC5691"/>
    <w:rsid w:val="00CC6F59"/>
    <w:rsid w:val="00CC7B45"/>
    <w:rsid w:val="00CD0321"/>
    <w:rsid w:val="00CD1188"/>
    <w:rsid w:val="00CD2ED1"/>
    <w:rsid w:val="00CD337B"/>
    <w:rsid w:val="00CD582F"/>
    <w:rsid w:val="00CD60E3"/>
    <w:rsid w:val="00CD676E"/>
    <w:rsid w:val="00CD7A35"/>
    <w:rsid w:val="00CE0424"/>
    <w:rsid w:val="00CE0EEB"/>
    <w:rsid w:val="00CE1295"/>
    <w:rsid w:val="00CE227E"/>
    <w:rsid w:val="00CE2C58"/>
    <w:rsid w:val="00CE36CF"/>
    <w:rsid w:val="00CE6967"/>
    <w:rsid w:val="00CE7561"/>
    <w:rsid w:val="00CF010C"/>
    <w:rsid w:val="00CF1354"/>
    <w:rsid w:val="00CF17B4"/>
    <w:rsid w:val="00CF3B1F"/>
    <w:rsid w:val="00CF3BF6"/>
    <w:rsid w:val="00CF3E3D"/>
    <w:rsid w:val="00CF625B"/>
    <w:rsid w:val="00CF687E"/>
    <w:rsid w:val="00D00035"/>
    <w:rsid w:val="00D0349B"/>
    <w:rsid w:val="00D05FD7"/>
    <w:rsid w:val="00D10249"/>
    <w:rsid w:val="00D115C3"/>
    <w:rsid w:val="00D11897"/>
    <w:rsid w:val="00D13135"/>
    <w:rsid w:val="00D13E4E"/>
    <w:rsid w:val="00D16E32"/>
    <w:rsid w:val="00D17D6A"/>
    <w:rsid w:val="00D22346"/>
    <w:rsid w:val="00D2323C"/>
    <w:rsid w:val="00D239A7"/>
    <w:rsid w:val="00D23F47"/>
    <w:rsid w:val="00D2450E"/>
    <w:rsid w:val="00D31A4C"/>
    <w:rsid w:val="00D34D96"/>
    <w:rsid w:val="00D3599B"/>
    <w:rsid w:val="00D35D2E"/>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5AD5"/>
    <w:rsid w:val="00D576CA"/>
    <w:rsid w:val="00D610B5"/>
    <w:rsid w:val="00D61AF5"/>
    <w:rsid w:val="00D61F8F"/>
    <w:rsid w:val="00D64104"/>
    <w:rsid w:val="00D644C1"/>
    <w:rsid w:val="00D64519"/>
    <w:rsid w:val="00D652B5"/>
    <w:rsid w:val="00D65797"/>
    <w:rsid w:val="00D66155"/>
    <w:rsid w:val="00D708B0"/>
    <w:rsid w:val="00D71D2F"/>
    <w:rsid w:val="00D73712"/>
    <w:rsid w:val="00D76A8B"/>
    <w:rsid w:val="00D77B1D"/>
    <w:rsid w:val="00D8021F"/>
    <w:rsid w:val="00D80383"/>
    <w:rsid w:val="00D823C6"/>
    <w:rsid w:val="00D8255B"/>
    <w:rsid w:val="00D86CA3"/>
    <w:rsid w:val="00D871CE"/>
    <w:rsid w:val="00D9196D"/>
    <w:rsid w:val="00D92982"/>
    <w:rsid w:val="00D929BA"/>
    <w:rsid w:val="00D976F3"/>
    <w:rsid w:val="00DA305E"/>
    <w:rsid w:val="00DA5417"/>
    <w:rsid w:val="00DA55EB"/>
    <w:rsid w:val="00DA56E8"/>
    <w:rsid w:val="00DB0A9F"/>
    <w:rsid w:val="00DB2E53"/>
    <w:rsid w:val="00DB377D"/>
    <w:rsid w:val="00DB6E61"/>
    <w:rsid w:val="00DC015E"/>
    <w:rsid w:val="00DC2D36"/>
    <w:rsid w:val="00DC2D80"/>
    <w:rsid w:val="00DC3716"/>
    <w:rsid w:val="00DC4FD3"/>
    <w:rsid w:val="00DC53EF"/>
    <w:rsid w:val="00DC5DD1"/>
    <w:rsid w:val="00DD5680"/>
    <w:rsid w:val="00DD6CB5"/>
    <w:rsid w:val="00DE306E"/>
    <w:rsid w:val="00DE5608"/>
    <w:rsid w:val="00DE58D0"/>
    <w:rsid w:val="00DE654F"/>
    <w:rsid w:val="00DF0B6E"/>
    <w:rsid w:val="00DF15E0"/>
    <w:rsid w:val="00DF31B7"/>
    <w:rsid w:val="00DF37A0"/>
    <w:rsid w:val="00DF4917"/>
    <w:rsid w:val="00E03B08"/>
    <w:rsid w:val="00E110E7"/>
    <w:rsid w:val="00E11B20"/>
    <w:rsid w:val="00E13762"/>
    <w:rsid w:val="00E17FA2"/>
    <w:rsid w:val="00E214D8"/>
    <w:rsid w:val="00E21714"/>
    <w:rsid w:val="00E22330"/>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6886"/>
    <w:rsid w:val="00E47AEF"/>
    <w:rsid w:val="00E53B75"/>
    <w:rsid w:val="00E54A3A"/>
    <w:rsid w:val="00E54E3B"/>
    <w:rsid w:val="00E55DFA"/>
    <w:rsid w:val="00E57565"/>
    <w:rsid w:val="00E61AA3"/>
    <w:rsid w:val="00E62CF0"/>
    <w:rsid w:val="00E63838"/>
    <w:rsid w:val="00E64434"/>
    <w:rsid w:val="00E67C51"/>
    <w:rsid w:val="00E71CF8"/>
    <w:rsid w:val="00E71E34"/>
    <w:rsid w:val="00E72EFC"/>
    <w:rsid w:val="00E758EC"/>
    <w:rsid w:val="00E76E18"/>
    <w:rsid w:val="00E80385"/>
    <w:rsid w:val="00E8234C"/>
    <w:rsid w:val="00E82C4D"/>
    <w:rsid w:val="00E83AA9"/>
    <w:rsid w:val="00E85928"/>
    <w:rsid w:val="00E87822"/>
    <w:rsid w:val="00E90395"/>
    <w:rsid w:val="00E90E49"/>
    <w:rsid w:val="00E917F9"/>
    <w:rsid w:val="00E9291C"/>
    <w:rsid w:val="00E93FFE"/>
    <w:rsid w:val="00E94F8A"/>
    <w:rsid w:val="00EA313F"/>
    <w:rsid w:val="00EA38BD"/>
    <w:rsid w:val="00EA41B8"/>
    <w:rsid w:val="00EA4A9E"/>
    <w:rsid w:val="00EA6412"/>
    <w:rsid w:val="00EA7A41"/>
    <w:rsid w:val="00EB077B"/>
    <w:rsid w:val="00EB3AF5"/>
    <w:rsid w:val="00EB4EA2"/>
    <w:rsid w:val="00EB4F32"/>
    <w:rsid w:val="00EB5722"/>
    <w:rsid w:val="00EC24C5"/>
    <w:rsid w:val="00EC27C6"/>
    <w:rsid w:val="00EC2A94"/>
    <w:rsid w:val="00EC4207"/>
    <w:rsid w:val="00EC5653"/>
    <w:rsid w:val="00EC7041"/>
    <w:rsid w:val="00EC71CE"/>
    <w:rsid w:val="00EC78F2"/>
    <w:rsid w:val="00ED1006"/>
    <w:rsid w:val="00ED1C67"/>
    <w:rsid w:val="00ED3BA3"/>
    <w:rsid w:val="00ED4531"/>
    <w:rsid w:val="00EE66C7"/>
    <w:rsid w:val="00EE7DB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0FE9"/>
    <w:rsid w:val="00F13D34"/>
    <w:rsid w:val="00F15FA5"/>
    <w:rsid w:val="00F209B7"/>
    <w:rsid w:val="00F2376F"/>
    <w:rsid w:val="00F243D8"/>
    <w:rsid w:val="00F25A1E"/>
    <w:rsid w:val="00F30828"/>
    <w:rsid w:val="00F313D6"/>
    <w:rsid w:val="00F32B3E"/>
    <w:rsid w:val="00F35BF2"/>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9056A"/>
    <w:rsid w:val="00F90F8D"/>
    <w:rsid w:val="00F913A7"/>
    <w:rsid w:val="00F92782"/>
    <w:rsid w:val="00F93AA9"/>
    <w:rsid w:val="00F96985"/>
    <w:rsid w:val="00F97838"/>
    <w:rsid w:val="00FA2BB3"/>
    <w:rsid w:val="00FA46B8"/>
    <w:rsid w:val="00FA5448"/>
    <w:rsid w:val="00FA6F0B"/>
    <w:rsid w:val="00FB014D"/>
    <w:rsid w:val="00FB0938"/>
    <w:rsid w:val="00FB40B5"/>
    <w:rsid w:val="00FB4C80"/>
    <w:rsid w:val="00FB6A6A"/>
    <w:rsid w:val="00FB705D"/>
    <w:rsid w:val="00FC05A1"/>
    <w:rsid w:val="00FC7429"/>
    <w:rsid w:val="00FD0620"/>
    <w:rsid w:val="00FD07F6"/>
    <w:rsid w:val="00FD0AAA"/>
    <w:rsid w:val="00FD1EC8"/>
    <w:rsid w:val="00FD47ED"/>
    <w:rsid w:val="00FD5DD1"/>
    <w:rsid w:val="00FD74DB"/>
    <w:rsid w:val="00FD7660"/>
    <w:rsid w:val="00FE0655"/>
    <w:rsid w:val="00FE2365"/>
    <w:rsid w:val="00FE4C7B"/>
    <w:rsid w:val="00FE6989"/>
    <w:rsid w:val="00FE7336"/>
    <w:rsid w:val="00FE787C"/>
    <w:rsid w:val="00FF083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 w:type="paragraph" w:customStyle="1" w:styleId="IvDInstructiontext">
    <w:name w:val="IvD Instructiontext"/>
    <w:basedOn w:val="BodyText"/>
    <w:link w:val="IvDInstructiontextChar"/>
    <w:uiPriority w:val="99"/>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01638B"/>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GB"/>
    </w:rPr>
  </w:style>
  <w:style w:type="character" w:customStyle="1" w:styleId="IvDbodytextChar">
    <w:name w:val="IvD bodytext Char"/>
    <w:basedOn w:val="BodyTextChar"/>
    <w:link w:val="IvDbodytext"/>
    <w:rsid w:val="0001638B"/>
    <w:rPr>
      <w:rFonts w:ascii="Arial" w:hAnsi="Arial"/>
      <w:spacing w:val="2"/>
      <w:lang w:val="en-GB" w:eastAsia="zh-CN"/>
    </w:rPr>
  </w:style>
  <w:style w:type="paragraph" w:customStyle="1" w:styleId="Default">
    <w:name w:val="Default"/>
    <w:rsid w:val="00AE5C65"/>
    <w:pPr>
      <w:autoSpaceDE w:val="0"/>
      <w:autoSpaceDN w:val="0"/>
      <w:adjustRightInd w:val="0"/>
    </w:pPr>
    <w:rPr>
      <w:rFonts w:ascii="Arial" w:eastAsia="SimSu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6928809">
      <w:bodyDiv w:val="1"/>
      <w:marLeft w:val="0"/>
      <w:marRight w:val="0"/>
      <w:marTop w:val="0"/>
      <w:marBottom w:val="0"/>
      <w:divBdr>
        <w:top w:val="none" w:sz="0" w:space="0" w:color="auto"/>
        <w:left w:val="none" w:sz="0" w:space="0" w:color="auto"/>
        <w:bottom w:val="none" w:sz="0" w:space="0" w:color="auto"/>
        <w:right w:val="none" w:sz="0" w:space="0" w:color="auto"/>
      </w:divBdr>
      <w:divsChild>
        <w:div w:id="962270486">
          <w:marLeft w:val="274"/>
          <w:marRight w:val="0"/>
          <w:marTop w:val="115"/>
          <w:marBottom w:val="0"/>
          <w:divBdr>
            <w:top w:val="none" w:sz="0" w:space="0" w:color="auto"/>
            <w:left w:val="none" w:sz="0" w:space="0" w:color="auto"/>
            <w:bottom w:val="none" w:sz="0" w:space="0" w:color="auto"/>
            <w:right w:val="none" w:sz="0" w:space="0" w:color="auto"/>
          </w:divBdr>
        </w:div>
        <w:div w:id="792988923">
          <w:marLeft w:val="835"/>
          <w:marRight w:val="0"/>
          <w:marTop w:val="96"/>
          <w:marBottom w:val="0"/>
          <w:divBdr>
            <w:top w:val="none" w:sz="0" w:space="0" w:color="auto"/>
            <w:left w:val="none" w:sz="0" w:space="0" w:color="auto"/>
            <w:bottom w:val="none" w:sz="0" w:space="0" w:color="auto"/>
            <w:right w:val="none" w:sz="0" w:space="0" w:color="auto"/>
          </w:divBdr>
        </w:div>
        <w:div w:id="1601791613">
          <w:marLeft w:val="835"/>
          <w:marRight w:val="0"/>
          <w:marTop w:val="96"/>
          <w:marBottom w:val="0"/>
          <w:divBdr>
            <w:top w:val="none" w:sz="0" w:space="0" w:color="auto"/>
            <w:left w:val="none" w:sz="0" w:space="0" w:color="auto"/>
            <w:bottom w:val="none" w:sz="0" w:space="0" w:color="auto"/>
            <w:right w:val="none" w:sz="0" w:space="0" w:color="auto"/>
          </w:divBdr>
        </w:div>
        <w:div w:id="2052147003">
          <w:marLeft w:val="1411"/>
          <w:marRight w:val="0"/>
          <w:marTop w:val="96"/>
          <w:marBottom w:val="0"/>
          <w:divBdr>
            <w:top w:val="none" w:sz="0" w:space="0" w:color="auto"/>
            <w:left w:val="none" w:sz="0" w:space="0" w:color="auto"/>
            <w:bottom w:val="none" w:sz="0" w:space="0" w:color="auto"/>
            <w:right w:val="none" w:sz="0" w:space="0" w:color="auto"/>
          </w:divBdr>
        </w:div>
        <w:div w:id="671226466">
          <w:marLeft w:val="1411"/>
          <w:marRight w:val="0"/>
          <w:marTop w:val="96"/>
          <w:marBottom w:val="0"/>
          <w:divBdr>
            <w:top w:val="none" w:sz="0" w:space="0" w:color="auto"/>
            <w:left w:val="none" w:sz="0" w:space="0" w:color="auto"/>
            <w:bottom w:val="none" w:sz="0" w:space="0" w:color="auto"/>
            <w:right w:val="none" w:sz="0" w:space="0" w:color="auto"/>
          </w:divBdr>
        </w:div>
        <w:div w:id="1479767646">
          <w:marLeft w:val="274"/>
          <w:marRight w:val="0"/>
          <w:marTop w:val="115"/>
          <w:marBottom w:val="0"/>
          <w:divBdr>
            <w:top w:val="none" w:sz="0" w:space="0" w:color="auto"/>
            <w:left w:val="none" w:sz="0" w:space="0" w:color="auto"/>
            <w:bottom w:val="none" w:sz="0" w:space="0" w:color="auto"/>
            <w:right w:val="none" w:sz="0" w:space="0" w:color="auto"/>
          </w:divBdr>
        </w:div>
        <w:div w:id="1166090324">
          <w:marLeft w:val="835"/>
          <w:marRight w:val="0"/>
          <w:marTop w:val="96"/>
          <w:marBottom w:val="0"/>
          <w:divBdr>
            <w:top w:val="none" w:sz="0" w:space="0" w:color="auto"/>
            <w:left w:val="none" w:sz="0" w:space="0" w:color="auto"/>
            <w:bottom w:val="none" w:sz="0" w:space="0" w:color="auto"/>
            <w:right w:val="none" w:sz="0" w:space="0" w:color="auto"/>
          </w:divBdr>
        </w:div>
        <w:div w:id="1503473701">
          <w:marLeft w:val="274"/>
          <w:marRight w:val="0"/>
          <w:marTop w:val="115"/>
          <w:marBottom w:val="0"/>
          <w:divBdr>
            <w:top w:val="none" w:sz="0" w:space="0" w:color="auto"/>
            <w:left w:val="none" w:sz="0" w:space="0" w:color="auto"/>
            <w:bottom w:val="none" w:sz="0" w:space="0" w:color="auto"/>
            <w:right w:val="none" w:sz="0" w:space="0" w:color="auto"/>
          </w:divBdr>
        </w:div>
      </w:divsChild>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385372368">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78261697">
      <w:bodyDiv w:val="1"/>
      <w:marLeft w:val="0"/>
      <w:marRight w:val="0"/>
      <w:marTop w:val="0"/>
      <w:marBottom w:val="0"/>
      <w:divBdr>
        <w:top w:val="none" w:sz="0" w:space="0" w:color="auto"/>
        <w:left w:val="none" w:sz="0" w:space="0" w:color="auto"/>
        <w:bottom w:val="none" w:sz="0" w:space="0" w:color="auto"/>
        <w:right w:val="none" w:sz="0" w:space="0" w:color="auto"/>
      </w:divBdr>
    </w:div>
    <w:div w:id="1637490456">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65761198">
      <w:bodyDiv w:val="1"/>
      <w:marLeft w:val="0"/>
      <w:marRight w:val="0"/>
      <w:marTop w:val="0"/>
      <w:marBottom w:val="0"/>
      <w:divBdr>
        <w:top w:val="none" w:sz="0" w:space="0" w:color="auto"/>
        <w:left w:val="none" w:sz="0" w:space="0" w:color="auto"/>
        <w:bottom w:val="none" w:sz="0" w:space="0" w:color="auto"/>
        <w:right w:val="none" w:sz="0" w:space="0" w:color="auto"/>
      </w:divBdr>
      <w:divsChild>
        <w:div w:id="789276164">
          <w:marLeft w:val="274"/>
          <w:marRight w:val="0"/>
          <w:marTop w:val="96"/>
          <w:marBottom w:val="0"/>
          <w:divBdr>
            <w:top w:val="none" w:sz="0" w:space="0" w:color="auto"/>
            <w:left w:val="none" w:sz="0" w:space="0" w:color="auto"/>
            <w:bottom w:val="none" w:sz="0" w:space="0" w:color="auto"/>
            <w:right w:val="none" w:sz="0" w:space="0" w:color="auto"/>
          </w:divBdr>
        </w:div>
        <w:div w:id="777724173">
          <w:marLeft w:val="274"/>
          <w:marRight w:val="0"/>
          <w:marTop w:val="96"/>
          <w:marBottom w:val="0"/>
          <w:divBdr>
            <w:top w:val="none" w:sz="0" w:space="0" w:color="auto"/>
            <w:left w:val="none" w:sz="0" w:space="0" w:color="auto"/>
            <w:bottom w:val="none" w:sz="0" w:space="0" w:color="auto"/>
            <w:right w:val="none" w:sz="0" w:space="0" w:color="auto"/>
          </w:divBdr>
        </w:div>
        <w:div w:id="1578127736">
          <w:marLeft w:val="274"/>
          <w:marRight w:val="0"/>
          <w:marTop w:val="96"/>
          <w:marBottom w:val="0"/>
          <w:divBdr>
            <w:top w:val="none" w:sz="0" w:space="0" w:color="auto"/>
            <w:left w:val="none" w:sz="0" w:space="0" w:color="auto"/>
            <w:bottom w:val="none" w:sz="0" w:space="0" w:color="auto"/>
            <w:right w:val="none" w:sz="0" w:space="0" w:color="auto"/>
          </w:divBdr>
        </w:div>
        <w:div w:id="95760060">
          <w:marLeft w:val="274"/>
          <w:marRight w:val="0"/>
          <w:marTop w:val="96"/>
          <w:marBottom w:val="0"/>
          <w:divBdr>
            <w:top w:val="none" w:sz="0" w:space="0" w:color="auto"/>
            <w:left w:val="none" w:sz="0" w:space="0" w:color="auto"/>
            <w:bottom w:val="none" w:sz="0" w:space="0" w:color="auto"/>
            <w:right w:val="none" w:sz="0" w:space="0" w:color="auto"/>
          </w:divBdr>
        </w:div>
        <w:div w:id="1211110000">
          <w:marLeft w:val="274"/>
          <w:marRight w:val="0"/>
          <w:marTop w:val="96"/>
          <w:marBottom w:val="0"/>
          <w:divBdr>
            <w:top w:val="none" w:sz="0" w:space="0" w:color="auto"/>
            <w:left w:val="none" w:sz="0" w:space="0" w:color="auto"/>
            <w:bottom w:val="none" w:sz="0" w:space="0" w:color="auto"/>
            <w:right w:val="none" w:sz="0" w:space="0" w:color="auto"/>
          </w:divBdr>
        </w:div>
        <w:div w:id="1237788568">
          <w:marLeft w:val="835"/>
          <w:marRight w:val="0"/>
          <w:marTop w:val="82"/>
          <w:marBottom w:val="0"/>
          <w:divBdr>
            <w:top w:val="none" w:sz="0" w:space="0" w:color="auto"/>
            <w:left w:val="none" w:sz="0" w:space="0" w:color="auto"/>
            <w:bottom w:val="none" w:sz="0" w:space="0" w:color="auto"/>
            <w:right w:val="none" w:sz="0" w:space="0" w:color="auto"/>
          </w:divBdr>
        </w:div>
        <w:div w:id="1361586608">
          <w:marLeft w:val="835"/>
          <w:marRight w:val="0"/>
          <w:marTop w:val="82"/>
          <w:marBottom w:val="0"/>
          <w:divBdr>
            <w:top w:val="none" w:sz="0" w:space="0" w:color="auto"/>
            <w:left w:val="none" w:sz="0" w:space="0" w:color="auto"/>
            <w:bottom w:val="none" w:sz="0" w:space="0" w:color="auto"/>
            <w:right w:val="none" w:sz="0" w:space="0" w:color="auto"/>
          </w:divBdr>
        </w:div>
        <w:div w:id="1975717554">
          <w:marLeft w:val="1411"/>
          <w:marRight w:val="0"/>
          <w:marTop w:val="82"/>
          <w:marBottom w:val="0"/>
          <w:divBdr>
            <w:top w:val="none" w:sz="0" w:space="0" w:color="auto"/>
            <w:left w:val="none" w:sz="0" w:space="0" w:color="auto"/>
            <w:bottom w:val="none" w:sz="0" w:space="0" w:color="auto"/>
            <w:right w:val="none" w:sz="0" w:space="0" w:color="auto"/>
          </w:divBdr>
        </w:div>
        <w:div w:id="331568371">
          <w:marLeft w:val="1973"/>
          <w:marRight w:val="0"/>
          <w:marTop w:val="82"/>
          <w:marBottom w:val="0"/>
          <w:divBdr>
            <w:top w:val="none" w:sz="0" w:space="0" w:color="auto"/>
            <w:left w:val="none" w:sz="0" w:space="0" w:color="auto"/>
            <w:bottom w:val="none" w:sz="0" w:space="0" w:color="auto"/>
            <w:right w:val="none" w:sz="0" w:space="0" w:color="auto"/>
          </w:divBdr>
        </w:div>
        <w:div w:id="1658613996">
          <w:marLeft w:val="1973"/>
          <w:marRight w:val="0"/>
          <w:marTop w:val="82"/>
          <w:marBottom w:val="0"/>
          <w:divBdr>
            <w:top w:val="none" w:sz="0" w:space="0" w:color="auto"/>
            <w:left w:val="none" w:sz="0" w:space="0" w:color="auto"/>
            <w:bottom w:val="none" w:sz="0" w:space="0" w:color="auto"/>
            <w:right w:val="none" w:sz="0" w:space="0" w:color="auto"/>
          </w:divBdr>
        </w:div>
        <w:div w:id="1547376897">
          <w:marLeft w:val="1411"/>
          <w:marRight w:val="0"/>
          <w:marTop w:val="82"/>
          <w:marBottom w:val="0"/>
          <w:divBdr>
            <w:top w:val="none" w:sz="0" w:space="0" w:color="auto"/>
            <w:left w:val="none" w:sz="0" w:space="0" w:color="auto"/>
            <w:bottom w:val="none" w:sz="0" w:space="0" w:color="auto"/>
            <w:right w:val="none" w:sz="0" w:space="0" w:color="auto"/>
          </w:divBdr>
        </w:div>
        <w:div w:id="1790051854">
          <w:marLeft w:val="1973"/>
          <w:marRight w:val="0"/>
          <w:marTop w:val="82"/>
          <w:marBottom w:val="0"/>
          <w:divBdr>
            <w:top w:val="none" w:sz="0" w:space="0" w:color="auto"/>
            <w:left w:val="none" w:sz="0" w:space="0" w:color="auto"/>
            <w:bottom w:val="none" w:sz="0" w:space="0" w:color="auto"/>
            <w:right w:val="none" w:sz="0" w:space="0" w:color="auto"/>
          </w:divBdr>
        </w:div>
        <w:div w:id="58333469">
          <w:marLeft w:val="1411"/>
          <w:marRight w:val="0"/>
          <w:marTop w:val="82"/>
          <w:marBottom w:val="0"/>
          <w:divBdr>
            <w:top w:val="none" w:sz="0" w:space="0" w:color="auto"/>
            <w:left w:val="none" w:sz="0" w:space="0" w:color="auto"/>
            <w:bottom w:val="none" w:sz="0" w:space="0" w:color="auto"/>
            <w:right w:val="none" w:sz="0" w:space="0" w:color="auto"/>
          </w:divBdr>
        </w:div>
        <w:div w:id="2068071038">
          <w:marLeft w:val="1973"/>
          <w:marRight w:val="0"/>
          <w:marTop w:val="82"/>
          <w:marBottom w:val="0"/>
          <w:divBdr>
            <w:top w:val="none" w:sz="0" w:space="0" w:color="auto"/>
            <w:left w:val="none" w:sz="0" w:space="0" w:color="auto"/>
            <w:bottom w:val="none" w:sz="0" w:space="0" w:color="auto"/>
            <w:right w:val="none" w:sz="0" w:space="0" w:color="auto"/>
          </w:divBdr>
        </w:div>
        <w:div w:id="656615136">
          <w:marLeft w:val="1973"/>
          <w:marRight w:val="0"/>
          <w:marTop w:val="82"/>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5NUHHDQN7SK2-1-114603</_dlc_DocId>
    <_dlc_DocIdUrl xmlns="08b2df90-05d3-4030-90d4-c9feeb4a1cd9">
      <Url>https://ericoll.internal.ericsson.com/sites/STAR/_layouts/DocIdRedir.aspx?ID=5NUHHDQN7SK2-1-114603</Url>
      <Description>5NUHHDQN7SK2-1-114603</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2.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3.xml><?xml version="1.0" encoding="utf-8"?>
<ds:datastoreItem xmlns:ds="http://schemas.openxmlformats.org/officeDocument/2006/customXml" ds:itemID="{CC816339-5AD9-404E-BEB4-A4E905000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5.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6.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7.xml><?xml version="1.0" encoding="utf-8"?>
<ds:datastoreItem xmlns:ds="http://schemas.openxmlformats.org/officeDocument/2006/customXml" ds:itemID="{9AD8920B-B71D-4847-BA80-5247183DC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TotalTime>
  <Pages>4</Pages>
  <Words>1665</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Sorour Falahati</dc:creator>
  <cp:keywords>Ericsson; TDoc; 3GPP</cp:keywords>
  <cp:lastModifiedBy>Ericsson</cp:lastModifiedBy>
  <cp:revision>6</cp:revision>
  <cp:lastPrinted>2008-01-31T07:09:00Z</cp:lastPrinted>
  <dcterms:created xsi:type="dcterms:W3CDTF">2017-06-17T03:34:00Z</dcterms:created>
  <dcterms:modified xsi:type="dcterms:W3CDTF">2017-06-17T03:35:00Z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4561f055-15d5-4d2e-a34b-b1e7b78fdbbf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