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54D36B55" w:rsidR="00D42D5D" w:rsidRPr="000A64D8" w:rsidRDefault="00F01D01" w:rsidP="00D42D5D">
      <w:pPr>
        <w:tabs>
          <w:tab w:val="right" w:pos="10000"/>
        </w:tabs>
        <w:spacing w:after="0"/>
        <w:rPr>
          <w:rFonts w:ascii="Arial" w:hAnsi="Arial" w:cs="Arial"/>
          <w:b/>
          <w:sz w:val="24"/>
          <w:szCs w:val="24"/>
        </w:rPr>
      </w:pPr>
      <w:r w:rsidRPr="00F01D01">
        <w:rPr>
          <w:rFonts w:ascii="Arial" w:hAnsi="Arial" w:cs="Arial"/>
          <w:b/>
          <w:sz w:val="24"/>
          <w:szCs w:val="24"/>
        </w:rPr>
        <w:t>3GPP TSG RAN WG1 NR Ad-Hoc#2</w:t>
      </w:r>
      <w:r w:rsidR="00D42D5D" w:rsidRPr="000A64D8">
        <w:rPr>
          <w:rFonts w:ascii="Arial" w:hAnsi="Arial" w:cs="Arial"/>
          <w:b/>
          <w:sz w:val="24"/>
          <w:szCs w:val="24"/>
        </w:rPr>
        <w:t xml:space="preserve"> </w:t>
      </w:r>
      <w:r w:rsidR="00D42D5D" w:rsidRPr="000A64D8">
        <w:rPr>
          <w:rFonts w:ascii="Arial" w:hAnsi="Arial" w:cs="Arial"/>
          <w:b/>
          <w:sz w:val="24"/>
          <w:szCs w:val="24"/>
        </w:rPr>
        <w:tab/>
      </w:r>
      <w:r w:rsidR="00961A61" w:rsidRPr="00961A61">
        <w:rPr>
          <w:rFonts w:ascii="Arial" w:hAnsi="Arial" w:cs="Arial"/>
          <w:b/>
          <w:sz w:val="24"/>
          <w:szCs w:val="24"/>
        </w:rPr>
        <w:t>R1-</w:t>
      </w:r>
      <w:r w:rsidR="00325375" w:rsidRPr="00325375">
        <w:rPr>
          <w:rFonts w:ascii="Arial" w:hAnsi="Arial" w:cs="Arial"/>
          <w:b/>
          <w:sz w:val="24"/>
          <w:szCs w:val="24"/>
        </w:rPr>
        <w:t>1711227</w:t>
      </w:r>
    </w:p>
    <w:p w14:paraId="43B7F879" w14:textId="6926C59F" w:rsidR="00D1303E" w:rsidRPr="00FD021C" w:rsidRDefault="00F01D01" w:rsidP="00D1303E">
      <w:pPr>
        <w:tabs>
          <w:tab w:val="right" w:pos="9630"/>
        </w:tabs>
        <w:spacing w:after="0"/>
        <w:jc w:val="both"/>
        <w:rPr>
          <w:rFonts w:ascii="Arial" w:hAnsi="Arial" w:cs="Arial"/>
          <w:b/>
          <w:sz w:val="24"/>
          <w:szCs w:val="24"/>
        </w:rPr>
      </w:pPr>
      <w:r w:rsidRPr="00F01D01">
        <w:rPr>
          <w:rFonts w:ascii="Arial" w:hAnsi="Arial" w:cs="Arial"/>
          <w:b/>
          <w:sz w:val="24"/>
          <w:szCs w:val="24"/>
        </w:rPr>
        <w:t>27th – 30th June 2017</w:t>
      </w:r>
    </w:p>
    <w:p w14:paraId="43B7F87A" w14:textId="5C6B884B" w:rsidR="00D1303E" w:rsidRPr="00FD021C" w:rsidRDefault="00F01D01" w:rsidP="00D1303E">
      <w:pPr>
        <w:spacing w:after="0"/>
        <w:jc w:val="both"/>
        <w:rPr>
          <w:rFonts w:ascii="Arial" w:hAnsi="Arial" w:cs="Arial"/>
          <w:b/>
          <w:sz w:val="24"/>
          <w:szCs w:val="24"/>
        </w:rPr>
      </w:pPr>
      <w:r w:rsidRPr="00F01D01">
        <w:rPr>
          <w:rFonts w:ascii="Arial" w:hAnsi="Arial" w:cs="Arial"/>
          <w:b/>
          <w:sz w:val="24"/>
          <w:szCs w:val="24"/>
        </w:rPr>
        <w:t>Qingdao, P.R. China</w:t>
      </w:r>
    </w:p>
    <w:p w14:paraId="43B7F87B" w14:textId="77777777" w:rsidR="0068226B" w:rsidRPr="000A64D8" w:rsidRDefault="0068226B" w:rsidP="00480B03">
      <w:pPr>
        <w:pStyle w:val="Footer"/>
        <w:jc w:val="both"/>
        <w:rPr>
          <w:noProof w:val="0"/>
        </w:rPr>
      </w:pPr>
    </w:p>
    <w:p w14:paraId="43B7F87C" w14:textId="5AE491F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56DAB">
        <w:rPr>
          <w:rFonts w:ascii="Arial" w:hAnsi="Arial"/>
          <w:sz w:val="24"/>
        </w:rPr>
        <w:t>5.1.7</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31E3B95"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A5C06">
        <w:rPr>
          <w:rFonts w:ascii="Arial" w:hAnsi="Arial"/>
          <w:sz w:val="22"/>
        </w:rPr>
        <w:t xml:space="preserve">UE Power Saving </w:t>
      </w:r>
      <w:r w:rsidR="00B0785E">
        <w:rPr>
          <w:rFonts w:ascii="Arial" w:hAnsi="Arial"/>
          <w:sz w:val="22"/>
        </w:rPr>
        <w:t>during Active State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6153D23C" w14:textId="2C87CE79" w:rsidR="00EB6898" w:rsidRDefault="00EB6898" w:rsidP="004503F9">
      <w:pPr>
        <w:pStyle w:val="Heading1"/>
      </w:pPr>
      <w:r>
        <w:t>Background</w:t>
      </w:r>
    </w:p>
    <w:p w14:paraId="61CE9592" w14:textId="3FEE32E4" w:rsidR="00EB6898" w:rsidRDefault="00EB6898" w:rsidP="00EB6898">
      <w:pPr>
        <w:jc w:val="both"/>
        <w:rPr>
          <w:szCs w:val="22"/>
        </w:rPr>
      </w:pPr>
      <w:r>
        <w:rPr>
          <w:szCs w:val="22"/>
        </w:rPr>
        <w:t xml:space="preserve">In RAN1 #86bis meeting, bandwidth adaptation </w:t>
      </w:r>
      <w:r w:rsidR="00782349">
        <w:rPr>
          <w:szCs w:val="22"/>
        </w:rPr>
        <w:t xml:space="preserve">facilitating DL control information monitoring over a narrower bandwidth </w:t>
      </w:r>
      <w:r>
        <w:rPr>
          <w:szCs w:val="22"/>
        </w:rPr>
        <w:t xml:space="preserve">was agreed </w:t>
      </w:r>
      <w:r>
        <w:rPr>
          <w:szCs w:val="22"/>
        </w:rPr>
        <w:fldChar w:fldCharType="begin"/>
      </w:r>
      <w:r>
        <w:rPr>
          <w:szCs w:val="22"/>
        </w:rPr>
        <w:instrText xml:space="preserve"> REF _Ref477985001 \r \h </w:instrText>
      </w:r>
      <w:r>
        <w:rPr>
          <w:szCs w:val="22"/>
        </w:rPr>
      </w:r>
      <w:r>
        <w:rPr>
          <w:szCs w:val="22"/>
        </w:rPr>
        <w:fldChar w:fldCharType="separate"/>
      </w:r>
      <w:r w:rsidR="00A3327A">
        <w:rPr>
          <w:szCs w:val="22"/>
        </w:rPr>
        <w:t>[4]</w:t>
      </w:r>
      <w:r>
        <w:rPr>
          <w:szCs w:val="22"/>
        </w:rPr>
        <w:fldChar w:fldCharType="end"/>
      </w:r>
      <w:r w:rsidR="00782349">
        <w:rPr>
          <w:szCs w:val="22"/>
        </w:rPr>
        <w:t>. The motivation was primarily driven by UE power saving</w:t>
      </w:r>
      <w:r>
        <w:rPr>
          <w:szCs w:val="22"/>
        </w:rPr>
        <w:t>:</w:t>
      </w:r>
    </w:p>
    <w:p w14:paraId="4D4CE47F" w14:textId="77777777" w:rsidR="00EB6898" w:rsidRPr="00307852" w:rsidRDefault="00EB6898" w:rsidP="00EB6898">
      <w:pPr>
        <w:jc w:val="both"/>
        <w:rPr>
          <w:szCs w:val="22"/>
          <w:u w:val="single"/>
        </w:rPr>
      </w:pPr>
      <w:r w:rsidRPr="00307852">
        <w:rPr>
          <w:szCs w:val="22"/>
          <w:u w:val="single"/>
        </w:rPr>
        <w:t>Agreements:</w:t>
      </w:r>
    </w:p>
    <w:p w14:paraId="19E6A98A" w14:textId="77777777" w:rsidR="00EB6898" w:rsidRPr="00307852" w:rsidRDefault="00EB6898" w:rsidP="00EB6898">
      <w:pPr>
        <w:ind w:left="288"/>
        <w:jc w:val="both"/>
        <w:rPr>
          <w:szCs w:val="22"/>
        </w:rPr>
      </w:pPr>
      <w:r w:rsidRPr="00307852">
        <w:rPr>
          <w:szCs w:val="22"/>
        </w:rPr>
        <w:t>•</w:t>
      </w:r>
      <w:r w:rsidRPr="00307852">
        <w:rPr>
          <w:szCs w:val="22"/>
        </w:rPr>
        <w:tab/>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4102DEF6" w14:textId="77777777" w:rsidR="00EB6898" w:rsidRPr="00307852" w:rsidRDefault="00EB6898" w:rsidP="00EB6898">
      <w:pPr>
        <w:ind w:left="576"/>
        <w:jc w:val="both"/>
        <w:rPr>
          <w:szCs w:val="22"/>
        </w:rPr>
      </w:pPr>
      <w:r w:rsidRPr="00307852">
        <w:rPr>
          <w:szCs w:val="22"/>
        </w:rPr>
        <w:t>–</w:t>
      </w:r>
      <w:r w:rsidRPr="00307852">
        <w:rPr>
          <w:szCs w:val="22"/>
        </w:rPr>
        <w:tab/>
        <w:t>FFS the first RF bandwidth is within the second RF bandwidth</w:t>
      </w:r>
    </w:p>
    <w:p w14:paraId="26305651" w14:textId="77777777" w:rsidR="00EB6898" w:rsidRPr="00307852" w:rsidRDefault="00EB6898" w:rsidP="00EB6898">
      <w:pPr>
        <w:ind w:left="864"/>
        <w:jc w:val="both"/>
        <w:rPr>
          <w:szCs w:val="22"/>
        </w:rPr>
      </w:pPr>
      <w:r w:rsidRPr="00307852">
        <w:rPr>
          <w:szCs w:val="22"/>
        </w:rPr>
        <w:t>•</w:t>
      </w:r>
      <w:r w:rsidRPr="00307852">
        <w:rPr>
          <w:szCs w:val="22"/>
        </w:rPr>
        <w:tab/>
        <w:t>FFS the first RF bandwidth is at the center of the second RF bandwidth</w:t>
      </w:r>
    </w:p>
    <w:p w14:paraId="276C17D3" w14:textId="77777777" w:rsidR="00EB6898" w:rsidRPr="00307852" w:rsidRDefault="00EB6898" w:rsidP="00EB6898">
      <w:pPr>
        <w:ind w:left="576"/>
        <w:jc w:val="both"/>
        <w:rPr>
          <w:szCs w:val="22"/>
        </w:rPr>
      </w:pPr>
      <w:r w:rsidRPr="00307852">
        <w:rPr>
          <w:szCs w:val="22"/>
        </w:rPr>
        <w:t>–</w:t>
      </w:r>
      <w:r w:rsidRPr="00307852">
        <w:rPr>
          <w:szCs w:val="22"/>
        </w:rPr>
        <w:tab/>
        <w:t>FFS the maximal ratio of the first RF bandwidth over the second RF bandwidth</w:t>
      </w:r>
    </w:p>
    <w:p w14:paraId="78DACE8B" w14:textId="77777777" w:rsidR="00EB6898" w:rsidRPr="00307852" w:rsidRDefault="00EB6898" w:rsidP="00EB6898">
      <w:pPr>
        <w:ind w:left="576"/>
        <w:jc w:val="both"/>
        <w:rPr>
          <w:szCs w:val="22"/>
        </w:rPr>
      </w:pPr>
      <w:r w:rsidRPr="00307852">
        <w:rPr>
          <w:szCs w:val="22"/>
        </w:rPr>
        <w:t>–</w:t>
      </w:r>
      <w:r w:rsidRPr="00307852">
        <w:rPr>
          <w:szCs w:val="22"/>
        </w:rPr>
        <w:tab/>
        <w:t>FFS detailed mechanism</w:t>
      </w:r>
    </w:p>
    <w:p w14:paraId="7D32A2FA" w14:textId="77777777" w:rsidR="00EB6898" w:rsidRDefault="00EB6898" w:rsidP="00EB6898">
      <w:pPr>
        <w:ind w:left="288"/>
        <w:jc w:val="both"/>
        <w:rPr>
          <w:szCs w:val="22"/>
        </w:rPr>
      </w:pPr>
      <w:r w:rsidRPr="00307852">
        <w:rPr>
          <w:szCs w:val="22"/>
        </w:rPr>
        <w:t>•</w:t>
      </w:r>
      <w:r w:rsidRPr="00307852">
        <w:rPr>
          <w:szCs w:val="22"/>
        </w:rPr>
        <w:tab/>
        <w:t>FFS RF bandwidth adaptation for RRM measurement</w:t>
      </w:r>
    </w:p>
    <w:p w14:paraId="487F0482" w14:textId="77777777" w:rsidR="0082321C" w:rsidRDefault="0082321C" w:rsidP="00EB6898">
      <w:pPr>
        <w:jc w:val="both"/>
        <w:rPr>
          <w:szCs w:val="22"/>
        </w:rPr>
      </w:pPr>
    </w:p>
    <w:p w14:paraId="2D7F1CA3" w14:textId="5E357D80" w:rsidR="0082321C" w:rsidRDefault="0082321C" w:rsidP="00EB6898">
      <w:pPr>
        <w:jc w:val="both"/>
        <w:rPr>
          <w:szCs w:val="22"/>
        </w:rPr>
      </w:pPr>
      <w:r>
        <w:rPr>
          <w:szCs w:val="22"/>
        </w:rPr>
        <w:t>In the same meeting, cross-slot s</w:t>
      </w:r>
      <w:r w:rsidR="00A3327A">
        <w:rPr>
          <w:szCs w:val="22"/>
        </w:rPr>
        <w:t>cheduling for DL wa</w:t>
      </w:r>
      <w:r>
        <w:rPr>
          <w:szCs w:val="22"/>
        </w:rPr>
        <w:t>s also agreed:</w:t>
      </w:r>
    </w:p>
    <w:p w14:paraId="451C86B2" w14:textId="0AE85F5F" w:rsidR="00A3327A" w:rsidRDefault="00A3327A" w:rsidP="00EB6898">
      <w:pPr>
        <w:jc w:val="both"/>
        <w:rPr>
          <w:szCs w:val="22"/>
        </w:rPr>
      </w:pPr>
      <w:r w:rsidRPr="00307852">
        <w:rPr>
          <w:szCs w:val="22"/>
          <w:u w:val="single"/>
        </w:rPr>
        <w:t>Agreement</w:t>
      </w:r>
      <w:r>
        <w:rPr>
          <w:szCs w:val="22"/>
          <w:u w:val="single"/>
        </w:rPr>
        <w:t>:</w:t>
      </w:r>
    </w:p>
    <w:p w14:paraId="7754088A" w14:textId="43EFC3D1" w:rsidR="0082321C" w:rsidRDefault="0082321C" w:rsidP="0082321C">
      <w:pPr>
        <w:ind w:left="288"/>
        <w:jc w:val="both"/>
        <w:rPr>
          <w:szCs w:val="22"/>
        </w:rPr>
      </w:pPr>
      <w:r w:rsidRPr="00307852">
        <w:rPr>
          <w:szCs w:val="22"/>
        </w:rPr>
        <w:t>•</w:t>
      </w:r>
      <w:r w:rsidRPr="00307852">
        <w:rPr>
          <w:szCs w:val="22"/>
        </w:rPr>
        <w:tab/>
      </w:r>
      <w:r w:rsidRPr="0082321C">
        <w:rPr>
          <w:rFonts w:eastAsia="MS Mincho" w:hint="eastAsia"/>
        </w:rPr>
        <w:t xml:space="preserve">NR supports </w:t>
      </w:r>
      <w:r w:rsidRPr="0082321C">
        <w:rPr>
          <w:rFonts w:eastAsia="MS Mincho"/>
        </w:rPr>
        <w:t xml:space="preserve">at least </w:t>
      </w:r>
      <w:r w:rsidRPr="0082321C">
        <w:rPr>
          <w:rFonts w:eastAsia="MS Mincho" w:hint="eastAsia"/>
        </w:rPr>
        <w:t>same-slot and cross-slot scheduling for DL</w:t>
      </w:r>
      <w:r w:rsidRPr="0082321C">
        <w:rPr>
          <w:rFonts w:eastAsia="MS Mincho"/>
        </w:rPr>
        <w:t>.</w:t>
      </w:r>
    </w:p>
    <w:p w14:paraId="45495B16" w14:textId="6BD5FE36" w:rsidR="0082321C" w:rsidRDefault="0082321C" w:rsidP="00EB6898">
      <w:pPr>
        <w:jc w:val="both"/>
        <w:rPr>
          <w:szCs w:val="22"/>
        </w:rPr>
      </w:pPr>
    </w:p>
    <w:p w14:paraId="0B86579B" w14:textId="6EA40D6A" w:rsidR="00A3327A" w:rsidRDefault="00A3327A" w:rsidP="00EB6898">
      <w:pPr>
        <w:jc w:val="both"/>
        <w:rPr>
          <w:szCs w:val="22"/>
        </w:rPr>
      </w:pPr>
      <w:r>
        <w:rPr>
          <w:szCs w:val="22"/>
        </w:rPr>
        <w:t xml:space="preserve">In RAN1 </w:t>
      </w:r>
      <w:r w:rsidRPr="00A3327A">
        <w:rPr>
          <w:szCs w:val="22"/>
        </w:rPr>
        <w:t>NR Ad-Hoc</w:t>
      </w:r>
      <w:r>
        <w:rPr>
          <w:szCs w:val="22"/>
        </w:rPr>
        <w:t>, dynamic indication of timing between DL assignment and corresponding DL data transmission was agreed.</w:t>
      </w:r>
      <w:r>
        <w:rPr>
          <w:szCs w:val="22"/>
        </w:rPr>
        <w:fldChar w:fldCharType="begin"/>
      </w:r>
      <w:r>
        <w:rPr>
          <w:szCs w:val="22"/>
        </w:rPr>
        <w:instrText xml:space="preserve"> REF _Ref485407476 \r \h </w:instrText>
      </w:r>
      <w:r>
        <w:rPr>
          <w:szCs w:val="22"/>
        </w:rPr>
      </w:r>
      <w:r>
        <w:rPr>
          <w:szCs w:val="22"/>
        </w:rPr>
        <w:fldChar w:fldCharType="separate"/>
      </w:r>
      <w:r>
        <w:rPr>
          <w:szCs w:val="22"/>
        </w:rPr>
        <w:t>[7]</w:t>
      </w:r>
      <w:r>
        <w:rPr>
          <w:szCs w:val="22"/>
        </w:rPr>
        <w:fldChar w:fldCharType="end"/>
      </w:r>
    </w:p>
    <w:p w14:paraId="419D3DEF" w14:textId="77777777" w:rsidR="00A3327A" w:rsidRPr="00307852" w:rsidRDefault="00A3327A" w:rsidP="00A3327A">
      <w:pPr>
        <w:jc w:val="both"/>
        <w:rPr>
          <w:szCs w:val="22"/>
          <w:u w:val="single"/>
        </w:rPr>
      </w:pPr>
      <w:r w:rsidRPr="00307852">
        <w:rPr>
          <w:szCs w:val="22"/>
          <w:u w:val="single"/>
        </w:rPr>
        <w:t>Agreement:</w:t>
      </w:r>
    </w:p>
    <w:p w14:paraId="0E05A630" w14:textId="77777777" w:rsidR="00A3327A" w:rsidRPr="00B809F1" w:rsidRDefault="00A3327A" w:rsidP="00A3327A">
      <w:pPr>
        <w:numPr>
          <w:ilvl w:val="0"/>
          <w:numId w:val="42"/>
        </w:numPr>
        <w:overflowPunct/>
        <w:autoSpaceDE/>
        <w:autoSpaceDN/>
        <w:adjustRightInd/>
        <w:spacing w:after="0"/>
        <w:textAlignment w:val="auto"/>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14:paraId="09C5371D" w14:textId="77777777" w:rsidR="00A3327A" w:rsidRPr="00B809F1" w:rsidRDefault="00A3327A" w:rsidP="00A3327A">
      <w:pPr>
        <w:numPr>
          <w:ilvl w:val="1"/>
          <w:numId w:val="42"/>
        </w:numPr>
        <w:overflowPunct/>
        <w:autoSpaceDE/>
        <w:autoSpaceDN/>
        <w:adjustRightInd/>
        <w:spacing w:after="0"/>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6DE0056F" w14:textId="77777777" w:rsidR="00A3327A" w:rsidRPr="00B809F1" w:rsidRDefault="00A3327A" w:rsidP="00A3327A">
      <w:pPr>
        <w:numPr>
          <w:ilvl w:val="0"/>
          <w:numId w:val="42"/>
        </w:numPr>
        <w:overflowPunct/>
        <w:autoSpaceDE/>
        <w:autoSpaceDN/>
        <w:adjustRightInd/>
        <w:spacing w:after="0"/>
        <w:textAlignment w:val="auto"/>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14:paraId="463D727A" w14:textId="77777777" w:rsidR="00A3327A" w:rsidRPr="008966EE" w:rsidRDefault="00A3327A" w:rsidP="00A3327A">
      <w:pPr>
        <w:numPr>
          <w:ilvl w:val="1"/>
          <w:numId w:val="42"/>
        </w:numPr>
        <w:overflowPunct/>
        <w:autoSpaceDE/>
        <w:autoSpaceDN/>
        <w:adjustRightInd/>
        <w:spacing w:after="0"/>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3E5D959A" w14:textId="77777777" w:rsidR="00A3327A" w:rsidRPr="008966EE" w:rsidRDefault="00A3327A" w:rsidP="00A3327A">
      <w:pPr>
        <w:numPr>
          <w:ilvl w:val="0"/>
          <w:numId w:val="42"/>
        </w:numPr>
        <w:overflowPunct/>
        <w:autoSpaceDE/>
        <w:autoSpaceDN/>
        <w:adjustRightInd/>
        <w:spacing w:after="0"/>
        <w:textAlignment w:val="auto"/>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14:paraId="27410246" w14:textId="77777777" w:rsidR="00A3327A" w:rsidRPr="00B809F1" w:rsidRDefault="00A3327A" w:rsidP="00A3327A">
      <w:pPr>
        <w:numPr>
          <w:ilvl w:val="1"/>
          <w:numId w:val="42"/>
        </w:numPr>
        <w:overflowPunct/>
        <w:autoSpaceDE/>
        <w:autoSpaceDN/>
        <w:adjustRightInd/>
        <w:spacing w:after="0"/>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0400FC4B" w14:textId="77777777" w:rsidR="00A3327A" w:rsidRPr="00B809F1" w:rsidRDefault="00A3327A" w:rsidP="00A3327A">
      <w:pPr>
        <w:numPr>
          <w:ilvl w:val="0"/>
          <w:numId w:val="42"/>
        </w:numPr>
        <w:overflowPunct/>
        <w:autoSpaceDE/>
        <w:autoSpaceDN/>
        <w:adjustRightInd/>
        <w:spacing w:after="0"/>
        <w:textAlignment w:val="auto"/>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14:paraId="34DB79F3" w14:textId="77777777" w:rsidR="00A3327A" w:rsidRDefault="00A3327A" w:rsidP="00A3327A">
      <w:pPr>
        <w:numPr>
          <w:ilvl w:val="1"/>
          <w:numId w:val="42"/>
        </w:numPr>
        <w:overflowPunct/>
        <w:autoSpaceDE/>
        <w:autoSpaceDN/>
        <w:adjustRightInd/>
        <w:spacing w:after="0"/>
        <w:textAlignment w:val="auto"/>
        <w:rPr>
          <w:rFonts w:eastAsia="MS Mincho"/>
          <w:lang w:eastAsia="ja-JP"/>
        </w:rPr>
      </w:pPr>
      <w:r>
        <w:rPr>
          <w:rFonts w:eastAsia="MS Mincho"/>
          <w:lang w:eastAsia="ja-JP"/>
        </w:rPr>
        <w:t xml:space="preserve">FFS the value for the </w:t>
      </w:r>
      <w:r w:rsidRPr="00B809F1">
        <w:rPr>
          <w:rFonts w:eastAsia="MS Mincho"/>
          <w:lang w:eastAsia="ja-JP"/>
        </w:rPr>
        <w:t>timing</w:t>
      </w:r>
    </w:p>
    <w:p w14:paraId="4138EF36" w14:textId="77777777" w:rsidR="00A3327A" w:rsidRDefault="00A3327A" w:rsidP="00EB6898">
      <w:pPr>
        <w:jc w:val="both"/>
        <w:rPr>
          <w:szCs w:val="22"/>
        </w:rPr>
      </w:pPr>
    </w:p>
    <w:p w14:paraId="1AA35406" w14:textId="51AB29FF" w:rsidR="00EB6898" w:rsidRDefault="00EB6898" w:rsidP="00EB6898">
      <w:pPr>
        <w:jc w:val="both"/>
        <w:rPr>
          <w:szCs w:val="22"/>
        </w:rPr>
      </w:pPr>
      <w:r>
        <w:rPr>
          <w:szCs w:val="22"/>
        </w:rPr>
        <w:t>In RAN1 #88bis meeting, there were further agreement and working assumption</w:t>
      </w:r>
      <w:r w:rsidR="007D0DEF">
        <w:rPr>
          <w:szCs w:val="22"/>
        </w:rPr>
        <w:t xml:space="preserve"> </w:t>
      </w:r>
      <w:r w:rsidR="007D0DEF">
        <w:rPr>
          <w:szCs w:val="22"/>
        </w:rPr>
        <w:fldChar w:fldCharType="begin"/>
      </w:r>
      <w:r w:rsidR="007D0DEF">
        <w:rPr>
          <w:szCs w:val="22"/>
        </w:rPr>
        <w:instrText xml:space="preserve"> REF _Ref485346913 \r \h </w:instrText>
      </w:r>
      <w:r w:rsidR="007D0DEF">
        <w:rPr>
          <w:szCs w:val="22"/>
        </w:rPr>
      </w:r>
      <w:r w:rsidR="007D0DEF">
        <w:rPr>
          <w:szCs w:val="22"/>
        </w:rPr>
        <w:fldChar w:fldCharType="separate"/>
      </w:r>
      <w:r w:rsidR="00A3327A">
        <w:rPr>
          <w:szCs w:val="22"/>
        </w:rPr>
        <w:fldChar w:fldCharType="begin"/>
      </w:r>
      <w:r w:rsidR="00A3327A">
        <w:rPr>
          <w:szCs w:val="22"/>
        </w:rPr>
        <w:instrText xml:space="preserve"> REF _Ref485407496 \r \h </w:instrText>
      </w:r>
      <w:r w:rsidR="00A3327A">
        <w:rPr>
          <w:szCs w:val="22"/>
        </w:rPr>
      </w:r>
      <w:r w:rsidR="00A3327A">
        <w:rPr>
          <w:szCs w:val="22"/>
        </w:rPr>
        <w:fldChar w:fldCharType="separate"/>
      </w:r>
      <w:r w:rsidR="00A3327A">
        <w:rPr>
          <w:szCs w:val="22"/>
        </w:rPr>
        <w:t>[8]</w:t>
      </w:r>
      <w:r w:rsidR="00A3327A">
        <w:rPr>
          <w:szCs w:val="22"/>
        </w:rPr>
        <w:fldChar w:fldCharType="end"/>
      </w:r>
      <w:r w:rsidR="007D0DEF">
        <w:rPr>
          <w:szCs w:val="22"/>
        </w:rPr>
        <w:fldChar w:fldCharType="end"/>
      </w:r>
      <w:r>
        <w:rPr>
          <w:szCs w:val="22"/>
        </w:rPr>
        <w:t>:</w:t>
      </w:r>
    </w:p>
    <w:p w14:paraId="06DB1FC2" w14:textId="77777777" w:rsidR="00EB6898" w:rsidRPr="00307852" w:rsidRDefault="00EB6898" w:rsidP="00EB6898">
      <w:pPr>
        <w:jc w:val="both"/>
        <w:rPr>
          <w:szCs w:val="22"/>
          <w:u w:val="single"/>
        </w:rPr>
      </w:pPr>
      <w:r w:rsidRPr="00307852">
        <w:rPr>
          <w:szCs w:val="22"/>
          <w:u w:val="single"/>
        </w:rPr>
        <w:t>Agreement:</w:t>
      </w:r>
    </w:p>
    <w:p w14:paraId="1F5E0416" w14:textId="77777777" w:rsidR="00EB6898" w:rsidRPr="00307852" w:rsidRDefault="00EB6898" w:rsidP="00EB6898">
      <w:pPr>
        <w:ind w:left="288"/>
        <w:jc w:val="both"/>
        <w:rPr>
          <w:szCs w:val="22"/>
        </w:rPr>
      </w:pPr>
      <w:r w:rsidRPr="00307852">
        <w:rPr>
          <w:szCs w:val="22"/>
        </w:rPr>
        <w:t>•</w:t>
      </w:r>
      <w:r w:rsidRPr="00307852">
        <w:rPr>
          <w:szCs w:val="22"/>
        </w:rPr>
        <w:tab/>
        <w:t>For single-carrier operation,</w:t>
      </w:r>
    </w:p>
    <w:p w14:paraId="74CF72B7" w14:textId="77777777" w:rsidR="00EB6898" w:rsidRPr="00307852" w:rsidRDefault="00EB6898" w:rsidP="00EB6898">
      <w:pPr>
        <w:ind w:left="576"/>
        <w:jc w:val="both"/>
        <w:rPr>
          <w:szCs w:val="22"/>
        </w:rPr>
      </w:pPr>
      <w:r w:rsidRPr="00307852">
        <w:rPr>
          <w:szCs w:val="22"/>
        </w:rPr>
        <w:t>–</w:t>
      </w:r>
      <w:r w:rsidRPr="00307852">
        <w:rPr>
          <w:szCs w:val="22"/>
        </w:rPr>
        <w:tab/>
        <w:t>UE is not required to receive any DL signals outside a frequency range A which is configured to the UE</w:t>
      </w:r>
    </w:p>
    <w:p w14:paraId="5570D58F" w14:textId="77777777" w:rsidR="00EB6898" w:rsidRPr="00307852" w:rsidRDefault="00EB6898" w:rsidP="00EB6898">
      <w:pPr>
        <w:ind w:left="864"/>
        <w:jc w:val="both"/>
        <w:rPr>
          <w:szCs w:val="22"/>
        </w:rPr>
      </w:pPr>
      <w:r w:rsidRPr="00307852">
        <w:rPr>
          <w:szCs w:val="22"/>
        </w:rPr>
        <w:t>•</w:t>
      </w:r>
      <w:r w:rsidRPr="00307852">
        <w:rPr>
          <w:szCs w:val="22"/>
        </w:rPr>
        <w:tab/>
        <w:t>The interruption time needed for frequency range change from frequency range A to a frequency range B is TBD</w:t>
      </w:r>
    </w:p>
    <w:p w14:paraId="64BDAB2F" w14:textId="77777777" w:rsidR="00EB6898" w:rsidRPr="00307852" w:rsidRDefault="00EB6898" w:rsidP="00EB6898">
      <w:pPr>
        <w:ind w:left="864"/>
        <w:jc w:val="both"/>
        <w:rPr>
          <w:szCs w:val="22"/>
        </w:rPr>
      </w:pPr>
      <w:r w:rsidRPr="00307852">
        <w:rPr>
          <w:szCs w:val="22"/>
        </w:rPr>
        <w:t>•</w:t>
      </w:r>
      <w:r w:rsidRPr="00307852">
        <w:rPr>
          <w:szCs w:val="22"/>
        </w:rPr>
        <w:tab/>
        <w:t>Frequency ranges A &amp; B may be different in BW and center frequency in a single carrier operation</w:t>
      </w:r>
    </w:p>
    <w:p w14:paraId="5B5D1AEA" w14:textId="77777777" w:rsidR="00EB6898" w:rsidRPr="00307852" w:rsidRDefault="00EB6898" w:rsidP="00EB6898">
      <w:pPr>
        <w:jc w:val="both"/>
        <w:rPr>
          <w:szCs w:val="22"/>
          <w:u w:val="single"/>
        </w:rPr>
      </w:pPr>
      <w:r w:rsidRPr="00307852">
        <w:rPr>
          <w:szCs w:val="22"/>
          <w:u w:val="single"/>
        </w:rPr>
        <w:t>Working assumption:</w:t>
      </w:r>
    </w:p>
    <w:p w14:paraId="1DDE71FB" w14:textId="77777777" w:rsidR="00EB6898" w:rsidRPr="00307852" w:rsidRDefault="00EB6898" w:rsidP="00EB6898">
      <w:pPr>
        <w:ind w:left="288"/>
        <w:jc w:val="both"/>
        <w:rPr>
          <w:szCs w:val="22"/>
        </w:rPr>
      </w:pPr>
      <w:r w:rsidRPr="00307852">
        <w:rPr>
          <w:szCs w:val="22"/>
        </w:rPr>
        <w:t>•</w:t>
      </w:r>
      <w:r w:rsidRPr="00307852">
        <w:rPr>
          <w:szCs w:val="22"/>
        </w:rPr>
        <w:tab/>
        <w:t>One or multiple bandwidth part configurations for each component carrier can be semi-statically signalled to a UE</w:t>
      </w:r>
    </w:p>
    <w:p w14:paraId="79C75E08" w14:textId="77777777" w:rsidR="00EB6898" w:rsidRPr="00307852" w:rsidRDefault="00EB6898" w:rsidP="00EB6898">
      <w:pPr>
        <w:ind w:left="576"/>
        <w:jc w:val="both"/>
        <w:rPr>
          <w:szCs w:val="22"/>
        </w:rPr>
      </w:pPr>
      <w:r w:rsidRPr="00307852">
        <w:rPr>
          <w:szCs w:val="22"/>
        </w:rPr>
        <w:t>–</w:t>
      </w:r>
      <w:r w:rsidRPr="00307852">
        <w:rPr>
          <w:szCs w:val="22"/>
        </w:rPr>
        <w:tab/>
        <w:t>A bandwidth part consists of a group of contiguous PRBs</w:t>
      </w:r>
    </w:p>
    <w:p w14:paraId="706F4D6B" w14:textId="77777777" w:rsidR="00EB6898" w:rsidRPr="00307852" w:rsidRDefault="00EB6898" w:rsidP="00EB6898">
      <w:pPr>
        <w:ind w:left="864"/>
        <w:jc w:val="both"/>
        <w:rPr>
          <w:szCs w:val="22"/>
        </w:rPr>
      </w:pPr>
      <w:r w:rsidRPr="00307852">
        <w:rPr>
          <w:szCs w:val="22"/>
        </w:rPr>
        <w:t>•</w:t>
      </w:r>
      <w:r w:rsidRPr="00307852">
        <w:rPr>
          <w:szCs w:val="22"/>
        </w:rPr>
        <w:tab/>
        <w:t>Reserved resources can be configured within the bandwidth part</w:t>
      </w:r>
    </w:p>
    <w:p w14:paraId="78F9ED17" w14:textId="77777777" w:rsidR="00EB6898" w:rsidRPr="00307852" w:rsidRDefault="00EB6898" w:rsidP="00EB6898">
      <w:pPr>
        <w:ind w:left="576"/>
        <w:jc w:val="both"/>
        <w:rPr>
          <w:szCs w:val="22"/>
        </w:rPr>
      </w:pPr>
      <w:r w:rsidRPr="00307852">
        <w:rPr>
          <w:szCs w:val="22"/>
        </w:rPr>
        <w:t>–</w:t>
      </w:r>
      <w:r w:rsidRPr="00307852">
        <w:rPr>
          <w:szCs w:val="22"/>
        </w:rPr>
        <w:tab/>
        <w:t>The bandwidth of a bandwidth part equals to or is smaller than the maximal bandwidth capability supported by a UE</w:t>
      </w:r>
    </w:p>
    <w:p w14:paraId="270988DD" w14:textId="77777777" w:rsidR="00EB6898" w:rsidRPr="00307852" w:rsidRDefault="00EB6898" w:rsidP="00EB6898">
      <w:pPr>
        <w:ind w:left="576"/>
        <w:jc w:val="both"/>
        <w:rPr>
          <w:szCs w:val="22"/>
        </w:rPr>
      </w:pPr>
      <w:r w:rsidRPr="00307852">
        <w:rPr>
          <w:szCs w:val="22"/>
        </w:rPr>
        <w:t>–</w:t>
      </w:r>
      <w:r w:rsidRPr="00307852">
        <w:rPr>
          <w:szCs w:val="22"/>
        </w:rPr>
        <w:tab/>
        <w:t>The bandwidth of a bandwidth part is at least as large as the SS block bandwidth</w:t>
      </w:r>
    </w:p>
    <w:p w14:paraId="33D4435A" w14:textId="77777777" w:rsidR="00EB6898" w:rsidRPr="00307852" w:rsidRDefault="00EB6898" w:rsidP="00EB6898">
      <w:pPr>
        <w:ind w:left="864"/>
        <w:jc w:val="both"/>
        <w:rPr>
          <w:szCs w:val="22"/>
        </w:rPr>
      </w:pPr>
      <w:r w:rsidRPr="00307852">
        <w:rPr>
          <w:szCs w:val="22"/>
        </w:rPr>
        <w:t>•</w:t>
      </w:r>
      <w:r w:rsidRPr="00307852">
        <w:rPr>
          <w:szCs w:val="22"/>
        </w:rPr>
        <w:tab/>
        <w:t>The bandwidth part may or may not contain the SS block</w:t>
      </w:r>
    </w:p>
    <w:p w14:paraId="7128AEF5" w14:textId="77777777" w:rsidR="00EB6898" w:rsidRPr="00307852" w:rsidRDefault="00EB6898" w:rsidP="00EB6898">
      <w:pPr>
        <w:ind w:left="576"/>
        <w:jc w:val="both"/>
        <w:rPr>
          <w:szCs w:val="22"/>
        </w:rPr>
      </w:pPr>
      <w:r w:rsidRPr="00307852">
        <w:rPr>
          <w:szCs w:val="22"/>
        </w:rPr>
        <w:t>–</w:t>
      </w:r>
      <w:r w:rsidRPr="00307852">
        <w:rPr>
          <w:szCs w:val="22"/>
        </w:rPr>
        <w:tab/>
        <w:t>Configuration of a bandwidth part may include the following properties</w:t>
      </w:r>
    </w:p>
    <w:p w14:paraId="40CCCFFC" w14:textId="77777777" w:rsidR="00EB6898" w:rsidRPr="00307852" w:rsidRDefault="00EB6898" w:rsidP="00EB6898">
      <w:pPr>
        <w:ind w:left="864"/>
        <w:jc w:val="both"/>
        <w:rPr>
          <w:szCs w:val="22"/>
        </w:rPr>
      </w:pPr>
      <w:r w:rsidRPr="00307852">
        <w:rPr>
          <w:szCs w:val="22"/>
        </w:rPr>
        <w:t>•</w:t>
      </w:r>
      <w:r w:rsidRPr="00307852">
        <w:rPr>
          <w:szCs w:val="22"/>
        </w:rPr>
        <w:tab/>
        <w:t>Numerology</w:t>
      </w:r>
    </w:p>
    <w:p w14:paraId="0C53CE71" w14:textId="77777777" w:rsidR="00EB6898" w:rsidRPr="00307852" w:rsidRDefault="00EB6898" w:rsidP="00EB6898">
      <w:pPr>
        <w:ind w:left="864"/>
        <w:jc w:val="both"/>
        <w:rPr>
          <w:szCs w:val="22"/>
        </w:rPr>
      </w:pPr>
      <w:r w:rsidRPr="00307852">
        <w:rPr>
          <w:szCs w:val="22"/>
        </w:rPr>
        <w:t>•</w:t>
      </w:r>
      <w:r w:rsidRPr="00307852">
        <w:rPr>
          <w:szCs w:val="22"/>
        </w:rPr>
        <w:tab/>
        <w:t>Frequency location (e.g. center frequency)</w:t>
      </w:r>
    </w:p>
    <w:p w14:paraId="06237B01" w14:textId="77777777" w:rsidR="00EB6898" w:rsidRPr="00307852" w:rsidRDefault="00EB6898" w:rsidP="00EB6898">
      <w:pPr>
        <w:ind w:left="864"/>
        <w:jc w:val="both"/>
        <w:rPr>
          <w:szCs w:val="22"/>
        </w:rPr>
      </w:pPr>
      <w:r w:rsidRPr="00307852">
        <w:rPr>
          <w:szCs w:val="22"/>
        </w:rPr>
        <w:t>•</w:t>
      </w:r>
      <w:r w:rsidRPr="00307852">
        <w:rPr>
          <w:szCs w:val="22"/>
        </w:rPr>
        <w:tab/>
        <w:t>Bandwidth (e.g. number of PRBs)</w:t>
      </w:r>
    </w:p>
    <w:p w14:paraId="1A328073" w14:textId="77777777" w:rsidR="00EB6898" w:rsidRPr="00307852" w:rsidRDefault="00EB6898" w:rsidP="00EB6898">
      <w:pPr>
        <w:ind w:left="576"/>
        <w:jc w:val="both"/>
        <w:rPr>
          <w:szCs w:val="22"/>
        </w:rPr>
      </w:pPr>
      <w:r w:rsidRPr="00307852">
        <w:rPr>
          <w:szCs w:val="22"/>
        </w:rPr>
        <w:t>–</w:t>
      </w:r>
      <w:r w:rsidRPr="00307852">
        <w:rPr>
          <w:szCs w:val="22"/>
        </w:rPr>
        <w:tab/>
        <w:t>Note that it is for RRC connected mode UE</w:t>
      </w:r>
    </w:p>
    <w:p w14:paraId="1E768044" w14:textId="77777777" w:rsidR="00EB6898" w:rsidRPr="00307852" w:rsidRDefault="00EB6898" w:rsidP="00EB6898">
      <w:pPr>
        <w:ind w:left="576"/>
        <w:jc w:val="both"/>
        <w:rPr>
          <w:szCs w:val="22"/>
        </w:rPr>
      </w:pPr>
      <w:r w:rsidRPr="00307852">
        <w:rPr>
          <w:szCs w:val="22"/>
        </w:rPr>
        <w:t>–</w:t>
      </w:r>
      <w:r w:rsidRPr="00307852">
        <w:rPr>
          <w:szCs w:val="22"/>
        </w:rPr>
        <w:tab/>
        <w:t>FFS how to indicate to the UE which bandwidth part configuration (if multiple) should be assumed for resource allocation at a given time</w:t>
      </w:r>
    </w:p>
    <w:p w14:paraId="7108B0C0" w14:textId="795FAE39" w:rsidR="00EB6898" w:rsidRDefault="00EB6898" w:rsidP="00EB6898">
      <w:pPr>
        <w:rPr>
          <w:szCs w:val="22"/>
        </w:rPr>
      </w:pPr>
      <w:r w:rsidRPr="00307852">
        <w:rPr>
          <w:szCs w:val="22"/>
        </w:rPr>
        <w:t>–</w:t>
      </w:r>
      <w:r w:rsidRPr="00307852">
        <w:rPr>
          <w:szCs w:val="22"/>
        </w:rPr>
        <w:tab/>
        <w:t>FFS neighbour cell RRM</w:t>
      </w:r>
    </w:p>
    <w:p w14:paraId="66ABAD20" w14:textId="77777777" w:rsidR="00EB6898" w:rsidRPr="00EB6898" w:rsidRDefault="00EB6898" w:rsidP="00EB6898">
      <w:pPr>
        <w:rPr>
          <w:lang w:val="en-GB"/>
        </w:rPr>
      </w:pPr>
    </w:p>
    <w:p w14:paraId="43B7F880" w14:textId="6FB3D734" w:rsidR="004503F9" w:rsidRPr="00183CB7" w:rsidRDefault="004503F9" w:rsidP="004503F9">
      <w:pPr>
        <w:pStyle w:val="Heading1"/>
      </w:pPr>
      <w:r w:rsidRPr="00183CB7">
        <w:t>Introduction</w:t>
      </w:r>
    </w:p>
    <w:p w14:paraId="65812C6C" w14:textId="623AE33A" w:rsidR="00307852" w:rsidRDefault="00307852" w:rsidP="00F32FE3">
      <w:pPr>
        <w:jc w:val="both"/>
        <w:rPr>
          <w:lang w:val="en-GB"/>
        </w:rPr>
      </w:pPr>
      <w:r>
        <w:rPr>
          <w:lang w:val="en-GB"/>
        </w:rPr>
        <w:t>Active state generally refers to the state of RRC-connected UE which is actively monitoring the DL control channel and is ready to receive DL data. Within the framework of DRX, it includes the ON duration and the time when the inactivity timer is counting and unexpired. UE could spend a great percentage of time slots monitoring PDCCH without receiving any data. Hence, power saving during active state is important for overall power efficiency of the UE.</w:t>
      </w:r>
    </w:p>
    <w:p w14:paraId="0420D656" w14:textId="0F58C4BA" w:rsidR="00307852" w:rsidRDefault="00307852" w:rsidP="00F32FE3">
      <w:pPr>
        <w:jc w:val="both"/>
        <w:rPr>
          <w:szCs w:val="22"/>
        </w:rPr>
      </w:pPr>
      <w:r>
        <w:rPr>
          <w:szCs w:val="22"/>
        </w:rPr>
        <w:t>In this contribution, we will discuss various power saving techniques that can be applied during UE’s active state. These includes: microsleep, cross-slot scheduling / advanced grant indication, bandwidth adaptation, PDCCH monitoring periodicity. These techniques can work together to improve power efficiency for the active state, and can be further incorporated into the C-DRX (Connected mode DRX) framework.</w:t>
      </w:r>
    </w:p>
    <w:p w14:paraId="6B67731E" w14:textId="77777777" w:rsidR="00307852" w:rsidRPr="0044173B" w:rsidRDefault="00307852" w:rsidP="004503F9">
      <w:pPr>
        <w:jc w:val="both"/>
        <w:rPr>
          <w:szCs w:val="22"/>
        </w:rPr>
      </w:pPr>
    </w:p>
    <w:p w14:paraId="0B3BE98D" w14:textId="7530FFE6" w:rsidR="0044173B" w:rsidRDefault="0047469A" w:rsidP="0047469A">
      <w:pPr>
        <w:pStyle w:val="Heading1"/>
      </w:pPr>
      <w:r>
        <w:t>Discussion</w:t>
      </w:r>
    </w:p>
    <w:p w14:paraId="266508F9" w14:textId="66FC9522" w:rsidR="008005BF" w:rsidRDefault="0047469A" w:rsidP="008005BF">
      <w:pPr>
        <w:pStyle w:val="Heading2"/>
      </w:pPr>
      <w:r>
        <w:t xml:space="preserve">Power </w:t>
      </w:r>
      <w:r w:rsidR="0099302C">
        <w:t>Saving</w:t>
      </w:r>
      <w:r w:rsidR="00AC53D7">
        <w:t xml:space="preserve"> </w:t>
      </w:r>
      <w:r w:rsidR="00D00511">
        <w:t>Techniques</w:t>
      </w:r>
    </w:p>
    <w:p w14:paraId="0D161239" w14:textId="5813EE3E" w:rsidR="008005BF" w:rsidRDefault="003448FC" w:rsidP="008005BF">
      <w:pPr>
        <w:pStyle w:val="Heading3"/>
      </w:pPr>
      <w:r>
        <w:t>Microsleep</w:t>
      </w:r>
    </w:p>
    <w:p w14:paraId="75A224D0" w14:textId="185D908B" w:rsidR="003448FC" w:rsidRDefault="003448FC" w:rsidP="003448FC">
      <w:pPr>
        <w:rPr>
          <w:lang w:val="en-GB"/>
        </w:rPr>
      </w:pPr>
      <w:r>
        <w:rPr>
          <w:lang w:val="en-GB"/>
        </w:rPr>
        <w:t>When UE’s workload is light, for example, when it only needs to process the DL control channel</w:t>
      </w:r>
      <w:r w:rsidR="00A84B43">
        <w:rPr>
          <w:lang w:val="en-GB"/>
        </w:rPr>
        <w:t xml:space="preserve"> without tight timeline constraint</w:t>
      </w:r>
      <w:r>
        <w:rPr>
          <w:lang w:val="en-GB"/>
        </w:rPr>
        <w:t>, typically the modem hardware can operate in low power mode</w:t>
      </w:r>
      <w:r w:rsidR="00C43121">
        <w:rPr>
          <w:lang w:val="en-GB"/>
        </w:rPr>
        <w:t>, by employing VLSI technique called dynamic clock and voltage scaling (DCVS)</w:t>
      </w:r>
      <w:r>
        <w:rPr>
          <w:lang w:val="en-GB"/>
        </w:rPr>
        <w:t xml:space="preserve">. Moreover, if the Rx samples for processing have already been buffered, the RF circuitry can be put into a sleep mode. Such low power / sleep mode, when applied to </w:t>
      </w:r>
      <w:r w:rsidR="00C43121">
        <w:rPr>
          <w:lang w:val="en-GB"/>
        </w:rPr>
        <w:t>a</w:t>
      </w:r>
      <w:r>
        <w:rPr>
          <w:lang w:val="en-GB"/>
        </w:rPr>
        <w:t xml:space="preserve"> time slot for which </w:t>
      </w:r>
      <w:r w:rsidR="00C43121">
        <w:rPr>
          <w:lang w:val="en-GB"/>
        </w:rPr>
        <w:t>no data has been scheduled</w:t>
      </w:r>
      <w:r>
        <w:rPr>
          <w:lang w:val="en-GB"/>
        </w:rPr>
        <w:t>, is called microsleep. It is an important power saving feature for LTE and likewise for NR.</w:t>
      </w:r>
    </w:p>
    <w:p w14:paraId="2DF700F5" w14:textId="15217F72" w:rsidR="00C43121" w:rsidRDefault="00C43121" w:rsidP="003448FC">
      <w:pPr>
        <w:rPr>
          <w:lang w:val="en-GB"/>
        </w:rPr>
      </w:pPr>
      <w:r>
        <w:rPr>
          <w:lang w:val="en-GB"/>
        </w:rPr>
        <w:t xml:space="preserve">However, the extent of power saving that can be achieved with microsleep for LTE is fairly limited. </w:t>
      </w:r>
      <w:r w:rsidR="0083556A">
        <w:rPr>
          <w:lang w:val="en-GB"/>
        </w:rPr>
        <w:t xml:space="preserve">First, due to </w:t>
      </w:r>
      <w:r w:rsidR="00A84B43">
        <w:rPr>
          <w:lang w:val="en-GB"/>
        </w:rPr>
        <w:t xml:space="preserve">short </w:t>
      </w:r>
      <w:r w:rsidR="0083556A">
        <w:rPr>
          <w:lang w:val="en-GB"/>
        </w:rPr>
        <w:t xml:space="preserve">time scale of the sleep, only fairly limited number of hardware blocks (e.g. RF circuitry) can be put into sleep mode; The entire modem cannot be put into sleep mode. Second, there is </w:t>
      </w:r>
      <w:r>
        <w:rPr>
          <w:lang w:val="en-GB"/>
        </w:rPr>
        <w:t xml:space="preserve">dependency on the same slot grant, which is not decoded until at least several symbols after the last DL control symbols. </w:t>
      </w:r>
      <w:r w:rsidR="0083556A">
        <w:rPr>
          <w:lang w:val="en-GB"/>
        </w:rPr>
        <w:t>For</w:t>
      </w:r>
      <w:r>
        <w:rPr>
          <w:lang w:val="en-GB"/>
        </w:rPr>
        <w:t xml:space="preserve"> NR, DL control channel decoding complexity is likely to be improved from LTE; However, given that the main use case for subcarrier spacing is likely to be 30kHz or higher, the slot duration is also going to be reduced to half of the subframe duration or even less. This poses challenges for the extent of power saving that microsleep can achieve.</w:t>
      </w:r>
    </w:p>
    <w:p w14:paraId="6EF174AA" w14:textId="2BD41548" w:rsidR="00C43121" w:rsidRDefault="00C43121" w:rsidP="003448FC">
      <w:pPr>
        <w:rPr>
          <w:lang w:val="en-GB"/>
        </w:rPr>
      </w:pPr>
      <w:r>
        <w:rPr>
          <w:lang w:val="en-GB"/>
        </w:rPr>
        <w:t>In the next section, ideas for improving the efficiency of microsleep is proposed.</w:t>
      </w:r>
    </w:p>
    <w:p w14:paraId="02413D0F" w14:textId="77777777" w:rsidR="006F311F" w:rsidRDefault="006F311F" w:rsidP="003448FC">
      <w:pPr>
        <w:rPr>
          <w:lang w:val="en-GB"/>
        </w:rPr>
      </w:pPr>
    </w:p>
    <w:p w14:paraId="7CFC41A2" w14:textId="05C8058D" w:rsidR="003448FC" w:rsidRPr="003448FC" w:rsidRDefault="00404815" w:rsidP="003448FC">
      <w:pPr>
        <w:pStyle w:val="Heading3"/>
      </w:pPr>
      <w:r>
        <w:t>Cross-Slot Scheduling /</w:t>
      </w:r>
      <w:r w:rsidR="003448FC">
        <w:t xml:space="preserve"> </w:t>
      </w:r>
      <w:r w:rsidR="00D90F7D">
        <w:t xml:space="preserve">Advanced </w:t>
      </w:r>
      <w:r w:rsidR="003448FC">
        <w:t>Grant Indication</w:t>
      </w:r>
    </w:p>
    <w:p w14:paraId="05262995" w14:textId="31040312" w:rsidR="00D90F7D" w:rsidRDefault="0083556A" w:rsidP="008005BF">
      <w:pPr>
        <w:rPr>
          <w:lang w:val="en-GB"/>
        </w:rPr>
      </w:pPr>
      <w:r>
        <w:rPr>
          <w:lang w:val="en-GB"/>
        </w:rPr>
        <w:t xml:space="preserve">If the grant can be transmitted one slot in advance, i.e. data assignment being cross-slot scheduled, DL control channel processing would not be in the critical timeline for microsleep decision. Suppose in Slot n, UE knows from decoding the PDCCH that there is no grant for the Slot n+1; During Slot n+1, it only needs to buffer up first few symbols containing the PDCCH, and can immediately go into microsleep for the rest of the slot. During microsleep in Slot n+1, the modem can still operate in low power mode and process the PDCCH based on the captured Rx samples. Overall, the duration achievable for microsleep would be close to the entire data portion of the slot. </w:t>
      </w:r>
      <w:r w:rsidR="00D90F7D">
        <w:rPr>
          <w:lang w:val="en-GB"/>
        </w:rPr>
        <w:t xml:space="preserve">Similar observation was also made in </w:t>
      </w:r>
      <w:r w:rsidR="00C6709F">
        <w:rPr>
          <w:lang w:val="en-GB"/>
        </w:rPr>
        <w:fldChar w:fldCharType="begin"/>
      </w:r>
      <w:r w:rsidR="00C6709F">
        <w:rPr>
          <w:lang w:val="en-GB"/>
        </w:rPr>
        <w:instrText xml:space="preserve"> REF _Ref485406800 \r \h </w:instrText>
      </w:r>
      <w:r w:rsidR="00C6709F">
        <w:rPr>
          <w:lang w:val="en-GB"/>
        </w:rPr>
      </w:r>
      <w:r w:rsidR="00C6709F">
        <w:rPr>
          <w:lang w:val="en-GB"/>
        </w:rPr>
        <w:fldChar w:fldCharType="separate"/>
      </w:r>
      <w:r w:rsidR="00A3327A">
        <w:rPr>
          <w:lang w:val="en-GB"/>
        </w:rPr>
        <w:t>[1]</w:t>
      </w:r>
      <w:r w:rsidR="00C6709F">
        <w:rPr>
          <w:lang w:val="en-GB"/>
        </w:rPr>
        <w:fldChar w:fldCharType="end"/>
      </w:r>
      <w:r w:rsidR="00C6709F">
        <w:rPr>
          <w:lang w:val="en-GB"/>
        </w:rPr>
        <w:fldChar w:fldCharType="begin"/>
      </w:r>
      <w:r w:rsidR="00C6709F">
        <w:rPr>
          <w:lang w:val="en-GB"/>
        </w:rPr>
        <w:instrText xml:space="preserve"> REF _Ref485406843 \r \h </w:instrText>
      </w:r>
      <w:r w:rsidR="00C6709F">
        <w:rPr>
          <w:lang w:val="en-GB"/>
        </w:rPr>
      </w:r>
      <w:r w:rsidR="00C6709F">
        <w:rPr>
          <w:lang w:val="en-GB"/>
        </w:rPr>
        <w:fldChar w:fldCharType="separate"/>
      </w:r>
      <w:r w:rsidR="00A3327A">
        <w:rPr>
          <w:lang w:val="en-GB"/>
        </w:rPr>
        <w:t>[2]</w:t>
      </w:r>
      <w:r w:rsidR="00C6709F">
        <w:rPr>
          <w:lang w:val="en-GB"/>
        </w:rPr>
        <w:fldChar w:fldCharType="end"/>
      </w:r>
      <w:r w:rsidR="00D90F7D">
        <w:rPr>
          <w:lang w:val="en-GB"/>
        </w:rPr>
        <w:t>.</w:t>
      </w:r>
    </w:p>
    <w:p w14:paraId="58DE33FF" w14:textId="4E227622" w:rsidR="0083556A" w:rsidRDefault="0083556A" w:rsidP="008005BF">
      <w:pPr>
        <w:rPr>
          <w:lang w:val="en-GB"/>
        </w:rPr>
      </w:pPr>
      <w:r>
        <w:rPr>
          <w:lang w:val="en-GB"/>
        </w:rPr>
        <w:t>In the following, the left figure illustrates microsleep with same-slot scheduling, and the right figure illustrates cross-slot scheduling. The shaded portion of the slot represents achievable microsleep duration.</w:t>
      </w:r>
      <w:r w:rsidR="004D4B4A">
        <w:rPr>
          <w:lang w:val="en-GB"/>
        </w:rPr>
        <w:t xml:space="preserve"> On both figures, the first slot can be ignored for microsleep comparison; The comparison should be for Slot n+1 and n+2.</w:t>
      </w:r>
    </w:p>
    <w:tbl>
      <w:tblPr>
        <w:tblStyle w:val="TableGrid"/>
        <w:tblW w:w="0" w:type="auto"/>
        <w:tblLook w:val="04A0" w:firstRow="1" w:lastRow="0" w:firstColumn="1" w:lastColumn="0" w:noHBand="0" w:noVBand="1"/>
      </w:tblPr>
      <w:tblGrid>
        <w:gridCol w:w="4981"/>
        <w:gridCol w:w="4981"/>
      </w:tblGrid>
      <w:tr w:rsidR="0083556A" w14:paraId="777B910E" w14:textId="77777777" w:rsidTr="00A0594E">
        <w:tc>
          <w:tcPr>
            <w:tcW w:w="4981" w:type="dxa"/>
          </w:tcPr>
          <w:p w14:paraId="05D9990B" w14:textId="77777777" w:rsidR="0083556A" w:rsidRDefault="0083556A" w:rsidP="00A0594E">
            <w:pPr>
              <w:rPr>
                <w:i/>
                <w:lang w:val="en-GB"/>
              </w:rPr>
            </w:pPr>
            <w:r w:rsidRPr="008005BF">
              <w:rPr>
                <w:i/>
                <w:noProof/>
              </w:rPr>
              <w:drawing>
                <wp:inline distT="0" distB="0" distL="0" distR="0" wp14:anchorId="5A78B61A" wp14:editId="63EEF290">
                  <wp:extent cx="2596896" cy="1527048"/>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2"/>
                          <a:stretch>
                            <a:fillRect/>
                          </a:stretch>
                        </pic:blipFill>
                        <pic:spPr>
                          <a:xfrm>
                            <a:off x="0" y="0"/>
                            <a:ext cx="2596896" cy="1527048"/>
                          </a:xfrm>
                          <a:prstGeom prst="rect">
                            <a:avLst/>
                          </a:prstGeom>
                        </pic:spPr>
                      </pic:pic>
                    </a:graphicData>
                  </a:graphic>
                </wp:inline>
              </w:drawing>
            </w:r>
          </w:p>
        </w:tc>
        <w:tc>
          <w:tcPr>
            <w:tcW w:w="4981" w:type="dxa"/>
          </w:tcPr>
          <w:p w14:paraId="07D0FCB6" w14:textId="77777777" w:rsidR="0083556A" w:rsidRDefault="0083556A" w:rsidP="00A0594E">
            <w:pPr>
              <w:rPr>
                <w:i/>
                <w:lang w:val="en-GB"/>
              </w:rPr>
            </w:pPr>
            <w:r w:rsidRPr="008005BF">
              <w:rPr>
                <w:i/>
                <w:noProof/>
              </w:rPr>
              <w:drawing>
                <wp:inline distT="0" distB="0" distL="0" distR="0" wp14:anchorId="60DC6676" wp14:editId="0253A925">
                  <wp:extent cx="2596896" cy="1527048"/>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3"/>
                          <a:stretch>
                            <a:fillRect/>
                          </a:stretch>
                        </pic:blipFill>
                        <pic:spPr>
                          <a:xfrm>
                            <a:off x="0" y="0"/>
                            <a:ext cx="2596896" cy="1527048"/>
                          </a:xfrm>
                          <a:prstGeom prst="rect">
                            <a:avLst/>
                          </a:prstGeom>
                        </pic:spPr>
                      </pic:pic>
                    </a:graphicData>
                  </a:graphic>
                </wp:inline>
              </w:drawing>
            </w:r>
          </w:p>
        </w:tc>
      </w:tr>
    </w:tbl>
    <w:p w14:paraId="0D1F4218" w14:textId="2875CADE" w:rsidR="0083556A" w:rsidRDefault="0083556A" w:rsidP="008005BF">
      <w:pPr>
        <w:rPr>
          <w:lang w:val="en-GB"/>
        </w:rPr>
      </w:pPr>
    </w:p>
    <w:p w14:paraId="4E2E6427" w14:textId="2163F4DA" w:rsidR="0083556A" w:rsidRDefault="0083556A" w:rsidP="008005BF">
      <w:pPr>
        <w:rPr>
          <w:lang w:val="en-GB"/>
        </w:rPr>
      </w:pPr>
      <w:r>
        <w:rPr>
          <w:lang w:val="en-GB"/>
        </w:rPr>
        <w:t xml:space="preserve">In </w:t>
      </w:r>
      <w:r w:rsidR="00A3327A">
        <w:rPr>
          <w:lang w:val="en-GB"/>
        </w:rPr>
        <w:t>RAN1</w:t>
      </w:r>
      <w:r>
        <w:rPr>
          <w:lang w:val="en-GB"/>
        </w:rPr>
        <w:t>#86</w:t>
      </w:r>
      <w:r w:rsidR="00A3327A">
        <w:rPr>
          <w:lang w:val="en-GB"/>
        </w:rPr>
        <w:t>bis</w:t>
      </w:r>
      <w:r>
        <w:rPr>
          <w:lang w:val="en-GB"/>
        </w:rPr>
        <w:t xml:space="preserve">, agreement has been made to support k0 &gt; 0, where k0 is the latency </w:t>
      </w:r>
      <w:r w:rsidR="00554545">
        <w:rPr>
          <w:lang w:val="en-GB"/>
        </w:rPr>
        <w:t xml:space="preserve">from the </w:t>
      </w:r>
      <w:r>
        <w:rPr>
          <w:lang w:val="en-GB"/>
        </w:rPr>
        <w:t xml:space="preserve">time slot </w:t>
      </w:r>
      <w:r w:rsidR="00554545">
        <w:rPr>
          <w:lang w:val="en-GB"/>
        </w:rPr>
        <w:t xml:space="preserve">containing </w:t>
      </w:r>
      <w:r>
        <w:rPr>
          <w:lang w:val="en-GB"/>
        </w:rPr>
        <w:t xml:space="preserve">the grant </w:t>
      </w:r>
      <w:r w:rsidR="00554545">
        <w:rPr>
          <w:lang w:val="en-GB"/>
        </w:rPr>
        <w:t xml:space="preserve">to </w:t>
      </w:r>
      <w:r>
        <w:rPr>
          <w:lang w:val="en-GB"/>
        </w:rPr>
        <w:t>the time sl</w:t>
      </w:r>
      <w:r w:rsidR="00554545">
        <w:rPr>
          <w:lang w:val="en-GB"/>
        </w:rPr>
        <w:t>ot containing the associated data</w:t>
      </w:r>
      <w:r w:rsidR="00A3327A">
        <w:rPr>
          <w:lang w:val="en-GB"/>
        </w:rPr>
        <w:t xml:space="preserve"> </w:t>
      </w:r>
      <w:r w:rsidR="00A3327A">
        <w:rPr>
          <w:lang w:val="en-GB"/>
        </w:rPr>
        <w:fldChar w:fldCharType="begin"/>
      </w:r>
      <w:r w:rsidR="00A3327A">
        <w:rPr>
          <w:lang w:val="en-GB"/>
        </w:rPr>
        <w:instrText xml:space="preserve"> REF _Ref477985001 \r \h </w:instrText>
      </w:r>
      <w:r w:rsidR="00A3327A">
        <w:rPr>
          <w:lang w:val="en-GB"/>
        </w:rPr>
      </w:r>
      <w:r w:rsidR="00A3327A">
        <w:rPr>
          <w:lang w:val="en-GB"/>
        </w:rPr>
        <w:fldChar w:fldCharType="separate"/>
      </w:r>
      <w:r w:rsidR="00A3327A">
        <w:rPr>
          <w:lang w:val="en-GB"/>
        </w:rPr>
        <w:t>[4]</w:t>
      </w:r>
      <w:r w:rsidR="00A3327A">
        <w:rPr>
          <w:lang w:val="en-GB"/>
        </w:rPr>
        <w:fldChar w:fldCharType="end"/>
      </w:r>
      <w:r>
        <w:rPr>
          <w:lang w:val="en-GB"/>
        </w:rPr>
        <w:t>. For LTE, k0=0. For NR, we propose that for power saving</w:t>
      </w:r>
      <w:r w:rsidR="00177B5E">
        <w:rPr>
          <w:lang w:val="en-GB"/>
        </w:rPr>
        <w:t xml:space="preserve"> during active state</w:t>
      </w:r>
      <w:r>
        <w:rPr>
          <w:lang w:val="en-GB"/>
        </w:rPr>
        <w:t>, k0 can be set to at least 1.</w:t>
      </w:r>
    </w:p>
    <w:p w14:paraId="6D1948AB" w14:textId="6C53930C" w:rsidR="0083556A" w:rsidRDefault="0083556A" w:rsidP="008005BF">
      <w:pPr>
        <w:rPr>
          <w:lang w:val="en-GB"/>
        </w:rPr>
      </w:pPr>
      <w:r>
        <w:rPr>
          <w:lang w:val="en-GB"/>
        </w:rPr>
        <w:t xml:space="preserve">It has been further agreed that k0 can be dynamically signalled. Therefore, quick transition </w:t>
      </w:r>
      <w:r w:rsidR="00554545">
        <w:rPr>
          <w:lang w:val="en-GB"/>
        </w:rPr>
        <w:t xml:space="preserve">with low overhead </w:t>
      </w:r>
      <w:r>
        <w:rPr>
          <w:lang w:val="en-GB"/>
        </w:rPr>
        <w:t>between cross-slot scheduling for power saving</w:t>
      </w:r>
      <w:r w:rsidR="00554545">
        <w:rPr>
          <w:lang w:val="en-GB"/>
        </w:rPr>
        <w:t xml:space="preserve"> (i.e. during periods of low data activity)</w:t>
      </w:r>
      <w:r>
        <w:rPr>
          <w:lang w:val="en-GB"/>
        </w:rPr>
        <w:t>, and same-slot scheduling for high performance mode (i.e. during periods of high data activity) can be an attainable goal.</w:t>
      </w:r>
    </w:p>
    <w:p w14:paraId="773EA6E1" w14:textId="6A31FC96" w:rsidR="008005BF" w:rsidRDefault="00554545" w:rsidP="00AE756B">
      <w:pPr>
        <w:rPr>
          <w:i/>
          <w:lang w:val="en-GB"/>
        </w:rPr>
      </w:pPr>
      <w:r>
        <w:rPr>
          <w:lang w:val="en-GB"/>
        </w:rPr>
        <w:t xml:space="preserve">Alternatively, advanced grant indication, which tells the UE whether a grant will be transmitted in a subsequent slot, can be used with actual grant being transmitted in the same slot as the data. Because UE can know in advance that no grant will be scheduled, the same benefits in terms of maximizing microsleep can be attained. </w:t>
      </w:r>
      <w:r w:rsidR="00765641">
        <w:rPr>
          <w:lang w:val="en-GB"/>
        </w:rPr>
        <w:t xml:space="preserve">Advanced grant indication is discussed more details in </w:t>
      </w:r>
      <w:r w:rsidR="00765641">
        <w:rPr>
          <w:lang w:val="en-GB"/>
        </w:rPr>
        <w:fldChar w:fldCharType="begin"/>
      </w:r>
      <w:r w:rsidR="00765641">
        <w:rPr>
          <w:lang w:val="en-GB"/>
        </w:rPr>
        <w:instrText xml:space="preserve"> REF _Ref485405192 \r \h </w:instrText>
      </w:r>
      <w:r w:rsidR="00765641">
        <w:rPr>
          <w:lang w:val="en-GB"/>
        </w:rPr>
      </w:r>
      <w:r w:rsidR="00765641">
        <w:rPr>
          <w:lang w:val="en-GB"/>
        </w:rPr>
        <w:fldChar w:fldCharType="separate"/>
      </w:r>
      <w:r w:rsidR="00A3327A">
        <w:rPr>
          <w:lang w:val="en-GB"/>
        </w:rPr>
        <w:t>[13]</w:t>
      </w:r>
      <w:r w:rsidR="00765641">
        <w:rPr>
          <w:lang w:val="en-GB"/>
        </w:rPr>
        <w:fldChar w:fldCharType="end"/>
      </w:r>
      <w:r w:rsidR="00765641">
        <w:rPr>
          <w:lang w:val="en-GB"/>
        </w:rPr>
        <w:t xml:space="preserve">. </w:t>
      </w:r>
    </w:p>
    <w:p w14:paraId="370E86B5" w14:textId="628FD6B1" w:rsidR="008005BF" w:rsidRDefault="008005BF" w:rsidP="008005BF">
      <w:pPr>
        <w:rPr>
          <w:lang w:val="en-GB"/>
        </w:rPr>
      </w:pPr>
    </w:p>
    <w:p w14:paraId="77839BE8" w14:textId="2F00F552" w:rsidR="00404815" w:rsidRDefault="00554545" w:rsidP="008005BF">
      <w:pPr>
        <w:rPr>
          <w:lang w:val="en-GB"/>
        </w:rPr>
      </w:pPr>
      <w:r w:rsidRPr="00554545">
        <w:rPr>
          <w:b/>
          <w:lang w:val="en-GB"/>
        </w:rPr>
        <w:t>Proposal</w:t>
      </w:r>
      <w:r w:rsidR="00404815">
        <w:rPr>
          <w:b/>
          <w:lang w:val="en-GB"/>
        </w:rPr>
        <w:t xml:space="preserve"> 1</w:t>
      </w:r>
      <w:r w:rsidRPr="00554545">
        <w:rPr>
          <w:b/>
          <w:lang w:val="en-GB"/>
        </w:rPr>
        <w:t>:</w:t>
      </w:r>
      <w:r>
        <w:rPr>
          <w:lang w:val="en-GB"/>
        </w:rPr>
        <w:t xml:space="preserve"> </w:t>
      </w:r>
      <w:r w:rsidR="001D711F">
        <w:rPr>
          <w:lang w:val="en-GB"/>
        </w:rPr>
        <w:t>C</w:t>
      </w:r>
      <w:r>
        <w:rPr>
          <w:lang w:val="en-GB"/>
        </w:rPr>
        <w:t xml:space="preserve">ross-slot scheduling </w:t>
      </w:r>
      <w:r w:rsidR="00404815">
        <w:rPr>
          <w:lang w:val="en-GB"/>
        </w:rPr>
        <w:t xml:space="preserve">(or alternate approach using advanced grant indication) </w:t>
      </w:r>
      <w:r w:rsidR="00B01856">
        <w:rPr>
          <w:lang w:val="en-GB"/>
        </w:rPr>
        <w:t xml:space="preserve">can </w:t>
      </w:r>
      <w:r>
        <w:rPr>
          <w:lang w:val="en-GB"/>
        </w:rPr>
        <w:t>impro</w:t>
      </w:r>
      <w:r w:rsidR="001D711F">
        <w:rPr>
          <w:lang w:val="en-GB"/>
        </w:rPr>
        <w:t>ve the efficiency of microsleep</w:t>
      </w:r>
      <w:r w:rsidR="00B01856">
        <w:rPr>
          <w:lang w:val="en-GB"/>
        </w:rPr>
        <w:t xml:space="preserve">, and should be considered </w:t>
      </w:r>
      <w:r w:rsidR="0061542F">
        <w:rPr>
          <w:lang w:val="en-GB"/>
        </w:rPr>
        <w:t xml:space="preserve">as a power saving </w:t>
      </w:r>
      <w:r w:rsidR="00E337E1">
        <w:rPr>
          <w:lang w:val="en-GB"/>
        </w:rPr>
        <w:t>mode</w:t>
      </w:r>
      <w:r w:rsidR="0061542F">
        <w:rPr>
          <w:lang w:val="en-GB"/>
        </w:rPr>
        <w:t xml:space="preserve"> </w:t>
      </w:r>
      <w:r w:rsidR="00B01856">
        <w:rPr>
          <w:lang w:val="en-GB"/>
        </w:rPr>
        <w:t>for NR</w:t>
      </w:r>
      <w:r w:rsidR="001D711F">
        <w:rPr>
          <w:lang w:val="en-GB"/>
        </w:rPr>
        <w:t>.</w:t>
      </w:r>
    </w:p>
    <w:p w14:paraId="097B2E1B" w14:textId="27CDE2A3" w:rsidR="00404815" w:rsidRPr="00404815" w:rsidRDefault="00404815" w:rsidP="008005BF">
      <w:pPr>
        <w:rPr>
          <w:lang w:val="en-GB"/>
        </w:rPr>
      </w:pPr>
      <w:r>
        <w:rPr>
          <w:lang w:val="en-GB"/>
        </w:rPr>
        <w:tab/>
      </w:r>
      <w:r>
        <w:rPr>
          <w:lang w:val="en-GB"/>
        </w:rPr>
        <w:tab/>
        <w:t>FFS: Adopting advanced grant indication instead of cross-slot grant</w:t>
      </w:r>
    </w:p>
    <w:p w14:paraId="432C3C90" w14:textId="51ACFDCC" w:rsidR="00554545" w:rsidRDefault="004871CB" w:rsidP="008005BF">
      <w:pPr>
        <w:rPr>
          <w:lang w:val="en-GB"/>
        </w:rPr>
      </w:pPr>
      <w:r w:rsidRPr="004871CB">
        <w:rPr>
          <w:b/>
          <w:lang w:val="en-GB"/>
        </w:rPr>
        <w:t>Proposal</w:t>
      </w:r>
      <w:r w:rsidR="00404815">
        <w:rPr>
          <w:b/>
          <w:lang w:val="en-GB"/>
        </w:rPr>
        <w:t xml:space="preserve"> 2</w:t>
      </w:r>
      <w:r w:rsidRPr="004871CB">
        <w:rPr>
          <w:b/>
          <w:lang w:val="en-GB"/>
        </w:rPr>
        <w:t>:</w:t>
      </w:r>
      <w:r>
        <w:rPr>
          <w:lang w:val="en-GB"/>
        </w:rPr>
        <w:t xml:space="preserve"> </w:t>
      </w:r>
      <w:r w:rsidR="00011936">
        <w:rPr>
          <w:lang w:val="en-GB"/>
        </w:rPr>
        <w:t>T</w:t>
      </w:r>
      <w:r w:rsidR="00404815">
        <w:rPr>
          <w:lang w:val="en-GB"/>
        </w:rPr>
        <w:t>r</w:t>
      </w:r>
      <w:r w:rsidR="00011936">
        <w:rPr>
          <w:lang w:val="en-GB"/>
        </w:rPr>
        <w:t xml:space="preserve">ansition </w:t>
      </w:r>
      <w:r w:rsidR="00175A05">
        <w:rPr>
          <w:lang w:val="en-GB"/>
        </w:rPr>
        <w:t>between cross-slot and same-slot scheduling</w:t>
      </w:r>
      <w:r w:rsidR="00177B5E">
        <w:rPr>
          <w:lang w:val="en-GB"/>
        </w:rPr>
        <w:t xml:space="preserve"> should be based on dynamic </w:t>
      </w:r>
      <w:r w:rsidR="009F55BB">
        <w:rPr>
          <w:lang w:val="en-GB"/>
        </w:rPr>
        <w:t xml:space="preserve">L1 </w:t>
      </w:r>
      <w:r w:rsidR="00920351">
        <w:rPr>
          <w:lang w:val="en-GB"/>
        </w:rPr>
        <w:t>signaling, or conditions derived from such signalling.</w:t>
      </w:r>
    </w:p>
    <w:p w14:paraId="552E6615" w14:textId="4FC1482E" w:rsidR="00585C83" w:rsidRDefault="00585C83" w:rsidP="0047469A">
      <w:pPr>
        <w:pStyle w:val="Heading2"/>
        <w:numPr>
          <w:ilvl w:val="0"/>
          <w:numId w:val="0"/>
        </w:numPr>
      </w:pPr>
    </w:p>
    <w:p w14:paraId="7507E2CB" w14:textId="6320266C" w:rsidR="00585C83" w:rsidRDefault="0047469A" w:rsidP="00585C83">
      <w:pPr>
        <w:pStyle w:val="Heading3"/>
      </w:pPr>
      <w:r>
        <w:t>Bandwidth Adaptation</w:t>
      </w:r>
    </w:p>
    <w:p w14:paraId="0812BF03" w14:textId="71AB2930" w:rsidR="00B0785E" w:rsidRDefault="00575B75" w:rsidP="006810A8">
      <w:pPr>
        <w:rPr>
          <w:lang w:val="en-GB"/>
        </w:rPr>
      </w:pPr>
      <w:r>
        <w:rPr>
          <w:lang w:val="en-GB"/>
        </w:rPr>
        <w:t xml:space="preserve">In </w:t>
      </w:r>
      <w:r w:rsidR="00404815">
        <w:rPr>
          <w:lang w:val="en-GB"/>
        </w:rPr>
        <w:t>RAN1</w:t>
      </w:r>
      <w:r>
        <w:rPr>
          <w:lang w:val="en-GB"/>
        </w:rPr>
        <w:t>#86bis, the idea of receiving in a smaller RF bandwidth for DL control information was agreed</w:t>
      </w:r>
      <w:r w:rsidR="00404815">
        <w:rPr>
          <w:lang w:val="en-GB"/>
        </w:rPr>
        <w:t xml:space="preserve"> </w:t>
      </w:r>
      <w:r w:rsidR="00404815">
        <w:rPr>
          <w:lang w:val="en-GB"/>
        </w:rPr>
        <w:fldChar w:fldCharType="begin"/>
      </w:r>
      <w:r w:rsidR="00404815">
        <w:rPr>
          <w:lang w:val="en-GB"/>
        </w:rPr>
        <w:instrText xml:space="preserve"> REF _Ref477985001 \r \h </w:instrText>
      </w:r>
      <w:r w:rsidR="00404815">
        <w:rPr>
          <w:lang w:val="en-GB"/>
        </w:rPr>
      </w:r>
      <w:r w:rsidR="00404815">
        <w:rPr>
          <w:lang w:val="en-GB"/>
        </w:rPr>
        <w:fldChar w:fldCharType="separate"/>
      </w:r>
      <w:r w:rsidR="00A3327A">
        <w:rPr>
          <w:lang w:val="en-GB"/>
        </w:rPr>
        <w:t>[4]</w:t>
      </w:r>
      <w:r w:rsidR="00404815">
        <w:rPr>
          <w:lang w:val="en-GB"/>
        </w:rPr>
        <w:fldChar w:fldCharType="end"/>
      </w:r>
      <w:r>
        <w:rPr>
          <w:lang w:val="en-GB"/>
        </w:rPr>
        <w:t xml:space="preserve">. In </w:t>
      </w:r>
      <w:r w:rsidR="00404815">
        <w:rPr>
          <w:lang w:val="en-GB"/>
        </w:rPr>
        <w:t>RAN1</w:t>
      </w:r>
      <w:r>
        <w:rPr>
          <w:lang w:val="en-GB"/>
        </w:rPr>
        <w:t>#88bis, there has been further agreements on bandwidth adaptation</w:t>
      </w:r>
      <w:r w:rsidR="00404815">
        <w:rPr>
          <w:lang w:val="en-GB"/>
        </w:rPr>
        <w:t xml:space="preserve"> </w:t>
      </w:r>
      <w:r w:rsidR="00404815">
        <w:rPr>
          <w:lang w:val="en-GB"/>
        </w:rPr>
        <w:fldChar w:fldCharType="begin"/>
      </w:r>
      <w:r w:rsidR="00404815">
        <w:rPr>
          <w:lang w:val="en-GB"/>
        </w:rPr>
        <w:instrText xml:space="preserve"> REF _Ref485346913 \r \h </w:instrText>
      </w:r>
      <w:r w:rsidR="00404815">
        <w:rPr>
          <w:lang w:val="en-GB"/>
        </w:rPr>
      </w:r>
      <w:r w:rsidR="00404815">
        <w:rPr>
          <w:lang w:val="en-GB"/>
        </w:rPr>
        <w:fldChar w:fldCharType="separate"/>
      </w:r>
      <w:r w:rsidR="00A3327A">
        <w:rPr>
          <w:lang w:val="en-GB"/>
        </w:rPr>
        <w:t>[7]</w:t>
      </w:r>
      <w:r w:rsidR="00404815">
        <w:rPr>
          <w:lang w:val="en-GB"/>
        </w:rPr>
        <w:fldChar w:fldCharType="end"/>
      </w:r>
      <w:r>
        <w:rPr>
          <w:lang w:val="en-GB"/>
        </w:rPr>
        <w:t>. Further definition of CORESET supports localized span in frequency facilitating DL control information monitoring w</w:t>
      </w:r>
      <w:r w:rsidR="00404815">
        <w:rPr>
          <w:lang w:val="en-GB"/>
        </w:rPr>
        <w:t xml:space="preserve">ith a smaller RF bandwidth. In </w:t>
      </w:r>
      <w:r w:rsidR="00404815">
        <w:rPr>
          <w:lang w:val="en-GB"/>
        </w:rPr>
        <w:fldChar w:fldCharType="begin"/>
      </w:r>
      <w:r w:rsidR="00404815">
        <w:rPr>
          <w:lang w:val="en-GB"/>
        </w:rPr>
        <w:instrText xml:space="preserve"> REF _Ref485347013 \r \h </w:instrText>
      </w:r>
      <w:r w:rsidR="00404815">
        <w:rPr>
          <w:lang w:val="en-GB"/>
        </w:rPr>
      </w:r>
      <w:r w:rsidR="00404815">
        <w:rPr>
          <w:lang w:val="en-GB"/>
        </w:rPr>
        <w:fldChar w:fldCharType="separate"/>
      </w:r>
      <w:r w:rsidR="00A3327A">
        <w:rPr>
          <w:lang w:val="en-GB"/>
        </w:rPr>
        <w:t>[3]</w:t>
      </w:r>
      <w:r w:rsidR="00404815">
        <w:rPr>
          <w:lang w:val="en-GB"/>
        </w:rPr>
        <w:fldChar w:fldCharType="end"/>
      </w:r>
      <w:r>
        <w:rPr>
          <w:lang w:val="en-GB"/>
        </w:rPr>
        <w:t>, the idea of using narrower bandwidth for control channel monitoring, and wider bandwidth for data reception, was introduced.</w:t>
      </w:r>
      <w:r w:rsidR="00404815">
        <w:rPr>
          <w:lang w:val="en-GB"/>
        </w:rPr>
        <w:t xml:space="preserve"> It is further developed in </w:t>
      </w:r>
      <w:r w:rsidR="00404815">
        <w:rPr>
          <w:lang w:val="en-GB"/>
        </w:rPr>
        <w:fldChar w:fldCharType="begin"/>
      </w:r>
      <w:r w:rsidR="00404815">
        <w:rPr>
          <w:lang w:val="en-GB"/>
        </w:rPr>
        <w:instrText xml:space="preserve"> REF _Ref485347039 \r \h </w:instrText>
      </w:r>
      <w:r w:rsidR="00404815">
        <w:rPr>
          <w:lang w:val="en-GB"/>
        </w:rPr>
      </w:r>
      <w:r w:rsidR="00404815">
        <w:rPr>
          <w:lang w:val="en-GB"/>
        </w:rPr>
        <w:fldChar w:fldCharType="separate"/>
      </w:r>
      <w:r w:rsidR="00A3327A">
        <w:rPr>
          <w:lang w:val="en-GB"/>
        </w:rPr>
        <w:t>[5]</w:t>
      </w:r>
      <w:r w:rsidR="00404815">
        <w:rPr>
          <w:lang w:val="en-GB"/>
        </w:rPr>
        <w:fldChar w:fldCharType="end"/>
      </w:r>
      <w:r w:rsidR="00404815">
        <w:rPr>
          <w:lang w:val="en-GB"/>
        </w:rPr>
        <w:fldChar w:fldCharType="begin"/>
      </w:r>
      <w:r w:rsidR="00404815">
        <w:rPr>
          <w:lang w:val="en-GB"/>
        </w:rPr>
        <w:instrText xml:space="preserve"> REF _Ref485347151 \r \h </w:instrText>
      </w:r>
      <w:r w:rsidR="00404815">
        <w:rPr>
          <w:lang w:val="en-GB"/>
        </w:rPr>
      </w:r>
      <w:r w:rsidR="00404815">
        <w:rPr>
          <w:lang w:val="en-GB"/>
        </w:rPr>
        <w:fldChar w:fldCharType="separate"/>
      </w:r>
      <w:r w:rsidR="00A3327A">
        <w:rPr>
          <w:lang w:val="en-GB"/>
        </w:rPr>
        <w:t>[6]</w:t>
      </w:r>
      <w:r w:rsidR="00404815">
        <w:rPr>
          <w:lang w:val="en-GB"/>
        </w:rPr>
        <w:fldChar w:fldCharType="end"/>
      </w:r>
      <w:r w:rsidR="00404815">
        <w:rPr>
          <w:lang w:val="en-GB"/>
        </w:rPr>
        <w:t xml:space="preserve"> submitted in RAN1#87, and in </w:t>
      </w:r>
      <w:r w:rsidR="00404815">
        <w:rPr>
          <w:lang w:val="en-GB"/>
        </w:rPr>
        <w:fldChar w:fldCharType="begin"/>
      </w:r>
      <w:r w:rsidR="00404815">
        <w:rPr>
          <w:lang w:val="en-GB"/>
        </w:rPr>
        <w:instrText xml:space="preserve"> REF _Ref485347363 \r \h </w:instrText>
      </w:r>
      <w:r w:rsidR="00404815">
        <w:rPr>
          <w:lang w:val="en-GB"/>
        </w:rPr>
      </w:r>
      <w:r w:rsidR="00404815">
        <w:rPr>
          <w:lang w:val="en-GB"/>
        </w:rPr>
        <w:fldChar w:fldCharType="separate"/>
      </w:r>
      <w:r w:rsidR="00A3327A">
        <w:rPr>
          <w:lang w:val="en-GB"/>
        </w:rPr>
        <w:t>[11]</w:t>
      </w:r>
      <w:r w:rsidR="00404815">
        <w:rPr>
          <w:lang w:val="en-GB"/>
        </w:rPr>
        <w:fldChar w:fldCharType="end"/>
      </w:r>
      <w:r w:rsidR="00404815">
        <w:rPr>
          <w:lang w:val="en-GB"/>
        </w:rPr>
        <w:fldChar w:fldCharType="begin"/>
      </w:r>
      <w:r w:rsidR="00404815">
        <w:rPr>
          <w:lang w:val="en-GB"/>
        </w:rPr>
        <w:instrText xml:space="preserve"> REF _Ref485347373 \r \h </w:instrText>
      </w:r>
      <w:r w:rsidR="00404815">
        <w:rPr>
          <w:lang w:val="en-GB"/>
        </w:rPr>
      </w:r>
      <w:r w:rsidR="00404815">
        <w:rPr>
          <w:lang w:val="en-GB"/>
        </w:rPr>
        <w:fldChar w:fldCharType="separate"/>
      </w:r>
      <w:r w:rsidR="00A3327A">
        <w:rPr>
          <w:lang w:val="en-GB"/>
        </w:rPr>
        <w:t>[12]</w:t>
      </w:r>
      <w:r w:rsidR="00404815">
        <w:rPr>
          <w:lang w:val="en-GB"/>
        </w:rPr>
        <w:fldChar w:fldCharType="end"/>
      </w:r>
      <w:r w:rsidR="00404815">
        <w:rPr>
          <w:lang w:val="en-GB"/>
        </w:rPr>
        <w:t xml:space="preserve"> submitted in RAN1#89</w:t>
      </w:r>
      <w:r>
        <w:rPr>
          <w:lang w:val="en-GB"/>
        </w:rPr>
        <w:t>.</w:t>
      </w:r>
    </w:p>
    <w:p w14:paraId="571D07A6" w14:textId="2294D855" w:rsidR="00575B75" w:rsidRDefault="00575B75" w:rsidP="006810A8">
      <w:pPr>
        <w:rPr>
          <w:lang w:val="en-GB"/>
        </w:rPr>
      </w:pPr>
      <w:r>
        <w:rPr>
          <w:lang w:val="en-GB"/>
        </w:rPr>
        <w:t>One issue with bandwidth adaptation is the RF transition time. Based on RAN4</w:t>
      </w:r>
      <w:r w:rsidR="00EA5DDD">
        <w:rPr>
          <w:lang w:val="en-GB"/>
        </w:rPr>
        <w:t xml:space="preserve">’s </w:t>
      </w:r>
      <w:r w:rsidR="00956672">
        <w:rPr>
          <w:lang w:val="en-GB"/>
        </w:rPr>
        <w:t>reply</w:t>
      </w:r>
      <w:r w:rsidR="00EA5DDD">
        <w:rPr>
          <w:lang w:val="en-GB"/>
        </w:rPr>
        <w:t xml:space="preserve"> LS</w:t>
      </w:r>
      <w:r w:rsidR="00956672">
        <w:rPr>
          <w:lang w:val="en-GB"/>
        </w:rPr>
        <w:t xml:space="preserve"> </w:t>
      </w:r>
      <w:r w:rsidR="00956672">
        <w:rPr>
          <w:lang w:val="en-GB"/>
        </w:rPr>
        <w:fldChar w:fldCharType="begin"/>
      </w:r>
      <w:r w:rsidR="00956672">
        <w:rPr>
          <w:lang w:val="en-GB"/>
        </w:rPr>
        <w:instrText xml:space="preserve"> REF _Ref485347451 \r \h </w:instrText>
      </w:r>
      <w:r w:rsidR="00956672">
        <w:rPr>
          <w:lang w:val="en-GB"/>
        </w:rPr>
      </w:r>
      <w:r w:rsidR="00956672">
        <w:rPr>
          <w:lang w:val="en-GB"/>
        </w:rPr>
        <w:fldChar w:fldCharType="separate"/>
      </w:r>
      <w:r w:rsidR="00A3327A">
        <w:rPr>
          <w:lang w:val="en-GB"/>
        </w:rPr>
        <w:t>[9]</w:t>
      </w:r>
      <w:r w:rsidR="00956672">
        <w:rPr>
          <w:lang w:val="en-GB"/>
        </w:rPr>
        <w:fldChar w:fldCharType="end"/>
      </w:r>
      <w:r>
        <w:rPr>
          <w:lang w:val="en-GB"/>
        </w:rPr>
        <w:t>, the transition time has been determined to be within 50 to 200 microseconds for the case where both the bandwidth and center frequency change, while remaining in the same band. For bandwidth-only change, the transition time is shorter (&lt;20 microsecond</w:t>
      </w:r>
      <w:r w:rsidR="00EA5DDD">
        <w:rPr>
          <w:lang w:val="en-GB"/>
        </w:rPr>
        <w:t>s</w:t>
      </w:r>
      <w:r>
        <w:rPr>
          <w:lang w:val="en-GB"/>
        </w:rPr>
        <w:t>), but we view that restricting the same center frequency for bandwidth adaptation may be sacrifice resource allocation flexibility too much. In the following, the design with both bandwidth and center frequency change (within the same band) is considered.</w:t>
      </w:r>
    </w:p>
    <w:p w14:paraId="0600047B" w14:textId="6F2ABBC0" w:rsidR="00575B75" w:rsidRDefault="00575B8E" w:rsidP="006810A8">
      <w:pPr>
        <w:rPr>
          <w:lang w:val="en-GB"/>
        </w:rPr>
      </w:pPr>
      <w:r>
        <w:rPr>
          <w:lang w:val="en-GB"/>
        </w:rPr>
        <w:t>In RAN1#88bis, i</w:t>
      </w:r>
      <w:r w:rsidR="00575B75">
        <w:rPr>
          <w:lang w:val="en-GB"/>
        </w:rPr>
        <w:t xml:space="preserve">t has been </w:t>
      </w:r>
      <w:r>
        <w:rPr>
          <w:lang w:val="en-GB"/>
        </w:rPr>
        <w:t xml:space="preserve">agreed to be the working assumption </w:t>
      </w:r>
      <w:r w:rsidR="00575B75">
        <w:rPr>
          <w:lang w:val="en-GB"/>
        </w:rPr>
        <w:t>that bandwidth adaptation can be based on semi-static signalling</w:t>
      </w:r>
      <w:r>
        <w:rPr>
          <w:lang w:val="en-GB"/>
        </w:rPr>
        <w:t xml:space="preserve"> </w:t>
      </w:r>
      <w:r>
        <w:rPr>
          <w:lang w:val="en-GB"/>
        </w:rPr>
        <w:fldChar w:fldCharType="begin"/>
      </w:r>
      <w:r>
        <w:rPr>
          <w:lang w:val="en-GB"/>
        </w:rPr>
        <w:instrText xml:space="preserve"> REF _Ref485346913 \r \h </w:instrText>
      </w:r>
      <w:r>
        <w:rPr>
          <w:lang w:val="en-GB"/>
        </w:rPr>
      </w:r>
      <w:r>
        <w:rPr>
          <w:lang w:val="en-GB"/>
        </w:rPr>
        <w:fldChar w:fldCharType="separate"/>
      </w:r>
      <w:r w:rsidR="00A3327A">
        <w:rPr>
          <w:lang w:val="en-GB"/>
        </w:rPr>
        <w:t>[7]</w:t>
      </w:r>
      <w:r>
        <w:rPr>
          <w:lang w:val="en-GB"/>
        </w:rPr>
        <w:fldChar w:fldCharType="end"/>
      </w:r>
      <w:r w:rsidR="00575B75">
        <w:rPr>
          <w:lang w:val="en-GB"/>
        </w:rPr>
        <w:t>. Our view is that while semi-static signalling (either through L3 RRC configuration or L2 MAC CE signalling) can be useful and essential for configuration of the bandwidth parts (i.e. the center frequency and bandwidth for the “first” and “second” bandwidth, or Bandwidth A and B in above agreements), the switching between different bandwidth configurations should be based on dynamic signalling (i.e. L1 signalling based on DCI). If only semi-static signalling is available, the following drawbacks cannot be circumvented:</w:t>
      </w:r>
    </w:p>
    <w:p w14:paraId="71F0A1B1" w14:textId="39B61AB7" w:rsidR="00575B75" w:rsidRPr="006F311F" w:rsidRDefault="00575B75" w:rsidP="00575B75">
      <w:pPr>
        <w:pStyle w:val="ListParagraph"/>
        <w:numPr>
          <w:ilvl w:val="0"/>
          <w:numId w:val="36"/>
        </w:numPr>
        <w:rPr>
          <w:lang w:val="en-GB"/>
        </w:rPr>
      </w:pPr>
      <w:r w:rsidRPr="006F311F">
        <w:rPr>
          <w:lang w:val="en-GB"/>
        </w:rPr>
        <w:t>L2 MAC CE signalling incurs higher latency compared to L1 signaling (DCI-based)</w:t>
      </w:r>
    </w:p>
    <w:p w14:paraId="3777FEDC" w14:textId="77777777" w:rsidR="00575B75" w:rsidRPr="006F311F" w:rsidRDefault="00575B75" w:rsidP="00575B75">
      <w:pPr>
        <w:pStyle w:val="ListParagraph"/>
        <w:numPr>
          <w:ilvl w:val="1"/>
          <w:numId w:val="36"/>
        </w:numPr>
        <w:rPr>
          <w:lang w:val="en-GB"/>
        </w:rPr>
      </w:pPr>
      <w:r w:rsidRPr="006F311F">
        <w:rPr>
          <w:lang w:val="en-GB"/>
        </w:rPr>
        <w:t>Also signalling resource overhead is high, which would discourage switching frequently</w:t>
      </w:r>
    </w:p>
    <w:p w14:paraId="117905A2" w14:textId="77777777" w:rsidR="00575B75" w:rsidRPr="006F311F" w:rsidRDefault="00575B75" w:rsidP="00575B75">
      <w:pPr>
        <w:pStyle w:val="ListParagraph"/>
        <w:numPr>
          <w:ilvl w:val="0"/>
          <w:numId w:val="36"/>
        </w:numPr>
        <w:rPr>
          <w:lang w:val="en-GB"/>
        </w:rPr>
      </w:pPr>
      <w:r w:rsidRPr="006F311F">
        <w:rPr>
          <w:lang w:val="en-GB"/>
        </w:rPr>
        <w:t>In a loaded system, UE may not get scheduled in significant percentage of the slots resulting in lost power saving opportunities</w:t>
      </w:r>
    </w:p>
    <w:p w14:paraId="49433B0C" w14:textId="77777777" w:rsidR="006F311F" w:rsidRDefault="006F311F" w:rsidP="006810A8">
      <w:pPr>
        <w:rPr>
          <w:lang w:val="en-GB"/>
        </w:rPr>
      </w:pPr>
    </w:p>
    <w:p w14:paraId="6D53A711" w14:textId="6C59BA0B" w:rsidR="00575B75" w:rsidRDefault="00575B75" w:rsidP="006810A8">
      <w:pPr>
        <w:rPr>
          <w:lang w:val="en-GB"/>
        </w:rPr>
      </w:pPr>
      <w:r>
        <w:rPr>
          <w:lang w:val="en-GB"/>
        </w:rPr>
        <w:t xml:space="preserve">Only through L1 signalling that bandwidth adaptation can take advantage of the scheduling dynamics. </w:t>
      </w:r>
    </w:p>
    <w:p w14:paraId="4EEAACDF" w14:textId="55EDFF6F" w:rsidR="00575B75" w:rsidRDefault="00575B75" w:rsidP="006810A8">
      <w:pPr>
        <w:rPr>
          <w:lang w:val="en-GB"/>
        </w:rPr>
      </w:pPr>
      <w:r>
        <w:rPr>
          <w:lang w:val="en-GB"/>
        </w:rPr>
        <w:t>Hence, a two-layered approach to bandwidth adaptation should be considered:</w:t>
      </w:r>
    </w:p>
    <w:p w14:paraId="266D24C9" w14:textId="691125F5" w:rsidR="00575B75" w:rsidRDefault="00575B75" w:rsidP="00575B75">
      <w:pPr>
        <w:pStyle w:val="ListParagraph"/>
        <w:numPr>
          <w:ilvl w:val="0"/>
          <w:numId w:val="37"/>
        </w:numPr>
        <w:rPr>
          <w:lang w:val="en-GB"/>
        </w:rPr>
      </w:pPr>
      <w:r>
        <w:rPr>
          <w:lang w:val="en-GB"/>
        </w:rPr>
        <w:t>Bandwidth parts configuration is done via semi-static signalling which is based on L2 (MAC CE) or L3 (RRC) signalling</w:t>
      </w:r>
    </w:p>
    <w:p w14:paraId="5A31C37B" w14:textId="5D68C83C" w:rsidR="00575B75" w:rsidRDefault="00575B75" w:rsidP="00575B75">
      <w:pPr>
        <w:pStyle w:val="ListParagraph"/>
        <w:numPr>
          <w:ilvl w:val="0"/>
          <w:numId w:val="37"/>
        </w:numPr>
        <w:rPr>
          <w:lang w:val="en-GB"/>
        </w:rPr>
      </w:pPr>
      <w:r>
        <w:rPr>
          <w:lang w:val="en-GB"/>
        </w:rPr>
        <w:t>Dynamic switching between the configurations is based on L1 (DCI) signalling</w:t>
      </w:r>
    </w:p>
    <w:p w14:paraId="3376778F" w14:textId="75F5392F" w:rsidR="00585C83" w:rsidRDefault="00585C83" w:rsidP="00575B75">
      <w:pPr>
        <w:rPr>
          <w:lang w:val="en-GB"/>
        </w:rPr>
      </w:pPr>
    </w:p>
    <w:p w14:paraId="5B9FB02A" w14:textId="6273861A" w:rsidR="00575B75" w:rsidRPr="00575B75" w:rsidRDefault="00575B75" w:rsidP="00575B75">
      <w:pPr>
        <w:rPr>
          <w:i/>
          <w:lang w:val="en-GB"/>
        </w:rPr>
      </w:pPr>
      <w:r>
        <w:rPr>
          <w:lang w:val="en-GB"/>
        </w:rPr>
        <w:t>Typically, bandwidth and frequency configuration needs more latency for RF SW preparation and programming, but once t</w:t>
      </w:r>
      <w:r w:rsidR="00D00511">
        <w:rPr>
          <w:lang w:val="en-GB"/>
        </w:rPr>
        <w:t>hat</w:t>
      </w:r>
      <w:r>
        <w:rPr>
          <w:lang w:val="en-GB"/>
        </w:rPr>
        <w:t xml:space="preserve"> is done, switching between different configurations can be quick with little SW overhead. This is another motivation to partition between configuration and switching in the above manner. </w:t>
      </w:r>
    </w:p>
    <w:p w14:paraId="725A259C" w14:textId="05CF1469" w:rsidR="002D5932" w:rsidRPr="00D00511" w:rsidRDefault="00CC6209" w:rsidP="00585C83">
      <w:pPr>
        <w:rPr>
          <w:lang w:val="en-GB"/>
        </w:rPr>
      </w:pPr>
      <w:r>
        <w:rPr>
          <w:lang w:val="en-GB"/>
        </w:rPr>
        <w:t xml:space="preserve">Going back to the RF transition time of 50~200 microseconds for both bandwidth and center frequency change, assuming the SW overhead to execute the switching is small, the latency is in the order of a slot’s duration (for reference 30kHz SCS), up to several slots for wider SCS. At least for the reference SCS, </w:t>
      </w:r>
      <w:r w:rsidR="002D5932">
        <w:rPr>
          <w:lang w:val="en-GB"/>
        </w:rPr>
        <w:t xml:space="preserve">a </w:t>
      </w:r>
      <w:r>
        <w:rPr>
          <w:lang w:val="en-GB"/>
        </w:rPr>
        <w:t xml:space="preserve">cross-slot </w:t>
      </w:r>
      <w:r w:rsidR="002D5932">
        <w:rPr>
          <w:lang w:val="en-GB"/>
        </w:rPr>
        <w:t>grant</w:t>
      </w:r>
      <w:r>
        <w:rPr>
          <w:lang w:val="en-GB"/>
        </w:rPr>
        <w:t xml:space="preserve"> (or advanced grant indication) can </w:t>
      </w:r>
      <w:r w:rsidR="002D5932">
        <w:rPr>
          <w:lang w:val="en-GB"/>
        </w:rPr>
        <w:t xml:space="preserve">serve as </w:t>
      </w:r>
      <w:r>
        <w:rPr>
          <w:lang w:val="en-GB"/>
        </w:rPr>
        <w:t xml:space="preserve">a trigger for bandwidth </w:t>
      </w:r>
      <w:r w:rsidR="002D5932">
        <w:rPr>
          <w:lang w:val="en-GB"/>
        </w:rPr>
        <w:t xml:space="preserve">switching from narrower BW to wider BW. In the following figure, the cross-slot grant received in Slot n+1 triggers bandwidth to expand to the wider BW. Once RF bandwidth is transitioned to wider BW for data reception, scheduling can </w:t>
      </w:r>
      <w:r w:rsidR="00CD3028">
        <w:rPr>
          <w:lang w:val="en-GB"/>
        </w:rPr>
        <w:t>stay with cross-slot or switch</w:t>
      </w:r>
      <w:r w:rsidR="002D5932">
        <w:rPr>
          <w:lang w:val="en-GB"/>
        </w:rPr>
        <w:t xml:space="preserve"> to same slot (not shown in figure). Returning back to the narrower BW can be triggered by either </w:t>
      </w:r>
      <w:r w:rsidR="005671D4">
        <w:rPr>
          <w:lang w:val="en-GB"/>
        </w:rPr>
        <w:t>scheduling in</w:t>
      </w:r>
      <w:r w:rsidR="002D5932">
        <w:rPr>
          <w:lang w:val="en-GB"/>
        </w:rPr>
        <w:t xml:space="preserve">activity (i.e. based on a threshold number of </w:t>
      </w:r>
      <w:r w:rsidR="00DC33BE">
        <w:rPr>
          <w:lang w:val="en-GB"/>
        </w:rPr>
        <w:t>consecutive slots without</w:t>
      </w:r>
      <w:r w:rsidR="002D5932">
        <w:rPr>
          <w:lang w:val="en-GB"/>
        </w:rPr>
        <w:t xml:space="preserve"> grant</w:t>
      </w:r>
      <w:r w:rsidR="00DC33BE">
        <w:rPr>
          <w:lang w:val="en-GB"/>
        </w:rPr>
        <w:t>s</w:t>
      </w:r>
      <w:r w:rsidR="002D5932">
        <w:rPr>
          <w:lang w:val="en-GB"/>
        </w:rPr>
        <w:t xml:space="preserve">) or explicit L1 signaling. </w:t>
      </w:r>
    </w:p>
    <w:p w14:paraId="1A97D441" w14:textId="21E03CC2" w:rsidR="008005BF" w:rsidRDefault="008005BF" w:rsidP="00585C83">
      <w:pPr>
        <w:rPr>
          <w:i/>
          <w:lang w:val="en-GB"/>
        </w:rPr>
      </w:pPr>
      <w:r w:rsidRPr="008005BF">
        <w:rPr>
          <w:i/>
          <w:noProof/>
        </w:rPr>
        <w:drawing>
          <wp:inline distT="0" distB="0" distL="0" distR="0" wp14:anchorId="32879374" wp14:editId="09CC7649">
            <wp:extent cx="6332220" cy="179959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6332220" cy="1799590"/>
                    </a:xfrm>
                    <a:prstGeom prst="rect">
                      <a:avLst/>
                    </a:prstGeom>
                  </pic:spPr>
                </pic:pic>
              </a:graphicData>
            </a:graphic>
          </wp:inline>
        </w:drawing>
      </w:r>
    </w:p>
    <w:p w14:paraId="303408D3" w14:textId="49BCA9F0" w:rsidR="002D5932" w:rsidRDefault="002D5932" w:rsidP="008005BF">
      <w:pPr>
        <w:rPr>
          <w:lang w:val="en-GB"/>
        </w:rPr>
      </w:pPr>
      <w:r>
        <w:rPr>
          <w:lang w:val="en-GB"/>
        </w:rPr>
        <w:t>If the RF transition latency spans multiple slots (for the case of very wide SCS, e.g. 120kHz, and/or mini-slots), cross-slot scheduling (or advanced grant indication) may need to be advanced enough to accommodate RF transition latency.</w:t>
      </w:r>
    </w:p>
    <w:p w14:paraId="65D02C95" w14:textId="77777777" w:rsidR="002D5932" w:rsidRPr="002D5932" w:rsidRDefault="002D5932" w:rsidP="008005BF">
      <w:pPr>
        <w:rPr>
          <w:lang w:val="en-GB"/>
        </w:rPr>
      </w:pPr>
    </w:p>
    <w:p w14:paraId="3809636C" w14:textId="4F976D39" w:rsidR="00AC5987" w:rsidRPr="002D5932" w:rsidRDefault="002D5932" w:rsidP="008005BF">
      <w:pPr>
        <w:rPr>
          <w:lang w:val="en-GB"/>
        </w:rPr>
      </w:pPr>
      <w:r>
        <w:rPr>
          <w:b/>
          <w:lang w:val="en-GB"/>
        </w:rPr>
        <w:t>Proposal</w:t>
      </w:r>
      <w:r w:rsidR="002D43AE">
        <w:rPr>
          <w:b/>
          <w:lang w:val="en-GB"/>
        </w:rPr>
        <w:t xml:space="preserve"> 3</w:t>
      </w:r>
      <w:r>
        <w:rPr>
          <w:b/>
          <w:lang w:val="en-GB"/>
        </w:rPr>
        <w:t>:</w:t>
      </w:r>
      <w:r>
        <w:rPr>
          <w:lang w:val="en-GB"/>
        </w:rPr>
        <w:t xml:space="preserve"> Bandwidth parts configuration should be done via semi-static signalling (L2 or L3). Dynamic switching between configurations should be based on DCI signaling (L1</w:t>
      </w:r>
      <w:r w:rsidR="00D26AB3">
        <w:rPr>
          <w:lang w:val="en-GB"/>
        </w:rPr>
        <w:t xml:space="preserve">), or conditions derived </w:t>
      </w:r>
      <w:r w:rsidR="004D2B97">
        <w:rPr>
          <w:lang w:val="en-GB"/>
        </w:rPr>
        <w:t>from</w:t>
      </w:r>
      <w:r w:rsidR="00D26AB3">
        <w:rPr>
          <w:lang w:val="en-GB"/>
        </w:rPr>
        <w:t xml:space="preserve"> DCI signalling (e.g. </w:t>
      </w:r>
      <w:r w:rsidR="00DC33BE">
        <w:rPr>
          <w:lang w:val="en-GB"/>
        </w:rPr>
        <w:t xml:space="preserve">scheduling </w:t>
      </w:r>
      <w:r w:rsidR="005671D4">
        <w:rPr>
          <w:lang w:val="en-GB"/>
        </w:rPr>
        <w:t>in</w:t>
      </w:r>
      <w:r w:rsidR="00D26AB3">
        <w:rPr>
          <w:lang w:val="en-GB"/>
        </w:rPr>
        <w:t>activity).</w:t>
      </w:r>
    </w:p>
    <w:p w14:paraId="7E26C4D4" w14:textId="394243DE" w:rsidR="00177D98" w:rsidRDefault="00177D98" w:rsidP="00BF62F7">
      <w:pPr>
        <w:rPr>
          <w:lang w:val="en-GB"/>
        </w:rPr>
      </w:pPr>
    </w:p>
    <w:p w14:paraId="3E326202" w14:textId="541A47D7" w:rsidR="008005BF" w:rsidRDefault="008005BF" w:rsidP="0047469A">
      <w:pPr>
        <w:pStyle w:val="Heading3"/>
      </w:pPr>
      <w:r>
        <w:t>PDCCH</w:t>
      </w:r>
      <w:r w:rsidR="00B01E53">
        <w:t xml:space="preserve"> Monitoring Periodicity</w:t>
      </w:r>
    </w:p>
    <w:p w14:paraId="490AED55" w14:textId="25E8AF3D" w:rsidR="00B01E53" w:rsidRDefault="00FD6809" w:rsidP="00BF62F7">
      <w:pPr>
        <w:rPr>
          <w:lang w:val="en-GB"/>
        </w:rPr>
      </w:pPr>
      <w:r>
        <w:rPr>
          <w:lang w:val="en-GB"/>
        </w:rPr>
        <w:t>Monitoring PDCCH in every slot facilitates the smallest scheduling latency at the expense of power consumption. Generally, there is a tradeoff between latency and power consumption. The PDCCH monitoring periodicity should be configurable to a multiple of slots to allow this tradeoff. Especially for very short slot duration (e.g. for 120kHz SCS, slot duration is only 0.125 milliseconds), gNB and UE can agree that PDCCH should be monitored only at certain slot periodicity, even during active state, in order to save power. The PDCCH could carry grant information for multiple slots.</w:t>
      </w:r>
    </w:p>
    <w:p w14:paraId="6A9776C6" w14:textId="09134789" w:rsidR="00465E3E" w:rsidRDefault="00465E3E" w:rsidP="00BF62F7">
      <w:pPr>
        <w:rPr>
          <w:lang w:val="en-GB"/>
        </w:rPr>
      </w:pPr>
      <w:r>
        <w:rPr>
          <w:lang w:val="en-GB"/>
        </w:rPr>
        <w:t>If RF bandwidth switching latency is more than a slot duration, it is also helpful to aggregate multiple slots together and lengthen the PDCCH monitoring periodicity to match the aggregated slots. Then the benefits of cross-slot scheduling as describe above can be realized with cross-aggregated-slot scheduling.</w:t>
      </w:r>
    </w:p>
    <w:p w14:paraId="43AC087E" w14:textId="77777777" w:rsidR="006F311F" w:rsidRPr="00FD6809" w:rsidRDefault="006F311F" w:rsidP="00BF62F7">
      <w:pPr>
        <w:rPr>
          <w:lang w:val="en-GB"/>
        </w:rPr>
      </w:pPr>
    </w:p>
    <w:p w14:paraId="0D3564CD" w14:textId="2F1631D6" w:rsidR="008005BF" w:rsidRDefault="00A24C85" w:rsidP="0047469A">
      <w:pPr>
        <w:pStyle w:val="Heading2"/>
      </w:pPr>
      <w:r>
        <w:t xml:space="preserve">Incorporation </w:t>
      </w:r>
      <w:r w:rsidR="007A145A">
        <w:t xml:space="preserve">to </w:t>
      </w:r>
      <w:r w:rsidR="00307852">
        <w:t>C-</w:t>
      </w:r>
      <w:r w:rsidR="008005BF">
        <w:t>DRX</w:t>
      </w:r>
      <w:r w:rsidR="007A145A">
        <w:t xml:space="preserve"> Framework</w:t>
      </w:r>
    </w:p>
    <w:p w14:paraId="3D7F14D2" w14:textId="20DAF803" w:rsidR="004871CB" w:rsidRDefault="004871CB" w:rsidP="008005BF">
      <w:pPr>
        <w:rPr>
          <w:lang w:val="en-GB"/>
        </w:rPr>
      </w:pPr>
      <w:r>
        <w:rPr>
          <w:lang w:val="en-GB"/>
        </w:rPr>
        <w:t>The power saving techniques described are most effective when they are triggered based on dynamic signalling. This is due to the ability to take advantage of scheduling dynamics.</w:t>
      </w:r>
    </w:p>
    <w:p w14:paraId="47CA8182" w14:textId="0A95D241" w:rsidR="004871CB" w:rsidRDefault="004871CB" w:rsidP="008005BF">
      <w:pPr>
        <w:rPr>
          <w:lang w:val="en-GB"/>
        </w:rPr>
      </w:pPr>
      <w:r>
        <w:rPr>
          <w:lang w:val="en-GB"/>
        </w:rPr>
        <w:t>It is well known that there already exists a framework to take advantage of traffic pattern and scheduling dynamics for power saving – DRX. It would be consequential to enhance the DRX framework with the power saving techniques, targeting to optimize active state power consumption.</w:t>
      </w:r>
    </w:p>
    <w:p w14:paraId="30AFC68E" w14:textId="03E4C116" w:rsidR="004871CB" w:rsidRPr="004871CB" w:rsidRDefault="004871CB" w:rsidP="008005BF">
      <w:pPr>
        <w:rPr>
          <w:lang w:val="en-GB"/>
        </w:rPr>
      </w:pPr>
      <w:r>
        <w:rPr>
          <w:lang w:val="en-GB"/>
        </w:rPr>
        <w:t>While DRX procedure and design is a RAN2 matter, it is worthwhile to touch on the potential impact and benefits of this enhanced DRX s</w:t>
      </w:r>
      <w:r w:rsidR="00956672">
        <w:rPr>
          <w:lang w:val="en-GB"/>
        </w:rPr>
        <w:t xml:space="preserve">cheme in this RAN1 contribution. Another contribution </w:t>
      </w:r>
      <w:r w:rsidR="00956672">
        <w:rPr>
          <w:lang w:val="en-GB"/>
        </w:rPr>
        <w:fldChar w:fldCharType="begin"/>
      </w:r>
      <w:r w:rsidR="00956672">
        <w:rPr>
          <w:lang w:val="en-GB"/>
        </w:rPr>
        <w:instrText xml:space="preserve"> REF _Ref485347831 \r \h </w:instrText>
      </w:r>
      <w:r w:rsidR="00956672">
        <w:rPr>
          <w:lang w:val="en-GB"/>
        </w:rPr>
      </w:r>
      <w:r w:rsidR="00956672">
        <w:rPr>
          <w:lang w:val="en-GB"/>
        </w:rPr>
        <w:fldChar w:fldCharType="separate"/>
      </w:r>
      <w:r w:rsidR="00A3327A">
        <w:rPr>
          <w:lang w:val="en-GB"/>
        </w:rPr>
        <w:t>[10]</w:t>
      </w:r>
      <w:r w:rsidR="00956672">
        <w:rPr>
          <w:lang w:val="en-GB"/>
        </w:rPr>
        <w:fldChar w:fldCharType="end"/>
      </w:r>
      <w:r w:rsidR="00956672">
        <w:rPr>
          <w:lang w:val="en-GB"/>
        </w:rPr>
        <w:t xml:space="preserve"> shares a similar view.</w:t>
      </w:r>
    </w:p>
    <w:p w14:paraId="56F51302" w14:textId="025E8CC4" w:rsidR="00B01E53" w:rsidRPr="004871CB" w:rsidRDefault="00B01E53" w:rsidP="008005BF">
      <w:pPr>
        <w:rPr>
          <w:lang w:val="en-GB"/>
        </w:rPr>
      </w:pPr>
      <w:r w:rsidRPr="004871CB">
        <w:rPr>
          <w:lang w:val="en-GB"/>
        </w:rPr>
        <w:t>Regular DRX operates in terms of DRX cycle</w:t>
      </w:r>
      <w:r w:rsidR="004871CB">
        <w:rPr>
          <w:lang w:val="en-GB"/>
        </w:rPr>
        <w:t xml:space="preserve"> which is typically tens of milliseconds</w:t>
      </w:r>
      <w:r w:rsidRPr="004871CB">
        <w:rPr>
          <w:lang w:val="en-GB"/>
        </w:rPr>
        <w:t xml:space="preserve"> to hundreds of m</w:t>
      </w:r>
      <w:r w:rsidR="004871CB">
        <w:rPr>
          <w:lang w:val="en-GB"/>
        </w:rPr>
        <w:t>illi</w:t>
      </w:r>
      <w:r w:rsidRPr="004871CB">
        <w:rPr>
          <w:lang w:val="en-GB"/>
        </w:rPr>
        <w:t>s</w:t>
      </w:r>
      <w:r w:rsidR="004871CB">
        <w:rPr>
          <w:lang w:val="en-GB"/>
        </w:rPr>
        <w:t>econds</w:t>
      </w:r>
      <w:r w:rsidRPr="004871CB">
        <w:rPr>
          <w:lang w:val="en-GB"/>
        </w:rPr>
        <w:t>.</w:t>
      </w:r>
      <w:r w:rsidR="009925AE" w:rsidRPr="004871CB">
        <w:rPr>
          <w:lang w:val="en-GB"/>
        </w:rPr>
        <w:t xml:space="preserve"> DRX basically specifies when UE can skip monitoring PDCCH (and hence go to sleep).</w:t>
      </w:r>
    </w:p>
    <w:p w14:paraId="02F84228" w14:textId="6029F85B" w:rsidR="00B01E53" w:rsidRDefault="00B01E53" w:rsidP="008005BF">
      <w:pPr>
        <w:rPr>
          <w:lang w:val="en-GB"/>
        </w:rPr>
      </w:pPr>
      <w:r w:rsidRPr="004871CB">
        <w:rPr>
          <w:lang w:val="en-GB"/>
        </w:rPr>
        <w:t>Between ON and OFF mode, there are intermediate operating points where power and latency can be traded off</w:t>
      </w:r>
      <w:r w:rsidR="00394C69">
        <w:rPr>
          <w:lang w:val="en-GB"/>
        </w:rPr>
        <w:t>, which is not served by LTE (legacy) DRX scheme</w:t>
      </w:r>
      <w:r w:rsidRPr="004871CB">
        <w:rPr>
          <w:lang w:val="en-GB"/>
        </w:rPr>
        <w:t>.</w:t>
      </w:r>
      <w:r w:rsidR="004871CB">
        <w:rPr>
          <w:lang w:val="en-GB"/>
        </w:rPr>
        <w:t xml:space="preserve"> For the active state (considered to include both the ON duration and inactivity timer duration), a new mode of operation employing above power saving techniques can be introduced. This new mode can be referred to as </w:t>
      </w:r>
      <w:r w:rsidR="004871CB" w:rsidRPr="001C16C5">
        <w:rPr>
          <w:i/>
          <w:lang w:val="en-GB"/>
        </w:rPr>
        <w:t>PDCCH monitoring mode</w:t>
      </w:r>
      <w:r w:rsidR="004871CB">
        <w:rPr>
          <w:lang w:val="en-GB"/>
        </w:rPr>
        <w:t xml:space="preserve"> as it is optimized for such.</w:t>
      </w:r>
    </w:p>
    <w:p w14:paraId="29D8F0BA" w14:textId="5C14F5F1" w:rsidR="00B01E53" w:rsidRDefault="004871CB" w:rsidP="008005BF">
      <w:pPr>
        <w:rPr>
          <w:lang w:val="en-GB"/>
        </w:rPr>
      </w:pPr>
      <w:r>
        <w:rPr>
          <w:lang w:val="en-GB"/>
        </w:rPr>
        <w:t xml:space="preserve">The inactivity timer </w:t>
      </w:r>
      <w:r w:rsidR="00D24868">
        <w:rPr>
          <w:lang w:val="en-GB"/>
        </w:rPr>
        <w:t>is typically</w:t>
      </w:r>
      <w:r>
        <w:rPr>
          <w:lang w:val="en-GB"/>
        </w:rPr>
        <w:t xml:space="preserve"> configured to be relatively long to ensure low latency when data arrive in bursts (e.g. HTTP GET objects during webpage loading). The default mode during inactivity timer could be PDCCH monitoring mode, and when a data burst arrives, UE can switch to the </w:t>
      </w:r>
      <w:r w:rsidRPr="001C16C5">
        <w:rPr>
          <w:i/>
          <w:lang w:val="en-GB"/>
        </w:rPr>
        <w:t>data optimized mode</w:t>
      </w:r>
      <w:r>
        <w:rPr>
          <w:lang w:val="en-GB"/>
        </w:rPr>
        <w:t xml:space="preserve"> for efficient reception of data. Such data optimized mode may support same slot scheduling, wider BW for data reception. </w:t>
      </w:r>
      <w:r w:rsidR="00B01E53" w:rsidRPr="004871CB">
        <w:rPr>
          <w:lang w:val="en-GB"/>
        </w:rPr>
        <w:t>To reduce dynamic signalling overhead, transition in and out of the mode</w:t>
      </w:r>
      <w:r>
        <w:rPr>
          <w:lang w:val="en-GB"/>
        </w:rPr>
        <w:t>s</w:t>
      </w:r>
      <w:r w:rsidR="00B01E53" w:rsidRPr="004871CB">
        <w:rPr>
          <w:lang w:val="en-GB"/>
        </w:rPr>
        <w:t xml:space="preserve"> should be based on L1 signaling and timer</w:t>
      </w:r>
      <w:r w:rsidR="00394C69">
        <w:rPr>
          <w:lang w:val="en-GB"/>
        </w:rPr>
        <w:t>s</w:t>
      </w:r>
      <w:r w:rsidR="00B01E53" w:rsidRPr="004871CB">
        <w:rPr>
          <w:lang w:val="en-GB"/>
        </w:rPr>
        <w:t xml:space="preserve">, </w:t>
      </w:r>
      <w:r>
        <w:rPr>
          <w:lang w:val="en-GB"/>
        </w:rPr>
        <w:t xml:space="preserve">consistent with </w:t>
      </w:r>
      <w:r w:rsidR="00B01E53" w:rsidRPr="004871CB">
        <w:rPr>
          <w:lang w:val="en-GB"/>
        </w:rPr>
        <w:t>DRX</w:t>
      </w:r>
      <w:r>
        <w:rPr>
          <w:lang w:val="en-GB"/>
        </w:rPr>
        <w:t xml:space="preserve"> operation</w:t>
      </w:r>
      <w:r w:rsidR="00B01E53" w:rsidRPr="004871CB">
        <w:rPr>
          <w:lang w:val="en-GB"/>
        </w:rPr>
        <w:t>.</w:t>
      </w:r>
    </w:p>
    <w:p w14:paraId="2B2C16D0" w14:textId="77777777" w:rsidR="006F311F" w:rsidRDefault="006F311F" w:rsidP="008005BF">
      <w:pPr>
        <w:rPr>
          <w:lang w:val="en-GB"/>
        </w:rPr>
      </w:pPr>
    </w:p>
    <w:p w14:paraId="72D36834" w14:textId="38F2C162" w:rsidR="00465E3E" w:rsidRDefault="004871CB" w:rsidP="008005BF">
      <w:pPr>
        <w:rPr>
          <w:lang w:val="en-GB"/>
        </w:rPr>
      </w:pPr>
      <w:r>
        <w:rPr>
          <w:b/>
          <w:lang w:val="en-GB"/>
        </w:rPr>
        <w:t>Proposal</w:t>
      </w:r>
      <w:r w:rsidR="002D43AE">
        <w:rPr>
          <w:b/>
          <w:lang w:val="en-GB"/>
        </w:rPr>
        <w:t xml:space="preserve"> 4</w:t>
      </w:r>
      <w:r>
        <w:rPr>
          <w:b/>
          <w:lang w:val="en-GB"/>
        </w:rPr>
        <w:t>:</w:t>
      </w:r>
      <w:r>
        <w:rPr>
          <w:lang w:val="en-GB"/>
        </w:rPr>
        <w:t xml:space="preserve"> </w:t>
      </w:r>
      <w:r w:rsidR="004D4B4A">
        <w:rPr>
          <w:lang w:val="en-GB"/>
        </w:rPr>
        <w:t xml:space="preserve">NR should </w:t>
      </w:r>
      <w:r>
        <w:rPr>
          <w:lang w:val="en-GB"/>
        </w:rPr>
        <w:t xml:space="preserve">consider </w:t>
      </w:r>
      <w:r w:rsidR="004D4B4A">
        <w:rPr>
          <w:lang w:val="en-GB"/>
        </w:rPr>
        <w:t>employing</w:t>
      </w:r>
      <w:r>
        <w:rPr>
          <w:lang w:val="en-GB"/>
        </w:rPr>
        <w:t xml:space="preserve"> power saving techniques during active state</w:t>
      </w:r>
      <w:r w:rsidR="004D4B4A">
        <w:rPr>
          <w:lang w:val="en-GB"/>
        </w:rPr>
        <w:t xml:space="preserve"> in DRX</w:t>
      </w:r>
      <w:bookmarkStart w:id="2" w:name="_GoBack"/>
      <w:bookmarkEnd w:id="2"/>
      <w:r>
        <w:rPr>
          <w:lang w:val="en-GB"/>
        </w:rPr>
        <w:t>.</w:t>
      </w:r>
      <w:r w:rsidR="00465E3E">
        <w:rPr>
          <w:lang w:val="en-GB"/>
        </w:rPr>
        <w:t xml:space="preserve"> </w:t>
      </w:r>
    </w:p>
    <w:p w14:paraId="20309086" w14:textId="48343FCD" w:rsidR="00465E3E" w:rsidRPr="00465E3E" w:rsidRDefault="00465E3E" w:rsidP="00465E3E">
      <w:pPr>
        <w:pStyle w:val="ListParagraph"/>
        <w:numPr>
          <w:ilvl w:val="0"/>
          <w:numId w:val="36"/>
        </w:numPr>
        <w:rPr>
          <w:rFonts w:ascii="Times New Roman" w:hAnsi="Times New Roman"/>
          <w:sz w:val="20"/>
          <w:szCs w:val="20"/>
          <w:lang w:val="en-GB"/>
        </w:rPr>
      </w:pPr>
      <w:r w:rsidRPr="00465E3E">
        <w:rPr>
          <w:rFonts w:ascii="Times New Roman" w:hAnsi="Times New Roman"/>
          <w:sz w:val="20"/>
          <w:szCs w:val="20"/>
          <w:lang w:val="en-GB"/>
        </w:rPr>
        <w:t xml:space="preserve">Active state can have at least two modes of operation: PDCCH monitoring mode for low data activity, and data optimized mode for high data activity. </w:t>
      </w:r>
    </w:p>
    <w:p w14:paraId="19C5501C" w14:textId="727FAF82" w:rsidR="00465E3E" w:rsidRPr="00465E3E" w:rsidRDefault="00465E3E" w:rsidP="00465E3E">
      <w:pPr>
        <w:pStyle w:val="ListParagraph"/>
        <w:numPr>
          <w:ilvl w:val="1"/>
          <w:numId w:val="36"/>
        </w:numPr>
        <w:rPr>
          <w:rFonts w:ascii="Times New Roman" w:hAnsi="Times New Roman"/>
          <w:sz w:val="20"/>
          <w:szCs w:val="20"/>
          <w:lang w:val="en-GB"/>
        </w:rPr>
      </w:pPr>
      <w:r w:rsidRPr="00465E3E">
        <w:rPr>
          <w:rFonts w:ascii="Times New Roman" w:hAnsi="Times New Roman"/>
          <w:sz w:val="20"/>
          <w:szCs w:val="20"/>
          <w:lang w:val="en-GB"/>
        </w:rPr>
        <w:t>PDCCH monitoring mode employs power saving techniques such as cross-slot scheduling, narrower bandwidth reception for DL control, sparser PDCCH monitoring periodicity, etc</w:t>
      </w:r>
    </w:p>
    <w:p w14:paraId="277D11E1" w14:textId="16D15AD2" w:rsidR="00465E3E" w:rsidRPr="00465E3E" w:rsidRDefault="00465E3E" w:rsidP="00465E3E">
      <w:pPr>
        <w:pStyle w:val="ListParagraph"/>
        <w:numPr>
          <w:ilvl w:val="1"/>
          <w:numId w:val="36"/>
        </w:numPr>
        <w:rPr>
          <w:rFonts w:ascii="Times New Roman" w:hAnsi="Times New Roman"/>
          <w:sz w:val="20"/>
          <w:szCs w:val="20"/>
          <w:lang w:val="en-GB"/>
        </w:rPr>
      </w:pPr>
      <w:r w:rsidRPr="00465E3E">
        <w:rPr>
          <w:rFonts w:ascii="Times New Roman" w:hAnsi="Times New Roman"/>
          <w:sz w:val="20"/>
          <w:szCs w:val="20"/>
          <w:lang w:val="en-GB"/>
        </w:rPr>
        <w:t>Data optimized mode targets lower latency by employing same-slot scheduling, wider bandwidth reception for both control and data, etc</w:t>
      </w:r>
    </w:p>
    <w:p w14:paraId="12B1D982" w14:textId="38A1DF53" w:rsidR="004871CB" w:rsidRPr="00465E3E" w:rsidRDefault="00465E3E" w:rsidP="00465E3E">
      <w:pPr>
        <w:pStyle w:val="ListParagraph"/>
        <w:numPr>
          <w:ilvl w:val="0"/>
          <w:numId w:val="36"/>
        </w:numPr>
        <w:rPr>
          <w:rFonts w:ascii="Times New Roman" w:hAnsi="Times New Roman"/>
          <w:sz w:val="20"/>
          <w:szCs w:val="20"/>
          <w:lang w:val="en-GB"/>
        </w:rPr>
      </w:pPr>
      <w:r w:rsidRPr="00465E3E">
        <w:rPr>
          <w:rFonts w:ascii="Times New Roman" w:hAnsi="Times New Roman"/>
          <w:sz w:val="20"/>
          <w:szCs w:val="20"/>
          <w:lang w:val="en-GB"/>
        </w:rPr>
        <w:t>Switching between the modes can be dynamic, based on L1 signaling and/or timers</w:t>
      </w:r>
    </w:p>
    <w:p w14:paraId="5897933E" w14:textId="77777777" w:rsidR="004871CB" w:rsidRPr="004871CB" w:rsidRDefault="004871CB" w:rsidP="008005BF">
      <w:pPr>
        <w:rPr>
          <w:lang w:val="en-GB"/>
        </w:rPr>
      </w:pPr>
    </w:p>
    <w:p w14:paraId="737E577D" w14:textId="46692D13" w:rsidR="008005BF" w:rsidRDefault="00146887" w:rsidP="0047469A">
      <w:pPr>
        <w:pStyle w:val="Heading2"/>
      </w:pPr>
      <w:r>
        <w:t>Extension to Carrier Aggregation</w:t>
      </w:r>
    </w:p>
    <w:p w14:paraId="46AC8115" w14:textId="33C56C0A" w:rsidR="00146887" w:rsidRPr="004871CB" w:rsidRDefault="00146887" w:rsidP="00146887">
      <w:pPr>
        <w:rPr>
          <w:lang w:val="en-GB"/>
        </w:rPr>
      </w:pPr>
      <w:r w:rsidRPr="004871CB">
        <w:rPr>
          <w:lang w:val="en-GB"/>
        </w:rPr>
        <w:t>Due to support for wide bandwidth operation, single carrier may satisfy most of the NR use cases.</w:t>
      </w:r>
    </w:p>
    <w:p w14:paraId="37CE8D4E" w14:textId="3412A80F" w:rsidR="00146887" w:rsidRPr="0047143A" w:rsidRDefault="00146887" w:rsidP="00146887">
      <w:pPr>
        <w:rPr>
          <w:lang w:val="en-GB"/>
        </w:rPr>
      </w:pPr>
      <w:r w:rsidRPr="004871CB">
        <w:rPr>
          <w:lang w:val="en-GB"/>
        </w:rPr>
        <w:t>For carrier aggregati</w:t>
      </w:r>
      <w:r w:rsidR="004871CB">
        <w:rPr>
          <w:lang w:val="en-GB"/>
        </w:rPr>
        <w:t>on, if cross-carrier scheduling</w:t>
      </w:r>
      <w:r w:rsidRPr="004871CB">
        <w:rPr>
          <w:lang w:val="en-GB"/>
        </w:rPr>
        <w:t xml:space="preserve"> or grant indication can be aggregated on the PCC, and the carriers can be configured to have the same DRX configuration, </w:t>
      </w:r>
      <w:r w:rsidR="004871CB">
        <w:rPr>
          <w:lang w:val="en-GB"/>
        </w:rPr>
        <w:t>the power saving techniques for active state should</w:t>
      </w:r>
      <w:r w:rsidRPr="004871CB">
        <w:rPr>
          <w:lang w:val="en-GB"/>
        </w:rPr>
        <w:t xml:space="preserve"> also </w:t>
      </w:r>
      <w:r w:rsidR="004871CB">
        <w:rPr>
          <w:lang w:val="en-GB"/>
        </w:rPr>
        <w:t xml:space="preserve">be </w:t>
      </w:r>
      <w:r w:rsidRPr="004871CB">
        <w:rPr>
          <w:lang w:val="en-GB"/>
        </w:rPr>
        <w:t>applicable</w:t>
      </w:r>
      <w:r>
        <w:rPr>
          <w:i/>
          <w:lang w:val="en-GB"/>
        </w:rPr>
        <w:t>.</w:t>
      </w:r>
    </w:p>
    <w:p w14:paraId="75602287" w14:textId="77777777" w:rsidR="00146887" w:rsidRPr="00BF62F7" w:rsidRDefault="00146887" w:rsidP="00BF62F7">
      <w:pPr>
        <w:rPr>
          <w:lang w:val="en-GB"/>
        </w:rPr>
      </w:pPr>
    </w:p>
    <w:p w14:paraId="56D28D4B" w14:textId="26018A49" w:rsidR="00067CA8" w:rsidRPr="00226FE2" w:rsidRDefault="004503F9" w:rsidP="00067CA8">
      <w:pPr>
        <w:pStyle w:val="Heading1"/>
        <w:rPr>
          <w:lang w:eastAsia="zh-CN"/>
        </w:rPr>
      </w:pPr>
      <w:r>
        <w:rPr>
          <w:lang w:eastAsia="zh-CN"/>
        </w:rPr>
        <w:t>Conclusions</w:t>
      </w:r>
    </w:p>
    <w:p w14:paraId="583F5609" w14:textId="77777777" w:rsidR="00404815" w:rsidRDefault="00404815" w:rsidP="00404815">
      <w:pPr>
        <w:rPr>
          <w:lang w:val="en-GB"/>
        </w:rPr>
      </w:pPr>
      <w:r w:rsidRPr="00554545">
        <w:rPr>
          <w:b/>
          <w:lang w:val="en-GB"/>
        </w:rPr>
        <w:t>Proposal</w:t>
      </w:r>
      <w:r>
        <w:rPr>
          <w:b/>
          <w:lang w:val="en-GB"/>
        </w:rPr>
        <w:t xml:space="preserve"> 1</w:t>
      </w:r>
      <w:r w:rsidRPr="00554545">
        <w:rPr>
          <w:b/>
          <w:lang w:val="en-GB"/>
        </w:rPr>
        <w:t>:</w:t>
      </w:r>
      <w:r>
        <w:rPr>
          <w:lang w:val="en-GB"/>
        </w:rPr>
        <w:t xml:space="preserve"> Cross-slot scheduling (or alternate approach using advanced grant indication) can improve the efficiency of microsleep, and should be considered as a power saving mode for NR.</w:t>
      </w:r>
    </w:p>
    <w:p w14:paraId="10D46EDD" w14:textId="64864FE1" w:rsidR="00404815" w:rsidRPr="00404815" w:rsidRDefault="00404815" w:rsidP="00404815">
      <w:pPr>
        <w:rPr>
          <w:lang w:val="en-GB"/>
        </w:rPr>
      </w:pPr>
      <w:r>
        <w:rPr>
          <w:lang w:val="en-GB"/>
        </w:rPr>
        <w:tab/>
      </w:r>
      <w:r>
        <w:rPr>
          <w:lang w:val="en-GB"/>
        </w:rPr>
        <w:tab/>
      </w:r>
      <w:r w:rsidR="004F2DA2">
        <w:rPr>
          <w:lang w:val="en-GB"/>
        </w:rPr>
        <w:t xml:space="preserve">FFS </w:t>
      </w:r>
      <w:r>
        <w:rPr>
          <w:lang w:val="en-GB"/>
        </w:rPr>
        <w:t>Adopting advanced grant indication instead of cross-slot grant</w:t>
      </w:r>
    </w:p>
    <w:p w14:paraId="40ADD4B9" w14:textId="77777777" w:rsidR="00404815" w:rsidRDefault="00404815" w:rsidP="00404815">
      <w:pPr>
        <w:rPr>
          <w:lang w:val="en-GB"/>
        </w:rPr>
      </w:pPr>
      <w:r w:rsidRPr="004871CB">
        <w:rPr>
          <w:b/>
          <w:lang w:val="en-GB"/>
        </w:rPr>
        <w:t>Proposal</w:t>
      </w:r>
      <w:r>
        <w:rPr>
          <w:b/>
          <w:lang w:val="en-GB"/>
        </w:rPr>
        <w:t xml:space="preserve"> 2</w:t>
      </w:r>
      <w:r w:rsidRPr="004871CB">
        <w:rPr>
          <w:b/>
          <w:lang w:val="en-GB"/>
        </w:rPr>
        <w:t>:</w:t>
      </w:r>
      <w:r>
        <w:rPr>
          <w:lang w:val="en-GB"/>
        </w:rPr>
        <w:t xml:space="preserve"> Transition between cross-slot and same-slot scheduling should be based on dynamic L1 signaling, or conditions derived from such signalling.</w:t>
      </w:r>
    </w:p>
    <w:p w14:paraId="774C1505" w14:textId="77777777" w:rsidR="002D43AE" w:rsidRPr="002D5932" w:rsidRDefault="002D43AE" w:rsidP="002D43AE">
      <w:pPr>
        <w:rPr>
          <w:lang w:val="en-GB"/>
        </w:rPr>
      </w:pPr>
      <w:r>
        <w:rPr>
          <w:b/>
          <w:lang w:val="en-GB"/>
        </w:rPr>
        <w:t>Proposal 3:</w:t>
      </w:r>
      <w:r>
        <w:rPr>
          <w:lang w:val="en-GB"/>
        </w:rPr>
        <w:t xml:space="preserve"> Bandwidth parts configuration should be done via semi-static signalling (L2 or L3). Dynamic switching between configurations should be based on DCI signaling (L1), or conditions derived from DCI signalling (e.g. inactivity).</w:t>
      </w:r>
    </w:p>
    <w:p w14:paraId="75072AB6" w14:textId="742FF69B" w:rsidR="00465E3E" w:rsidRDefault="00465E3E" w:rsidP="00465E3E">
      <w:pPr>
        <w:rPr>
          <w:lang w:val="en-GB"/>
        </w:rPr>
      </w:pPr>
      <w:r>
        <w:rPr>
          <w:b/>
          <w:lang w:val="en-GB"/>
        </w:rPr>
        <w:t>Proposal 4:</w:t>
      </w:r>
      <w:r>
        <w:rPr>
          <w:lang w:val="en-GB"/>
        </w:rPr>
        <w:t xml:space="preserve"> </w:t>
      </w:r>
      <w:r w:rsidR="004D4B4A">
        <w:rPr>
          <w:lang w:val="en-GB"/>
        </w:rPr>
        <w:t xml:space="preserve">NR </w:t>
      </w:r>
      <w:r>
        <w:rPr>
          <w:lang w:val="en-GB"/>
        </w:rPr>
        <w:t xml:space="preserve">should consider </w:t>
      </w:r>
      <w:r w:rsidR="004D4B4A">
        <w:rPr>
          <w:lang w:val="en-GB"/>
        </w:rPr>
        <w:t>employing</w:t>
      </w:r>
      <w:r>
        <w:rPr>
          <w:lang w:val="en-GB"/>
        </w:rPr>
        <w:t xml:space="preserve"> power saving </w:t>
      </w:r>
      <w:r w:rsidR="004D4B4A">
        <w:rPr>
          <w:lang w:val="en-GB"/>
        </w:rPr>
        <w:t>techniques during active state in DRX</w:t>
      </w:r>
    </w:p>
    <w:p w14:paraId="6E0C216E" w14:textId="77777777" w:rsidR="00465E3E" w:rsidRPr="00465E3E" w:rsidRDefault="00465E3E" w:rsidP="00465E3E">
      <w:pPr>
        <w:pStyle w:val="ListParagraph"/>
        <w:numPr>
          <w:ilvl w:val="0"/>
          <w:numId w:val="36"/>
        </w:numPr>
        <w:rPr>
          <w:rFonts w:ascii="Times New Roman" w:hAnsi="Times New Roman"/>
          <w:sz w:val="20"/>
          <w:szCs w:val="20"/>
          <w:lang w:val="en-GB"/>
        </w:rPr>
      </w:pPr>
      <w:r w:rsidRPr="00465E3E">
        <w:rPr>
          <w:rFonts w:ascii="Times New Roman" w:hAnsi="Times New Roman"/>
          <w:sz w:val="20"/>
          <w:szCs w:val="20"/>
          <w:lang w:val="en-GB"/>
        </w:rPr>
        <w:t xml:space="preserve">Active state can have at least two modes of operation: PDCCH monitoring mode for low data activity, and data optimized mode for high data activity. </w:t>
      </w:r>
    </w:p>
    <w:p w14:paraId="626B732B" w14:textId="77777777" w:rsidR="00465E3E" w:rsidRPr="00465E3E" w:rsidRDefault="00465E3E" w:rsidP="00465E3E">
      <w:pPr>
        <w:pStyle w:val="ListParagraph"/>
        <w:numPr>
          <w:ilvl w:val="1"/>
          <w:numId w:val="36"/>
        </w:numPr>
        <w:rPr>
          <w:rFonts w:ascii="Times New Roman" w:hAnsi="Times New Roman"/>
          <w:sz w:val="20"/>
          <w:szCs w:val="20"/>
          <w:lang w:val="en-GB"/>
        </w:rPr>
      </w:pPr>
      <w:r w:rsidRPr="00465E3E">
        <w:rPr>
          <w:rFonts w:ascii="Times New Roman" w:hAnsi="Times New Roman"/>
          <w:sz w:val="20"/>
          <w:szCs w:val="20"/>
          <w:lang w:val="en-GB"/>
        </w:rPr>
        <w:t>PDCCH monitoring mode employs power saving techniques such as cross-slot scheduling, narrower bandwidth reception for DL control, sparser PDCCH monitoring periodicity, etc</w:t>
      </w:r>
    </w:p>
    <w:p w14:paraId="4F2E1C5A" w14:textId="77777777" w:rsidR="00465E3E" w:rsidRPr="00465E3E" w:rsidRDefault="00465E3E" w:rsidP="00465E3E">
      <w:pPr>
        <w:pStyle w:val="ListParagraph"/>
        <w:numPr>
          <w:ilvl w:val="1"/>
          <w:numId w:val="36"/>
        </w:numPr>
        <w:rPr>
          <w:rFonts w:ascii="Times New Roman" w:hAnsi="Times New Roman"/>
          <w:sz w:val="20"/>
          <w:szCs w:val="20"/>
          <w:lang w:val="en-GB"/>
        </w:rPr>
      </w:pPr>
      <w:r w:rsidRPr="00465E3E">
        <w:rPr>
          <w:rFonts w:ascii="Times New Roman" w:hAnsi="Times New Roman"/>
          <w:sz w:val="20"/>
          <w:szCs w:val="20"/>
          <w:lang w:val="en-GB"/>
        </w:rPr>
        <w:t>Data optimized mode targets lower latency by employing same-slot scheduling, wider bandwidth reception for both control and data, etc</w:t>
      </w:r>
    </w:p>
    <w:p w14:paraId="37027978" w14:textId="77777777" w:rsidR="00465E3E" w:rsidRPr="00465E3E" w:rsidRDefault="00465E3E" w:rsidP="00465E3E">
      <w:pPr>
        <w:pStyle w:val="ListParagraph"/>
        <w:numPr>
          <w:ilvl w:val="0"/>
          <w:numId w:val="36"/>
        </w:numPr>
        <w:rPr>
          <w:rFonts w:ascii="Times New Roman" w:hAnsi="Times New Roman"/>
          <w:sz w:val="20"/>
          <w:szCs w:val="20"/>
          <w:lang w:val="en-GB"/>
        </w:rPr>
      </w:pPr>
      <w:r w:rsidRPr="00465E3E">
        <w:rPr>
          <w:rFonts w:ascii="Times New Roman" w:hAnsi="Times New Roman"/>
          <w:sz w:val="20"/>
          <w:szCs w:val="20"/>
          <w:lang w:val="en-GB"/>
        </w:rPr>
        <w:t>Switching between the modes can be dynamic, based on L1 signaling and/or timers</w:t>
      </w:r>
    </w:p>
    <w:p w14:paraId="7E3B6FB6" w14:textId="77777777" w:rsidR="002D43AE" w:rsidRDefault="002D43AE" w:rsidP="00531C5A"/>
    <w:p w14:paraId="43B7F896" w14:textId="5D50D665" w:rsidR="00E523F3" w:rsidRPr="000A64D8" w:rsidRDefault="00E523F3" w:rsidP="00E523F3">
      <w:pPr>
        <w:pStyle w:val="Heading1"/>
        <w:rPr>
          <w:lang w:val="en-US"/>
        </w:rPr>
      </w:pPr>
      <w:r w:rsidRPr="000A64D8">
        <w:rPr>
          <w:lang w:val="en-US"/>
        </w:rPr>
        <w:t>References</w:t>
      </w:r>
    </w:p>
    <w:p w14:paraId="75724A29" w14:textId="3B6056B2" w:rsidR="00C6709F" w:rsidRDefault="00C6709F" w:rsidP="00C6709F">
      <w:pPr>
        <w:numPr>
          <w:ilvl w:val="0"/>
          <w:numId w:val="2"/>
        </w:numPr>
        <w:spacing w:before="100" w:beforeAutospacing="1" w:after="100" w:afterAutospacing="1"/>
        <w:rPr>
          <w:szCs w:val="22"/>
        </w:rPr>
      </w:pPr>
      <w:bookmarkStart w:id="3" w:name="_Ref485406800"/>
      <w:bookmarkStart w:id="4" w:name="_Ref485345769"/>
      <w:r w:rsidRPr="00C6709F">
        <w:rPr>
          <w:szCs w:val="22"/>
        </w:rPr>
        <w:t>R1-1609556</w:t>
      </w:r>
      <w:r>
        <w:rPr>
          <w:szCs w:val="22"/>
        </w:rPr>
        <w:t>, “</w:t>
      </w:r>
      <w:r w:rsidRPr="00C6709F">
        <w:rPr>
          <w:szCs w:val="22"/>
        </w:rPr>
        <w:t>Cross-slot scheduling in NR</w:t>
      </w:r>
      <w:r>
        <w:rPr>
          <w:szCs w:val="22"/>
        </w:rPr>
        <w:t>”, RAN1#86bis, Mediatek</w:t>
      </w:r>
      <w:bookmarkEnd w:id="3"/>
    </w:p>
    <w:p w14:paraId="557F8B8B" w14:textId="2A8618CD" w:rsidR="009336C8" w:rsidRDefault="009336C8" w:rsidP="00B15485">
      <w:pPr>
        <w:numPr>
          <w:ilvl w:val="0"/>
          <w:numId w:val="2"/>
        </w:numPr>
        <w:spacing w:before="100" w:beforeAutospacing="1" w:after="100" w:afterAutospacing="1"/>
        <w:rPr>
          <w:szCs w:val="22"/>
        </w:rPr>
      </w:pPr>
      <w:bookmarkStart w:id="5" w:name="_Ref485406843"/>
      <w:r>
        <w:rPr>
          <w:szCs w:val="22"/>
        </w:rPr>
        <w:t>R1</w:t>
      </w:r>
      <w:r w:rsidR="008C77E0">
        <w:rPr>
          <w:szCs w:val="22"/>
        </w:rPr>
        <w:t>-1609557, “On Techniques for Enhanced UE Power Efficiency”, RAN1#86bis, Mediatek</w:t>
      </w:r>
      <w:bookmarkEnd w:id="4"/>
      <w:bookmarkEnd w:id="5"/>
    </w:p>
    <w:p w14:paraId="08A113C6" w14:textId="658708CD" w:rsidR="008C77E0" w:rsidRDefault="008C77E0" w:rsidP="008C77E0">
      <w:pPr>
        <w:numPr>
          <w:ilvl w:val="0"/>
          <w:numId w:val="2"/>
        </w:numPr>
        <w:spacing w:before="100" w:beforeAutospacing="1" w:after="100" w:afterAutospacing="1"/>
        <w:rPr>
          <w:szCs w:val="22"/>
        </w:rPr>
      </w:pPr>
      <w:bookmarkStart w:id="6" w:name="_Ref485347013"/>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6"/>
    </w:p>
    <w:p w14:paraId="08699DC2" w14:textId="4EB962DA" w:rsidR="0047143A" w:rsidRPr="0047143A" w:rsidRDefault="0047143A" w:rsidP="0047143A">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7" w:name="_Ref477985001"/>
      <w:r>
        <w:t>Chairman’s Notes</w:t>
      </w:r>
      <w:r>
        <w:tab/>
        <w:t>3GPP TSG RAN WG1 #86bis</w:t>
      </w:r>
      <w:bookmarkEnd w:id="7"/>
    </w:p>
    <w:p w14:paraId="33600D42" w14:textId="101BC78D" w:rsidR="00CC6E06" w:rsidRDefault="00CC6E06" w:rsidP="00CC6E06">
      <w:pPr>
        <w:numPr>
          <w:ilvl w:val="0"/>
          <w:numId w:val="2"/>
        </w:numPr>
        <w:spacing w:before="100" w:beforeAutospacing="1" w:after="100" w:afterAutospacing="1"/>
        <w:rPr>
          <w:szCs w:val="22"/>
        </w:rPr>
      </w:pPr>
      <w:bookmarkStart w:id="8" w:name="_Ref485347039"/>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8"/>
    </w:p>
    <w:p w14:paraId="14C315D0" w14:textId="5F45EE7C" w:rsidR="00404815" w:rsidRDefault="00404815" w:rsidP="00404815">
      <w:pPr>
        <w:numPr>
          <w:ilvl w:val="0"/>
          <w:numId w:val="2"/>
        </w:numPr>
        <w:spacing w:before="100" w:beforeAutospacing="1" w:after="100" w:afterAutospacing="1"/>
        <w:rPr>
          <w:szCs w:val="22"/>
        </w:rPr>
      </w:pPr>
      <w:bookmarkStart w:id="9" w:name="_Ref485347151"/>
      <w:r w:rsidRPr="00404815">
        <w:rPr>
          <w:szCs w:val="22"/>
        </w:rPr>
        <w:t>R1-1612070</w:t>
      </w:r>
      <w:r>
        <w:rPr>
          <w:szCs w:val="22"/>
        </w:rPr>
        <w:t>, “</w:t>
      </w:r>
      <w:r w:rsidRPr="00404815">
        <w:rPr>
          <w:szCs w:val="22"/>
        </w:rPr>
        <w:t>Adaptive Bandwidth for Control and Data</w:t>
      </w:r>
      <w:r>
        <w:rPr>
          <w:szCs w:val="22"/>
        </w:rPr>
        <w:t>”, RAN1#87, Qualcomm</w:t>
      </w:r>
      <w:bookmarkEnd w:id="9"/>
    </w:p>
    <w:p w14:paraId="6E6A8072" w14:textId="6795763A" w:rsidR="00A3327A" w:rsidRPr="00A3327A" w:rsidRDefault="00A3327A" w:rsidP="00A3327A">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0" w:name="_Ref485407476"/>
      <w:bookmarkStart w:id="11" w:name="_Ref485346913"/>
      <w:r>
        <w:t>Chairman’s Notes</w:t>
      </w:r>
      <w:r>
        <w:tab/>
        <w:t xml:space="preserve">3GPP TSG RAN WG1 </w:t>
      </w:r>
      <w:r w:rsidRPr="00A3327A">
        <w:t>NR Ad-Hoc</w:t>
      </w:r>
      <w:bookmarkEnd w:id="10"/>
    </w:p>
    <w:p w14:paraId="20D3636E" w14:textId="7BB51EC6" w:rsidR="00404815" w:rsidRPr="00956672" w:rsidRDefault="00404815" w:rsidP="00404815">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2" w:name="_Ref485407496"/>
      <w:r>
        <w:t>Chairman’s Notes</w:t>
      </w:r>
      <w:r>
        <w:tab/>
        <w:t>3GPP TSG RAN WG1 #88bis</w:t>
      </w:r>
      <w:bookmarkEnd w:id="11"/>
      <w:bookmarkEnd w:id="12"/>
    </w:p>
    <w:p w14:paraId="3A06BE9D" w14:textId="0BD72EB1" w:rsidR="00956672" w:rsidRPr="00956672" w:rsidRDefault="00956672" w:rsidP="00404815">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3" w:name="_Ref485347451"/>
      <w:r>
        <w:t>R1-1704179, “Reply LS on UE RF Bandwidth Adaptation in NR”</w:t>
      </w:r>
      <w:bookmarkEnd w:id="13"/>
    </w:p>
    <w:p w14:paraId="5926FF5C" w14:textId="00993C6B" w:rsidR="00956672" w:rsidRPr="00404815" w:rsidRDefault="00956672" w:rsidP="00956672">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4" w:name="_Ref485347831"/>
      <w:r w:rsidRPr="00956672">
        <w:rPr>
          <w:szCs w:val="22"/>
        </w:rPr>
        <w:t>R1-1707727</w:t>
      </w:r>
      <w:r>
        <w:rPr>
          <w:szCs w:val="22"/>
        </w:rPr>
        <w:t>, “</w:t>
      </w:r>
      <w:r w:rsidRPr="00956672">
        <w:rPr>
          <w:szCs w:val="22"/>
        </w:rPr>
        <w:t>Discussion on UE specific RF bandwidth adaptation in NR</w:t>
      </w:r>
      <w:r>
        <w:rPr>
          <w:szCs w:val="22"/>
        </w:rPr>
        <w:t>”, RAN1#89, OPPO</w:t>
      </w:r>
      <w:bookmarkEnd w:id="14"/>
    </w:p>
    <w:p w14:paraId="786A026E" w14:textId="65DB61A1" w:rsidR="00404815" w:rsidRPr="00404815" w:rsidRDefault="00404815" w:rsidP="00404815">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5" w:name="_Ref485347363"/>
      <w:r w:rsidRPr="006C3616">
        <w:rPr>
          <w:szCs w:val="24"/>
          <w:lang w:val="de-DE"/>
        </w:rPr>
        <w:t>R1-17</w:t>
      </w:r>
      <w:r>
        <w:rPr>
          <w:szCs w:val="24"/>
          <w:lang w:val="de-DE"/>
        </w:rPr>
        <w:t>08998</w:t>
      </w:r>
      <w:r>
        <w:rPr>
          <w:szCs w:val="22"/>
        </w:rPr>
        <w:t>, “</w:t>
      </w:r>
      <w:r w:rsidRPr="00404815">
        <w:rPr>
          <w:szCs w:val="22"/>
        </w:rPr>
        <w:t>Bandwidth Adaptation in NR</w:t>
      </w:r>
      <w:r>
        <w:rPr>
          <w:szCs w:val="22"/>
        </w:rPr>
        <w:t>”, RAN1#89, Interdigital</w:t>
      </w:r>
      <w:bookmarkEnd w:id="15"/>
    </w:p>
    <w:p w14:paraId="7E5D3099" w14:textId="1F133E12" w:rsidR="00956672" w:rsidRDefault="00404815" w:rsidP="008029B4">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6" w:name="_Ref485347373"/>
      <w:r w:rsidRPr="00404815">
        <w:rPr>
          <w:szCs w:val="22"/>
        </w:rPr>
        <w:t>R1-1709074</w:t>
      </w:r>
      <w:r>
        <w:rPr>
          <w:szCs w:val="22"/>
        </w:rPr>
        <w:t>, “</w:t>
      </w:r>
      <w:r w:rsidRPr="00404815">
        <w:rPr>
          <w:szCs w:val="22"/>
        </w:rPr>
        <w:t>On Control Channel Design for Bandwidth Adaptation</w:t>
      </w:r>
      <w:r>
        <w:rPr>
          <w:szCs w:val="22"/>
        </w:rPr>
        <w:t>”, RAN1#89, Ericsson</w:t>
      </w:r>
      <w:bookmarkEnd w:id="16"/>
    </w:p>
    <w:p w14:paraId="4040EBB7" w14:textId="5B0A3B81" w:rsidR="00765641" w:rsidRPr="008029B4" w:rsidRDefault="00765641" w:rsidP="00765641">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7" w:name="_Ref485405192"/>
      <w:r w:rsidRPr="00765641">
        <w:rPr>
          <w:szCs w:val="22"/>
        </w:rPr>
        <w:t>R1-1711187</w:t>
      </w:r>
      <w:r>
        <w:rPr>
          <w:szCs w:val="22"/>
        </w:rPr>
        <w:t>, “</w:t>
      </w:r>
      <w:r w:rsidRPr="00765641">
        <w:rPr>
          <w:szCs w:val="22"/>
        </w:rPr>
        <w:t>Advanced Grant Indication for UE Power Saving</w:t>
      </w:r>
      <w:r>
        <w:rPr>
          <w:szCs w:val="22"/>
        </w:rPr>
        <w:t>”, RAN1</w:t>
      </w:r>
      <w:r w:rsidRPr="001D6508">
        <w:t xml:space="preserve"> </w:t>
      </w:r>
      <w:r w:rsidRPr="001D6508">
        <w:rPr>
          <w:szCs w:val="22"/>
        </w:rPr>
        <w:t>NR Ad-Hoc#2</w:t>
      </w:r>
      <w:r>
        <w:rPr>
          <w:szCs w:val="22"/>
        </w:rPr>
        <w:t>, Qualcomm</w:t>
      </w:r>
      <w:bookmarkEnd w:id="17"/>
    </w:p>
    <w:sectPr w:rsidR="00765641" w:rsidRPr="008029B4"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CC2E9" w14:textId="77777777" w:rsidR="00084770" w:rsidRDefault="00084770">
      <w:r>
        <w:separator/>
      </w:r>
    </w:p>
  </w:endnote>
  <w:endnote w:type="continuationSeparator" w:id="0">
    <w:p w14:paraId="46CCA106" w14:textId="77777777" w:rsidR="00084770" w:rsidRDefault="00084770">
      <w:r>
        <w:continuationSeparator/>
      </w:r>
    </w:p>
  </w:endnote>
  <w:endnote w:type="continuationNotice" w:id="1">
    <w:p w14:paraId="413C2430" w14:textId="77777777" w:rsidR="00084770" w:rsidRDefault="00084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06CEB26B"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D4B4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4B4A">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7D8CC" w14:textId="77777777" w:rsidR="00084770" w:rsidRDefault="00084770">
      <w:r>
        <w:separator/>
      </w:r>
    </w:p>
  </w:footnote>
  <w:footnote w:type="continuationSeparator" w:id="0">
    <w:p w14:paraId="6D5991D7" w14:textId="77777777" w:rsidR="00084770" w:rsidRDefault="00084770">
      <w:r>
        <w:continuationSeparator/>
      </w:r>
    </w:p>
  </w:footnote>
  <w:footnote w:type="continuationNotice" w:id="1">
    <w:p w14:paraId="5844BB54" w14:textId="77777777" w:rsidR="00084770" w:rsidRDefault="000847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FF129A"/>
    <w:multiLevelType w:val="hybridMultilevel"/>
    <w:tmpl w:val="212AB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0E335D"/>
    <w:multiLevelType w:val="hybridMultilevel"/>
    <w:tmpl w:val="77E8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cs="Times New Roman" w:hint="default"/>
      </w:rPr>
    </w:lvl>
    <w:lvl w:ilvl="1" w:tplc="53902F1C">
      <w:start w:val="2820"/>
      <w:numFmt w:val="bullet"/>
      <w:lvlText w:val="–"/>
      <w:lvlJc w:val="left"/>
      <w:pPr>
        <w:tabs>
          <w:tab w:val="num" w:pos="1440"/>
        </w:tabs>
        <w:ind w:left="1440" w:hanging="360"/>
      </w:pPr>
      <w:rPr>
        <w:rFonts w:ascii="Arial" w:hAnsi="Arial" w:cs="Times New Roman" w:hint="default"/>
      </w:rPr>
    </w:lvl>
    <w:lvl w:ilvl="2" w:tplc="A4722C5A">
      <w:start w:val="2820"/>
      <w:numFmt w:val="bullet"/>
      <w:lvlText w:val="•"/>
      <w:lvlJc w:val="left"/>
      <w:pPr>
        <w:tabs>
          <w:tab w:val="num" w:pos="2160"/>
        </w:tabs>
        <w:ind w:left="2160" w:hanging="360"/>
      </w:pPr>
      <w:rPr>
        <w:rFonts w:ascii="Arial" w:hAnsi="Arial" w:cs="Times New Roman" w:hint="default"/>
      </w:rPr>
    </w:lvl>
    <w:lvl w:ilvl="3" w:tplc="FC948564">
      <w:start w:val="1"/>
      <w:numFmt w:val="bullet"/>
      <w:lvlText w:val="•"/>
      <w:lvlJc w:val="left"/>
      <w:pPr>
        <w:tabs>
          <w:tab w:val="num" w:pos="2880"/>
        </w:tabs>
        <w:ind w:left="2880" w:hanging="360"/>
      </w:pPr>
      <w:rPr>
        <w:rFonts w:ascii="Arial" w:hAnsi="Arial" w:cs="Times New Roman" w:hint="default"/>
      </w:rPr>
    </w:lvl>
    <w:lvl w:ilvl="4" w:tplc="D8F48116">
      <w:start w:val="1"/>
      <w:numFmt w:val="bullet"/>
      <w:lvlText w:val="•"/>
      <w:lvlJc w:val="left"/>
      <w:pPr>
        <w:tabs>
          <w:tab w:val="num" w:pos="3600"/>
        </w:tabs>
        <w:ind w:left="3600" w:hanging="360"/>
      </w:pPr>
      <w:rPr>
        <w:rFonts w:ascii="Arial" w:hAnsi="Arial" w:cs="Times New Roman" w:hint="default"/>
      </w:rPr>
    </w:lvl>
    <w:lvl w:ilvl="5" w:tplc="B748F622">
      <w:start w:val="1"/>
      <w:numFmt w:val="bullet"/>
      <w:lvlText w:val="•"/>
      <w:lvlJc w:val="left"/>
      <w:pPr>
        <w:tabs>
          <w:tab w:val="num" w:pos="4320"/>
        </w:tabs>
        <w:ind w:left="4320" w:hanging="360"/>
      </w:pPr>
      <w:rPr>
        <w:rFonts w:ascii="Arial" w:hAnsi="Arial" w:cs="Times New Roman" w:hint="default"/>
      </w:rPr>
    </w:lvl>
    <w:lvl w:ilvl="6" w:tplc="FE0A57A6">
      <w:start w:val="1"/>
      <w:numFmt w:val="bullet"/>
      <w:lvlText w:val="•"/>
      <w:lvlJc w:val="left"/>
      <w:pPr>
        <w:tabs>
          <w:tab w:val="num" w:pos="5040"/>
        </w:tabs>
        <w:ind w:left="5040" w:hanging="360"/>
      </w:pPr>
      <w:rPr>
        <w:rFonts w:ascii="Arial" w:hAnsi="Arial" w:cs="Times New Roman" w:hint="default"/>
      </w:rPr>
    </w:lvl>
    <w:lvl w:ilvl="7" w:tplc="FC4EC64E">
      <w:start w:val="1"/>
      <w:numFmt w:val="bullet"/>
      <w:lvlText w:val="•"/>
      <w:lvlJc w:val="left"/>
      <w:pPr>
        <w:tabs>
          <w:tab w:val="num" w:pos="5760"/>
        </w:tabs>
        <w:ind w:left="5760" w:hanging="360"/>
      </w:pPr>
      <w:rPr>
        <w:rFonts w:ascii="Arial" w:hAnsi="Arial" w:cs="Times New Roman" w:hint="default"/>
      </w:rPr>
    </w:lvl>
    <w:lvl w:ilvl="8" w:tplc="4FE0BF9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4"/>
  </w:num>
  <w:num w:numId="4">
    <w:abstractNumId w:val="21"/>
  </w:num>
  <w:num w:numId="5">
    <w:abstractNumId w:val="5"/>
  </w:num>
  <w:num w:numId="6">
    <w:abstractNumId w:val="12"/>
  </w:num>
  <w:num w:numId="7">
    <w:abstractNumId w:val="14"/>
  </w:num>
  <w:num w:numId="8">
    <w:abstractNumId w:val="1"/>
  </w:num>
  <w:num w:numId="9">
    <w:abstractNumId w:val="39"/>
    <w:lvlOverride w:ilvl="0">
      <w:startOverride w:val="1"/>
    </w:lvlOverride>
  </w:num>
  <w:num w:numId="10">
    <w:abstractNumId w:val="24"/>
  </w:num>
  <w:num w:numId="11">
    <w:abstractNumId w:val="30"/>
  </w:num>
  <w:num w:numId="12">
    <w:abstractNumId w:val="31"/>
  </w:num>
  <w:num w:numId="13">
    <w:abstractNumId w:val="18"/>
  </w:num>
  <w:num w:numId="14">
    <w:abstractNumId w:val="29"/>
  </w:num>
  <w:num w:numId="15">
    <w:abstractNumId w:val="9"/>
  </w:num>
  <w:num w:numId="16">
    <w:abstractNumId w:val="20"/>
  </w:num>
  <w:num w:numId="17">
    <w:abstractNumId w:val="16"/>
  </w:num>
  <w:num w:numId="18">
    <w:abstractNumId w:val="36"/>
  </w:num>
  <w:num w:numId="19">
    <w:abstractNumId w:val="41"/>
  </w:num>
  <w:num w:numId="20">
    <w:abstractNumId w:val="15"/>
  </w:num>
  <w:num w:numId="21">
    <w:abstractNumId w:val="35"/>
  </w:num>
  <w:num w:numId="22">
    <w:abstractNumId w:val="3"/>
  </w:num>
  <w:num w:numId="23">
    <w:abstractNumId w:val="17"/>
  </w:num>
  <w:num w:numId="24">
    <w:abstractNumId w:val="13"/>
  </w:num>
  <w:num w:numId="25">
    <w:abstractNumId w:val="7"/>
  </w:num>
  <w:num w:numId="26">
    <w:abstractNumId w:val="27"/>
  </w:num>
  <w:num w:numId="27">
    <w:abstractNumId w:val="33"/>
  </w:num>
  <w:num w:numId="28">
    <w:abstractNumId w:val="23"/>
  </w:num>
  <w:num w:numId="29">
    <w:abstractNumId w:val="37"/>
  </w:num>
  <w:num w:numId="30">
    <w:abstractNumId w:val="40"/>
  </w:num>
  <w:num w:numId="31">
    <w:abstractNumId w:val="2"/>
  </w:num>
  <w:num w:numId="32">
    <w:abstractNumId w:val="32"/>
  </w:num>
  <w:num w:numId="33">
    <w:abstractNumId w:val="10"/>
  </w:num>
  <w:num w:numId="34">
    <w:abstractNumId w:val="22"/>
  </w:num>
  <w:num w:numId="35">
    <w:abstractNumId w:val="6"/>
  </w:num>
  <w:num w:numId="36">
    <w:abstractNumId w:val="8"/>
  </w:num>
  <w:num w:numId="37">
    <w:abstractNumId w:val="11"/>
  </w:num>
  <w:num w:numId="38">
    <w:abstractNumId w:val="28"/>
  </w:num>
  <w:num w:numId="39">
    <w:abstractNumId w:val="38"/>
  </w:num>
  <w:num w:numId="40">
    <w:abstractNumId w:val="25"/>
  </w:num>
  <w:num w:numId="41">
    <w:abstractNumId w:val="34"/>
  </w:num>
  <w:num w:numId="42">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93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073"/>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770"/>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27"/>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430"/>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05"/>
    <w:rsid w:val="00175A6E"/>
    <w:rsid w:val="00175B5A"/>
    <w:rsid w:val="00175EF2"/>
    <w:rsid w:val="00176414"/>
    <w:rsid w:val="00176BDB"/>
    <w:rsid w:val="0017714C"/>
    <w:rsid w:val="0017722E"/>
    <w:rsid w:val="00177482"/>
    <w:rsid w:val="00177711"/>
    <w:rsid w:val="00177A0D"/>
    <w:rsid w:val="00177AC2"/>
    <w:rsid w:val="00177B5E"/>
    <w:rsid w:val="00177D98"/>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6C5"/>
    <w:rsid w:val="001C19EB"/>
    <w:rsid w:val="001C1CD8"/>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11F"/>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B62"/>
    <w:rsid w:val="0022657F"/>
    <w:rsid w:val="002269A7"/>
    <w:rsid w:val="00226A52"/>
    <w:rsid w:val="00226AE0"/>
    <w:rsid w:val="00226BD3"/>
    <w:rsid w:val="00226FE2"/>
    <w:rsid w:val="0022701B"/>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BCC"/>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FB8"/>
    <w:rsid w:val="002A31FF"/>
    <w:rsid w:val="002A3668"/>
    <w:rsid w:val="002A3771"/>
    <w:rsid w:val="002A37C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DB2"/>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600"/>
    <w:rsid w:val="002D2A64"/>
    <w:rsid w:val="002D2B4E"/>
    <w:rsid w:val="002D3968"/>
    <w:rsid w:val="002D425A"/>
    <w:rsid w:val="002D4314"/>
    <w:rsid w:val="002D43AE"/>
    <w:rsid w:val="002D4A54"/>
    <w:rsid w:val="002D4E37"/>
    <w:rsid w:val="002D52E0"/>
    <w:rsid w:val="002D5932"/>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852"/>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869"/>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375"/>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8FC"/>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C69"/>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815"/>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3E"/>
    <w:rsid w:val="00465EB3"/>
    <w:rsid w:val="0047041E"/>
    <w:rsid w:val="00470628"/>
    <w:rsid w:val="00470750"/>
    <w:rsid w:val="00470893"/>
    <w:rsid w:val="00470A49"/>
    <w:rsid w:val="0047143A"/>
    <w:rsid w:val="0047166D"/>
    <w:rsid w:val="00471856"/>
    <w:rsid w:val="00471DB0"/>
    <w:rsid w:val="00471FAB"/>
    <w:rsid w:val="0047253B"/>
    <w:rsid w:val="00472ACB"/>
    <w:rsid w:val="004735E8"/>
    <w:rsid w:val="004737D3"/>
    <w:rsid w:val="00473F5F"/>
    <w:rsid w:val="0047410D"/>
    <w:rsid w:val="0047469A"/>
    <w:rsid w:val="0047475B"/>
    <w:rsid w:val="00475260"/>
    <w:rsid w:val="0047539C"/>
    <w:rsid w:val="004753D8"/>
    <w:rsid w:val="004755D5"/>
    <w:rsid w:val="00475674"/>
    <w:rsid w:val="00475B1B"/>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317"/>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1CB"/>
    <w:rsid w:val="0048731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B97"/>
    <w:rsid w:val="004D2E57"/>
    <w:rsid w:val="004D30AD"/>
    <w:rsid w:val="004D3251"/>
    <w:rsid w:val="004D3403"/>
    <w:rsid w:val="004D39CA"/>
    <w:rsid w:val="004D40D5"/>
    <w:rsid w:val="004D4968"/>
    <w:rsid w:val="004D4A8A"/>
    <w:rsid w:val="004D4ABF"/>
    <w:rsid w:val="004D4B4A"/>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DA2"/>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545"/>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1C"/>
    <w:rsid w:val="00563FD2"/>
    <w:rsid w:val="0056434D"/>
    <w:rsid w:val="00564597"/>
    <w:rsid w:val="00564EB9"/>
    <w:rsid w:val="00566BE7"/>
    <w:rsid w:val="00566C25"/>
    <w:rsid w:val="0056719E"/>
    <w:rsid w:val="005671D4"/>
    <w:rsid w:val="005675B2"/>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B75"/>
    <w:rsid w:val="00575B8E"/>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5C83"/>
    <w:rsid w:val="00586013"/>
    <w:rsid w:val="0058628A"/>
    <w:rsid w:val="00586B34"/>
    <w:rsid w:val="00587117"/>
    <w:rsid w:val="0058759B"/>
    <w:rsid w:val="0058764D"/>
    <w:rsid w:val="005909AD"/>
    <w:rsid w:val="00590BF6"/>
    <w:rsid w:val="00590EBE"/>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42F"/>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6A53"/>
    <w:rsid w:val="00677725"/>
    <w:rsid w:val="00677F10"/>
    <w:rsid w:val="0068013A"/>
    <w:rsid w:val="00680A97"/>
    <w:rsid w:val="00680F30"/>
    <w:rsid w:val="00680F4A"/>
    <w:rsid w:val="00680F81"/>
    <w:rsid w:val="0068102D"/>
    <w:rsid w:val="006810A8"/>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06"/>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1F"/>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0C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641"/>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115"/>
    <w:rsid w:val="00780980"/>
    <w:rsid w:val="007809E1"/>
    <w:rsid w:val="00780A03"/>
    <w:rsid w:val="00780AF4"/>
    <w:rsid w:val="00780F3D"/>
    <w:rsid w:val="0078146E"/>
    <w:rsid w:val="0078165E"/>
    <w:rsid w:val="007816FD"/>
    <w:rsid w:val="007819C2"/>
    <w:rsid w:val="00781B9A"/>
    <w:rsid w:val="00781BC7"/>
    <w:rsid w:val="00781DAD"/>
    <w:rsid w:val="00782349"/>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5A"/>
    <w:rsid w:val="007A15BA"/>
    <w:rsid w:val="007A16E9"/>
    <w:rsid w:val="007A1B63"/>
    <w:rsid w:val="007A22D6"/>
    <w:rsid w:val="007A2BFF"/>
    <w:rsid w:val="007A2D56"/>
    <w:rsid w:val="007A32E9"/>
    <w:rsid w:val="007A3395"/>
    <w:rsid w:val="007A3505"/>
    <w:rsid w:val="007A3BF2"/>
    <w:rsid w:val="007A4338"/>
    <w:rsid w:val="007A49BD"/>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B4F"/>
    <w:rsid w:val="007B7D58"/>
    <w:rsid w:val="007B7E59"/>
    <w:rsid w:val="007C0880"/>
    <w:rsid w:val="007C0AE5"/>
    <w:rsid w:val="007C0BD2"/>
    <w:rsid w:val="007C0F3A"/>
    <w:rsid w:val="007C0F87"/>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0DEF"/>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5BF"/>
    <w:rsid w:val="00800994"/>
    <w:rsid w:val="00800D5F"/>
    <w:rsid w:val="008013B8"/>
    <w:rsid w:val="008016C8"/>
    <w:rsid w:val="0080179D"/>
    <w:rsid w:val="00801838"/>
    <w:rsid w:val="008018DC"/>
    <w:rsid w:val="00802410"/>
    <w:rsid w:val="0080270F"/>
    <w:rsid w:val="008029B4"/>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21C"/>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56A"/>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0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D4B"/>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351"/>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672"/>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2C"/>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BB"/>
    <w:rsid w:val="009F5606"/>
    <w:rsid w:val="009F5CA4"/>
    <w:rsid w:val="009F5E80"/>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ECA"/>
    <w:rsid w:val="00A23243"/>
    <w:rsid w:val="00A23590"/>
    <w:rsid w:val="00A23919"/>
    <w:rsid w:val="00A23921"/>
    <w:rsid w:val="00A23E0D"/>
    <w:rsid w:val="00A24002"/>
    <w:rsid w:val="00A2470A"/>
    <w:rsid w:val="00A2481C"/>
    <w:rsid w:val="00A24C85"/>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7A"/>
    <w:rsid w:val="00A3331F"/>
    <w:rsid w:val="00A3393A"/>
    <w:rsid w:val="00A34685"/>
    <w:rsid w:val="00A34DA0"/>
    <w:rsid w:val="00A34EC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B43"/>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3D7"/>
    <w:rsid w:val="00AC5987"/>
    <w:rsid w:val="00AC5C2A"/>
    <w:rsid w:val="00AC61B3"/>
    <w:rsid w:val="00AC63F4"/>
    <w:rsid w:val="00AC6786"/>
    <w:rsid w:val="00AC6BED"/>
    <w:rsid w:val="00AC7470"/>
    <w:rsid w:val="00AC7945"/>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56B"/>
    <w:rsid w:val="00AE7751"/>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856"/>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85E"/>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2995"/>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DAB"/>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2DB"/>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12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09F"/>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BB9"/>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9"/>
    <w:rsid w:val="00CC620F"/>
    <w:rsid w:val="00CC6E06"/>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28"/>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11"/>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868"/>
    <w:rsid w:val="00D24D04"/>
    <w:rsid w:val="00D256AE"/>
    <w:rsid w:val="00D25866"/>
    <w:rsid w:val="00D25A61"/>
    <w:rsid w:val="00D25E03"/>
    <w:rsid w:val="00D25E4B"/>
    <w:rsid w:val="00D261FB"/>
    <w:rsid w:val="00D26283"/>
    <w:rsid w:val="00D263B5"/>
    <w:rsid w:val="00D26586"/>
    <w:rsid w:val="00D2664C"/>
    <w:rsid w:val="00D2670D"/>
    <w:rsid w:val="00D26AB3"/>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B2F"/>
    <w:rsid w:val="00D90F7D"/>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3BE"/>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7E1"/>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7DF"/>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5DDD"/>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898"/>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572"/>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1F42"/>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809"/>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ReferenceChar">
    <w:name w:val="Reference Char"/>
    <w:link w:val="Reference"/>
    <w:rsid w:val="00404815"/>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1922585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HR33RHYHUWRF-4-4926</_dlc_DocId>
    <_dlc_DocIdUrl xmlns="c06861ca-3f08-4d07-bff7-bb15bac121f4">
      <Url>https://projects.qualcomm.com/sites/pentari/_layouts/15/DocIdRedir.aspx?ID=HR33RHYHUWRF-4-4926</Url>
      <Description>HR33RHYHUWRF-4-4926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purl.org/dc/terms/"/>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purl.org/dc/dcmitype/"/>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53EE2B09-339E-474E-B48B-FB292822D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801</TotalTime>
  <Pages>7</Pages>
  <Words>2819</Words>
  <Characters>16070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18852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Peter Ang</cp:lastModifiedBy>
  <cp:revision>72</cp:revision>
  <cp:lastPrinted>2014-11-07T05:38:00Z</cp:lastPrinted>
  <dcterms:created xsi:type="dcterms:W3CDTF">2017-06-12T22:56:00Z</dcterms:created>
  <dcterms:modified xsi:type="dcterms:W3CDTF">2017-06-17T05:49:00Z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8796909b-abad-4fa0-8317-7271d7128108</vt:lpwstr>
  </property>
</Properties>
</file>