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61D401BC"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A04D37" w:rsidRPr="008E769D">
        <w:rPr>
          <w:rFonts w:ascii="Arial" w:hAnsi="Arial" w:cs="Arial"/>
          <w:b/>
          <w:sz w:val="22"/>
          <w:szCs w:val="24"/>
        </w:rPr>
        <w:t xml:space="preserve">NR </w:t>
      </w:r>
      <w:proofErr w:type="spellStart"/>
      <w:r w:rsidR="00A04D37" w:rsidRPr="008E769D">
        <w:rPr>
          <w:rFonts w:ascii="Arial" w:hAnsi="Arial" w:cs="Arial"/>
          <w:b/>
          <w:sz w:val="22"/>
          <w:szCs w:val="24"/>
        </w:rPr>
        <w:t>AdHoc</w:t>
      </w:r>
      <w:proofErr w:type="spellEnd"/>
      <w:r w:rsidR="00A04D37" w:rsidRPr="008E769D">
        <w:rPr>
          <w:rFonts w:ascii="Arial" w:hAnsi="Arial" w:cs="Arial"/>
          <w:b/>
          <w:sz w:val="22"/>
          <w:szCs w:val="24"/>
        </w:rPr>
        <w:t xml:space="preserve"> #2</w:t>
      </w:r>
      <w:r w:rsidR="00CE5F5F" w:rsidRPr="008E769D">
        <w:rPr>
          <w:rFonts w:ascii="Arial" w:hAnsi="Arial" w:cs="Arial"/>
          <w:b/>
          <w:sz w:val="22"/>
          <w:szCs w:val="24"/>
        </w:rPr>
        <w:t xml:space="preserve"> </w:t>
      </w:r>
      <w:r w:rsidR="00CE5F5F" w:rsidRPr="008E769D">
        <w:rPr>
          <w:rFonts w:ascii="Arial" w:hAnsi="Arial" w:cs="Arial"/>
          <w:b/>
          <w:sz w:val="22"/>
          <w:szCs w:val="24"/>
        </w:rPr>
        <w:tab/>
      </w:r>
      <w:r w:rsidR="00346F99" w:rsidRPr="008E769D">
        <w:rPr>
          <w:rFonts w:ascii="Arial" w:hAnsi="Arial" w:cs="Arial"/>
          <w:b/>
          <w:sz w:val="22"/>
          <w:szCs w:val="24"/>
        </w:rPr>
        <w:t>R1-</w:t>
      </w:r>
      <w:r w:rsidR="00737B9A" w:rsidRPr="008E769D">
        <w:rPr>
          <w:rFonts w:ascii="Arial" w:hAnsi="Arial" w:cs="Arial"/>
          <w:b/>
          <w:sz w:val="22"/>
          <w:szCs w:val="24"/>
        </w:rPr>
        <w:t>17</w:t>
      </w:r>
      <w:r w:rsidR="00A04D37" w:rsidRPr="008E769D">
        <w:rPr>
          <w:rFonts w:ascii="Arial" w:hAnsi="Arial" w:cs="Arial"/>
          <w:b/>
          <w:sz w:val="22"/>
          <w:szCs w:val="24"/>
        </w:rPr>
        <w:t>1120</w:t>
      </w:r>
      <w:r w:rsidR="0005309A" w:rsidRPr="008E769D">
        <w:rPr>
          <w:rFonts w:ascii="Arial" w:hAnsi="Arial" w:cs="Arial"/>
          <w:b/>
          <w:sz w:val="22"/>
          <w:szCs w:val="24"/>
        </w:rPr>
        <w:t>6</w:t>
      </w:r>
    </w:p>
    <w:p w14:paraId="5EC9F255" w14:textId="7E468C14" w:rsidR="00463687" w:rsidRPr="008E769D" w:rsidRDefault="00A04D37" w:rsidP="00463687">
      <w:pPr>
        <w:tabs>
          <w:tab w:val="right" w:pos="10000"/>
        </w:tabs>
        <w:spacing w:after="0"/>
        <w:rPr>
          <w:rFonts w:ascii="Arial" w:hAnsi="Arial" w:cs="Arial"/>
          <w:b/>
          <w:sz w:val="22"/>
          <w:szCs w:val="24"/>
        </w:rPr>
      </w:pPr>
      <w:r w:rsidRPr="008E769D">
        <w:rPr>
          <w:rFonts w:ascii="Arial" w:hAnsi="Arial" w:cs="Arial"/>
          <w:b/>
          <w:sz w:val="22"/>
          <w:szCs w:val="24"/>
        </w:rPr>
        <w:t>June</w:t>
      </w:r>
      <w:r w:rsidR="00463687" w:rsidRPr="008E769D">
        <w:rPr>
          <w:rFonts w:ascii="Arial" w:hAnsi="Arial" w:cs="Arial"/>
          <w:b/>
          <w:sz w:val="22"/>
          <w:szCs w:val="24"/>
        </w:rPr>
        <w:t xml:space="preserve"> </w:t>
      </w:r>
      <w:r w:rsidRPr="008E769D">
        <w:rPr>
          <w:rFonts w:ascii="Arial" w:hAnsi="Arial" w:cs="Arial"/>
          <w:b/>
          <w:sz w:val="22"/>
          <w:szCs w:val="24"/>
        </w:rPr>
        <w:t>27</w:t>
      </w:r>
      <w:r w:rsidR="001F4BAF" w:rsidRPr="008E769D">
        <w:rPr>
          <w:rFonts w:ascii="Arial" w:hAnsi="Arial" w:cs="Arial"/>
          <w:b/>
          <w:sz w:val="22"/>
          <w:szCs w:val="24"/>
          <w:vertAlign w:val="superscript"/>
        </w:rPr>
        <w:t>th</w:t>
      </w:r>
      <w:r w:rsidR="00463687" w:rsidRPr="008E769D">
        <w:rPr>
          <w:rFonts w:ascii="Arial" w:hAnsi="Arial" w:cs="Arial"/>
          <w:b/>
          <w:sz w:val="22"/>
          <w:szCs w:val="24"/>
        </w:rPr>
        <w:t xml:space="preserve"> – </w:t>
      </w:r>
      <w:r w:rsidRPr="008E769D">
        <w:rPr>
          <w:rFonts w:ascii="Arial" w:hAnsi="Arial" w:cs="Arial"/>
          <w:b/>
          <w:sz w:val="22"/>
          <w:szCs w:val="24"/>
        </w:rPr>
        <w:t>30</w:t>
      </w:r>
      <w:r w:rsidR="00463687" w:rsidRPr="008E769D">
        <w:rPr>
          <w:rFonts w:ascii="Arial" w:hAnsi="Arial" w:cs="Arial"/>
          <w:b/>
          <w:sz w:val="22"/>
          <w:szCs w:val="24"/>
          <w:vertAlign w:val="superscript"/>
        </w:rPr>
        <w:t>th</w:t>
      </w:r>
      <w:r w:rsidR="00463687" w:rsidRPr="008E769D">
        <w:rPr>
          <w:rFonts w:ascii="Arial" w:hAnsi="Arial" w:cs="Arial"/>
          <w:b/>
          <w:sz w:val="22"/>
          <w:szCs w:val="24"/>
        </w:rPr>
        <w:t>, 2017</w:t>
      </w:r>
    </w:p>
    <w:p w14:paraId="2E426516" w14:textId="603FFEA2" w:rsidR="000C63E6" w:rsidRPr="008E769D" w:rsidRDefault="00A04D37" w:rsidP="00463687">
      <w:pPr>
        <w:tabs>
          <w:tab w:val="right" w:pos="10000"/>
        </w:tabs>
        <w:spacing w:after="0"/>
        <w:rPr>
          <w:rFonts w:ascii="Arial" w:hAnsi="Arial" w:cs="Arial"/>
          <w:b/>
          <w:sz w:val="22"/>
          <w:szCs w:val="24"/>
        </w:rPr>
      </w:pPr>
      <w:r w:rsidRPr="008E769D">
        <w:rPr>
          <w:rFonts w:ascii="Arial" w:hAnsi="Arial" w:cs="Arial"/>
          <w:b/>
          <w:sz w:val="22"/>
          <w:szCs w:val="24"/>
        </w:rPr>
        <w:t>Qingdao</w:t>
      </w:r>
      <w:r w:rsidR="00463687" w:rsidRPr="008E769D">
        <w:rPr>
          <w:rFonts w:ascii="Arial" w:hAnsi="Arial" w:cs="Arial"/>
          <w:b/>
          <w:sz w:val="22"/>
          <w:szCs w:val="24"/>
        </w:rPr>
        <w:t xml:space="preserve">, </w:t>
      </w:r>
      <w:r w:rsidR="008E00FB" w:rsidRPr="008E769D">
        <w:rPr>
          <w:rFonts w:ascii="Arial" w:hAnsi="Arial" w:cs="Arial"/>
          <w:b/>
          <w:sz w:val="22"/>
          <w:szCs w:val="24"/>
        </w:rPr>
        <w:t>China</w:t>
      </w:r>
    </w:p>
    <w:p w14:paraId="2F2D8718" w14:textId="77777777" w:rsidR="00CE5F5F" w:rsidRPr="008E769D" w:rsidRDefault="00CE5F5F" w:rsidP="00CE5F5F">
      <w:pPr>
        <w:pStyle w:val="Footer"/>
        <w:jc w:val="both"/>
        <w:rPr>
          <w:noProof w:val="0"/>
          <w:sz w:val="16"/>
        </w:rPr>
      </w:pPr>
    </w:p>
    <w:p w14:paraId="00A480DC" w14:textId="423B8554"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A04D37" w:rsidRPr="008E769D">
        <w:rPr>
          <w:rFonts w:ascii="Arial" w:hAnsi="Arial"/>
          <w:sz w:val="22"/>
        </w:rPr>
        <w:t>5</w:t>
      </w:r>
      <w:r w:rsidRPr="008E769D">
        <w:rPr>
          <w:rFonts w:ascii="Arial" w:hAnsi="Arial"/>
          <w:sz w:val="22"/>
        </w:rPr>
        <w:t>.1.</w:t>
      </w:r>
      <w:r w:rsidR="00585668" w:rsidRPr="008E769D">
        <w:rPr>
          <w:rFonts w:ascii="Arial" w:hAnsi="Arial"/>
          <w:sz w:val="22"/>
        </w:rPr>
        <w:t>3</w:t>
      </w:r>
      <w:r w:rsidR="000C63E6" w:rsidRPr="008E769D">
        <w:rPr>
          <w:rFonts w:ascii="Arial" w:hAnsi="Arial"/>
          <w:sz w:val="22"/>
        </w:rPr>
        <w:t>.3</w:t>
      </w:r>
      <w:r w:rsidR="00346F99" w:rsidRPr="008E769D">
        <w:rPr>
          <w:rFonts w:ascii="Arial" w:hAnsi="Arial"/>
          <w:sz w:val="22"/>
        </w:rPr>
        <w:t>.</w:t>
      </w:r>
      <w:r w:rsidR="0005309A" w:rsidRPr="008E769D">
        <w:rPr>
          <w:rFonts w:ascii="Arial" w:hAnsi="Arial"/>
          <w:sz w:val="22"/>
        </w:rPr>
        <w:t>6</w:t>
      </w:r>
      <w:r w:rsidR="00A04D37" w:rsidRPr="008E769D">
        <w:rPr>
          <w:rFonts w:ascii="Arial" w:hAnsi="Arial"/>
          <w:sz w:val="22"/>
        </w:rPr>
        <w:t>.</w:t>
      </w:r>
      <w:r w:rsidR="0005309A" w:rsidRPr="008E769D">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DE19660"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1C06AF" w:rsidRPr="008E769D">
        <w:rPr>
          <w:rFonts w:ascii="Arial" w:hAnsi="Arial"/>
          <w:sz w:val="22"/>
        </w:rPr>
        <w:t>UE Processing Time</w:t>
      </w:r>
    </w:p>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9063320" w:rsidR="001F2982" w:rsidRPr="008E769D" w:rsidRDefault="00B524B6" w:rsidP="0088176C">
      <w:pPr>
        <w:pStyle w:val="Heading1"/>
        <w:rPr>
          <w:lang w:val="en-US"/>
        </w:rPr>
      </w:pPr>
      <w:r w:rsidRPr="008E769D">
        <w:rPr>
          <w:lang w:val="en-US"/>
        </w:rPr>
        <w:t>Introduction</w:t>
      </w:r>
    </w:p>
    <w:p w14:paraId="7E74B0AC" w14:textId="7C449C7D" w:rsidR="0040609D" w:rsidRPr="00735650" w:rsidRDefault="002C1D61" w:rsidP="00735650">
      <w:r w:rsidRPr="00735650">
        <w:rPr>
          <w:noProof/>
          <w:sz w:val="22"/>
        </w:rPr>
        <mc:AlternateContent>
          <mc:Choice Requires="wps">
            <w:drawing>
              <wp:anchor distT="0" distB="0" distL="114300" distR="114300" simplePos="0" relativeHeight="251661312" behindDoc="0" locked="0" layoutInCell="1" allowOverlap="1" wp14:anchorId="31DD0A87" wp14:editId="489B9BB0">
                <wp:simplePos x="0" y="0"/>
                <wp:positionH relativeFrom="margin">
                  <wp:align>left</wp:align>
                </wp:positionH>
                <wp:positionV relativeFrom="paragraph">
                  <wp:posOffset>361949</wp:posOffset>
                </wp:positionV>
                <wp:extent cx="6358890" cy="1647825"/>
                <wp:effectExtent l="0" t="0" r="22860" b="28575"/>
                <wp:wrapNone/>
                <wp:docPr id="2" name="Rounded Rectangle 2"/>
                <wp:cNvGraphicFramePr/>
                <a:graphic xmlns:a="http://schemas.openxmlformats.org/drawingml/2006/main">
                  <a:graphicData uri="http://schemas.microsoft.com/office/word/2010/wordprocessingShape">
                    <wps:wsp>
                      <wps:cNvSpPr/>
                      <wps:spPr>
                        <a:xfrm>
                          <a:off x="0" y="0"/>
                          <a:ext cx="6358890" cy="1647825"/>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BD70FDA" id="Rounded Rectangle 2" o:spid="_x0000_s1026" style="position:absolute;margin-left:0;margin-top:28.5pt;width:500.7pt;height:129.7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L8+igIAAGsFAAAOAAAAZHJzL2Uyb0RvYy54bWysVF9P2zAQf5+072D5faTJSikRKapATJMQ&#10;VMDEs3HsNprt82y3affpd3bStLA+TXuxfb7/d7+7q+utVmQjnG/AVDQ/G1EiDIe6McuK/ni5+zKl&#10;xAdmaqbAiIruhKfXs8+frlpbigJWoGrhCBoxvmxtRVch2DLLPF8JzfwZWGGQKcFpFpB0y6x2rEXr&#10;WmXFaDTJWnC1dcCF9/h72zHpLNmXUvDwKKUXgaiKYmwhnS6db/HMZlesXDpmVw3vw2D/EIVmjUGn&#10;g6lbFhhZu+YvU7rhDjzIcMZBZyBlw0XKAbPJRx+yeV4xK1IuWBxvhzL5/2eWP2wWjjR1RQtKDNPY&#10;oidYm1rU5AmLx8xSCVLEMrXWlyj9bBeupzw+Y85b6XS8MRuyTaXdDaUV20A4fk6+nk+nl9gBjrx8&#10;Mr6YFufRanZQt86HbwI0iY+KuhhGjCHVlW3ufejk93LRpYG7Rin8Z6Uy8fSgmjr+JSKiSNwoRzYM&#10;+x+2ee/ySAoDiJpZTK9LKL3CTonO6pOQWB9MoUiBJGQebDLOhQmT3q4yKB3VJEYwKOanFFXYB9PL&#10;RjWREDsojk4pvvc4aCSvYMKgrBsD7pSB+ufguZPfZ9/lHNN/g3qHsHDQzYu3/K7BptwzHxbM4YBg&#10;I3HowyMeUkFbUehflKzA/T71H+URt8ilpMWBq6j/tWZOUKK+G0T0ZT4exwlNxPj8okDCHXPejjlm&#10;rW8Ae5rjerE8PaN8UPundKBfcTfMo1dkMcPRd0V5cHviJnSLALcLF/N5EsOptCzcm2fLo/FY1Yi3&#10;l+0rc7ZHZkBQP8B+OFn5AZudbNQ0MF8HkE0C7qGufb1xohP+++0TV8YxnaQOO3L2BwAA//8DAFBL&#10;AwQUAAYACAAAACEA5BYEcN0AAAAIAQAADwAAAGRycy9kb3ducmV2LnhtbEyPQUvDQBCF74L/YRnB&#10;m92NtVViJkUK4lWrFrxNkjEJzc6G3W2b+uvdnvT0GN7w3veK1WQHdWAfeicI2cyAYqld00uL8PH+&#10;fPMAKkSShgYnjHDiAKvy8qKgvHFHeePDJrYqhUjICaGLccy1DnXHlsLMjSzJ+3beUkynb3Xj6ZjC&#10;7aBvjVlqS72kho5GXndc7zZ7i7A1Xz+0Fl29bD/r3avzvpqfPOL11fT0CCryFP+e4Yyf0KFMTJXb&#10;SxPUgJCGRITFfdKza0x2B6pCmGfLBeiy0P8HlL8AAAD//wMAUEsBAi0AFAAGAAgAAAAhALaDOJL+&#10;AAAA4QEAABMAAAAAAAAAAAAAAAAAAAAAAFtDb250ZW50X1R5cGVzXS54bWxQSwECLQAUAAYACAAA&#10;ACEAOP0h/9YAAACUAQAACwAAAAAAAAAAAAAAAAAvAQAAX3JlbHMvLnJlbHNQSwECLQAUAAYACAAA&#10;ACEAB6S/PooCAABrBQAADgAAAAAAAAAAAAAAAAAuAgAAZHJzL2Uyb0RvYy54bWxQSwECLQAUAAYA&#10;CAAAACEA5BYEcN0AAAAIAQAADwAAAAAAAAAAAAAAAADkBAAAZHJzL2Rvd25yZXYueG1sUEsFBgAA&#10;AAAEAAQA8wAAAO4FAAAAAA==&#10;" filled="f" strokecolor="black [3213]" strokeweight="1pt">
                <v:stroke joinstyle="miter"/>
                <w10:wrap anchorx="margin"/>
              </v:roundrect>
            </w:pict>
          </mc:Fallback>
        </mc:AlternateContent>
      </w:r>
      <w:r w:rsidR="00F34514" w:rsidRPr="00735650">
        <w:t xml:space="preserve">In </w:t>
      </w:r>
      <w:r w:rsidR="0040609D" w:rsidRPr="00735650">
        <w:t xml:space="preserve">RAN1 </w:t>
      </w:r>
      <w:r w:rsidR="005418BA" w:rsidRPr="00735650">
        <w:t>#8</w:t>
      </w:r>
      <w:r w:rsidR="00C340CA" w:rsidRPr="00735650">
        <w:t>5</w:t>
      </w:r>
      <w:r w:rsidR="005418BA" w:rsidRPr="00735650">
        <w:t>,</w:t>
      </w:r>
      <w:r w:rsidR="00414598" w:rsidRPr="00735650">
        <w:t xml:space="preserve"> </w:t>
      </w:r>
      <w:r w:rsidR="00A87AA7" w:rsidRPr="00735650">
        <w:t xml:space="preserve">the working group set the following goal for improving NR for LTE in terms of both latency and forward compatibility </w:t>
      </w:r>
      <w:r w:rsidR="00A87AA7" w:rsidRPr="00735650">
        <w:fldChar w:fldCharType="begin"/>
      </w:r>
      <w:r w:rsidR="00A87AA7" w:rsidRPr="00735650">
        <w:instrText xml:space="preserve"> REF _Ref458548305 \r \h </w:instrText>
      </w:r>
      <w:r w:rsidR="008E769D" w:rsidRPr="00735650">
        <w:instrText xml:space="preserve"> \* MERGEFORMAT </w:instrText>
      </w:r>
      <w:r w:rsidR="00A87AA7" w:rsidRPr="00735650">
        <w:fldChar w:fldCharType="separate"/>
      </w:r>
      <w:r w:rsidR="00A87AA7" w:rsidRPr="00735650">
        <w:t>[1]</w:t>
      </w:r>
      <w:r w:rsidR="00A87AA7" w:rsidRPr="00735650">
        <w:fldChar w:fldCharType="end"/>
      </w:r>
      <w:r w:rsidR="00A87AA7" w:rsidRPr="00735650">
        <w:t>.</w:t>
      </w:r>
    </w:p>
    <w:p w14:paraId="1F10B62B" w14:textId="521EA249" w:rsidR="00C340CA" w:rsidRPr="00735650" w:rsidRDefault="00C340CA" w:rsidP="00FB78F1">
      <w:pPr>
        <w:numPr>
          <w:ilvl w:val="0"/>
          <w:numId w:val="6"/>
        </w:numPr>
        <w:overflowPunct/>
        <w:autoSpaceDE/>
        <w:autoSpaceDN/>
        <w:adjustRightInd/>
        <w:spacing w:after="0"/>
        <w:textAlignment w:val="auto"/>
        <w:rPr>
          <w:rFonts w:eastAsia="MS Mincho"/>
          <w:lang w:eastAsia="ja-JP"/>
        </w:rPr>
      </w:pPr>
      <w:r w:rsidRPr="00735650">
        <w:rPr>
          <w:rFonts w:eastAsia="MS Mincho"/>
          <w:lang w:eastAsia="ja-JP"/>
        </w:rPr>
        <w:t>NR design should strive at least to enable the possibility for</w:t>
      </w:r>
    </w:p>
    <w:p w14:paraId="5F29559A" w14:textId="77777777" w:rsidR="00C340CA" w:rsidRPr="00735650" w:rsidRDefault="00C340CA" w:rsidP="00FB78F1">
      <w:pPr>
        <w:numPr>
          <w:ilvl w:val="1"/>
          <w:numId w:val="6"/>
        </w:numPr>
        <w:overflowPunct/>
        <w:autoSpaceDE/>
        <w:autoSpaceDN/>
        <w:adjustRightInd/>
        <w:spacing w:after="0"/>
        <w:textAlignment w:val="auto"/>
        <w:rPr>
          <w:rFonts w:eastAsia="MS Mincho"/>
          <w:lang w:eastAsia="ja-JP"/>
        </w:rPr>
      </w:pPr>
      <w:r w:rsidRPr="00735650">
        <w:rPr>
          <w:rFonts w:eastAsia="MS Mincho" w:hint="eastAsia"/>
          <w:lang w:eastAsia="ja-JP"/>
        </w:rPr>
        <w:t>Corresponding acknowledgement</w:t>
      </w:r>
      <w:r w:rsidRPr="00735650">
        <w:rPr>
          <w:rFonts w:eastAsia="MS Mincho"/>
          <w:lang w:eastAsia="ja-JP"/>
        </w:rPr>
        <w:t xml:space="preserve"> </w:t>
      </w:r>
      <w:r w:rsidRPr="00735650">
        <w:rPr>
          <w:rFonts w:eastAsia="MS Mincho" w:hint="eastAsia"/>
          <w:lang w:eastAsia="ja-JP"/>
        </w:rPr>
        <w:t xml:space="preserve">reporting </w:t>
      </w:r>
      <w:r w:rsidRPr="00735650">
        <w:rPr>
          <w:rFonts w:eastAsia="MS Mincho"/>
          <w:lang w:eastAsia="ja-JP"/>
        </w:rPr>
        <w:t xml:space="preserve">shortly </w:t>
      </w:r>
      <w:r w:rsidRPr="00735650">
        <w:rPr>
          <w:rFonts w:eastAsia="MS Mincho" w:hint="eastAsia"/>
          <w:lang w:eastAsia="ja-JP"/>
        </w:rPr>
        <w:t>(</w:t>
      </w:r>
      <w:r w:rsidRPr="00735650">
        <w:rPr>
          <w:rFonts w:eastAsia="MS Mincho"/>
          <w:lang w:eastAsia="ja-JP"/>
        </w:rPr>
        <w:t xml:space="preserve">in the order of </w:t>
      </w:r>
      <w:r w:rsidRPr="00735650">
        <w:rPr>
          <w:rFonts w:eastAsia="MS Mincho" w:hint="eastAsia"/>
          <w:lang w:eastAsia="ja-JP"/>
        </w:rPr>
        <w:t>X</w:t>
      </w:r>
      <w:r w:rsidRPr="00735650">
        <w:rPr>
          <w:rFonts w:eastAsia="MS Mincho"/>
          <w:lang w:eastAsia="ja-JP"/>
        </w:rPr>
        <w:t xml:space="preserve"> µs</w:t>
      </w:r>
      <w:r w:rsidRPr="00735650">
        <w:rPr>
          <w:rFonts w:eastAsia="MS Mincho" w:hint="eastAsia"/>
          <w:lang w:eastAsia="ja-JP"/>
        </w:rPr>
        <w:t>)</w:t>
      </w:r>
      <w:r w:rsidRPr="00735650">
        <w:rPr>
          <w:rFonts w:eastAsia="MS Mincho"/>
          <w:lang w:eastAsia="ja-JP"/>
        </w:rPr>
        <w:t xml:space="preserve"> after the end of the </w:t>
      </w:r>
      <w:r w:rsidRPr="00735650">
        <w:rPr>
          <w:rFonts w:eastAsia="MS Mincho" w:hint="eastAsia"/>
          <w:lang w:eastAsia="ja-JP"/>
        </w:rPr>
        <w:t xml:space="preserve">DL </w:t>
      </w:r>
      <w:r w:rsidRPr="00735650">
        <w:rPr>
          <w:rFonts w:eastAsia="MS Mincho"/>
          <w:lang w:eastAsia="ja-JP"/>
        </w:rPr>
        <w:t>data transmission</w:t>
      </w:r>
    </w:p>
    <w:p w14:paraId="4FC5E7CF" w14:textId="77777777" w:rsidR="00C340CA" w:rsidRPr="00735650" w:rsidRDefault="00C340CA" w:rsidP="00FB78F1">
      <w:pPr>
        <w:numPr>
          <w:ilvl w:val="1"/>
          <w:numId w:val="6"/>
        </w:numPr>
        <w:overflowPunct/>
        <w:autoSpaceDE/>
        <w:autoSpaceDN/>
        <w:adjustRightInd/>
        <w:spacing w:after="0"/>
        <w:textAlignment w:val="auto"/>
        <w:rPr>
          <w:rFonts w:eastAsia="MS Mincho"/>
          <w:lang w:eastAsia="ja-JP"/>
        </w:rPr>
      </w:pPr>
      <w:r w:rsidRPr="00735650">
        <w:rPr>
          <w:rFonts w:eastAsia="MS Mincho" w:hint="eastAsia"/>
          <w:lang w:eastAsia="ja-JP"/>
        </w:rPr>
        <w:t>Corresponding u</w:t>
      </w:r>
      <w:r w:rsidRPr="00735650">
        <w:rPr>
          <w:rFonts w:eastAsia="MS Mincho"/>
          <w:lang w:eastAsia="ja-JP"/>
        </w:rPr>
        <w:t xml:space="preserve">plink data transmission shortly (in the order of </w:t>
      </w:r>
      <w:r w:rsidRPr="00735650">
        <w:rPr>
          <w:rFonts w:eastAsia="MS Mincho" w:hint="eastAsia"/>
          <w:lang w:eastAsia="ja-JP"/>
        </w:rPr>
        <w:t>Y</w:t>
      </w:r>
      <w:r w:rsidRPr="00735650">
        <w:rPr>
          <w:rFonts w:eastAsia="MS Mincho"/>
          <w:lang w:eastAsia="ja-JP"/>
        </w:rPr>
        <w:t xml:space="preserve"> µs) after reception of UL assignment</w:t>
      </w:r>
    </w:p>
    <w:p w14:paraId="765ADB7E" w14:textId="77777777" w:rsidR="00C340CA" w:rsidRPr="00735650" w:rsidRDefault="00C340CA" w:rsidP="00FB78F1">
      <w:pPr>
        <w:numPr>
          <w:ilvl w:val="1"/>
          <w:numId w:val="6"/>
        </w:numPr>
        <w:overflowPunct/>
        <w:autoSpaceDE/>
        <w:autoSpaceDN/>
        <w:adjustRightInd/>
        <w:spacing w:after="0"/>
        <w:textAlignment w:val="auto"/>
        <w:rPr>
          <w:rFonts w:eastAsia="MS Mincho"/>
          <w:lang w:eastAsia="ja-JP"/>
        </w:rPr>
      </w:pPr>
      <w:r w:rsidRPr="00735650">
        <w:rPr>
          <w:rFonts w:eastAsia="MS Mincho"/>
          <w:lang w:eastAsia="ja-JP"/>
        </w:rPr>
        <w:t>Note: may depend on e.g. UE ca</w:t>
      </w:r>
      <w:r w:rsidRPr="00735650">
        <w:rPr>
          <w:rFonts w:eastAsia="MS Mincho" w:hint="eastAsia"/>
          <w:lang w:eastAsia="ja-JP"/>
        </w:rPr>
        <w:t>pability/category</w:t>
      </w:r>
      <w:r w:rsidRPr="00735650">
        <w:rPr>
          <w:rFonts w:eastAsia="MS Mincho"/>
          <w:lang w:eastAsia="ja-JP"/>
        </w:rPr>
        <w:t xml:space="preserve">, payload size, </w:t>
      </w:r>
      <w:proofErr w:type="spellStart"/>
      <w:r w:rsidRPr="00735650">
        <w:rPr>
          <w:rFonts w:eastAsia="MS Mincho"/>
          <w:lang w:eastAsia="ja-JP"/>
        </w:rPr>
        <w:t>etc</w:t>
      </w:r>
      <w:proofErr w:type="spellEnd"/>
    </w:p>
    <w:p w14:paraId="16A3752D" w14:textId="77777777" w:rsidR="00C340CA" w:rsidRPr="00735650" w:rsidRDefault="00C340CA" w:rsidP="00FB78F1">
      <w:pPr>
        <w:numPr>
          <w:ilvl w:val="1"/>
          <w:numId w:val="6"/>
        </w:numPr>
        <w:overflowPunct/>
        <w:autoSpaceDE/>
        <w:autoSpaceDN/>
        <w:adjustRightInd/>
        <w:spacing w:after="0"/>
        <w:textAlignment w:val="auto"/>
        <w:rPr>
          <w:rFonts w:eastAsia="MS Mincho"/>
          <w:lang w:eastAsia="ja-JP"/>
        </w:rPr>
      </w:pPr>
      <w:r w:rsidRPr="00735650">
        <w:rPr>
          <w:rFonts w:eastAsia="MS Mincho" w:hint="eastAsia"/>
          <w:lang w:eastAsia="ja-JP"/>
        </w:rPr>
        <w:t xml:space="preserve">FFS: X and Y in the order of a few tens of or </w:t>
      </w:r>
      <w:r w:rsidRPr="00735650">
        <w:rPr>
          <w:rFonts w:eastAsia="MS Mincho"/>
          <w:lang w:eastAsia="ja-JP"/>
        </w:rPr>
        <w:t>hundreds</w:t>
      </w:r>
      <w:r w:rsidRPr="00735650">
        <w:rPr>
          <w:rFonts w:eastAsia="MS Mincho" w:hint="eastAsia"/>
          <w:lang w:eastAsia="ja-JP"/>
        </w:rPr>
        <w:t xml:space="preserve"> of micro </w:t>
      </w:r>
      <w:proofErr w:type="gramStart"/>
      <w:r w:rsidRPr="00735650">
        <w:rPr>
          <w:rFonts w:eastAsia="MS Mincho" w:hint="eastAsia"/>
          <w:lang w:eastAsia="ja-JP"/>
        </w:rPr>
        <w:t>sec</w:t>
      </w:r>
      <w:proofErr w:type="gramEnd"/>
      <w:r w:rsidRPr="00735650">
        <w:rPr>
          <w:rFonts w:eastAsia="MS Mincho" w:hint="eastAsia"/>
          <w:lang w:eastAsia="ja-JP"/>
        </w:rPr>
        <w:t xml:space="preserve"> is feasible</w:t>
      </w:r>
    </w:p>
    <w:p w14:paraId="17D2F154" w14:textId="77777777" w:rsidR="00C340CA" w:rsidRPr="00735650" w:rsidRDefault="00C340CA" w:rsidP="00FB78F1">
      <w:pPr>
        <w:numPr>
          <w:ilvl w:val="0"/>
          <w:numId w:val="6"/>
        </w:numPr>
        <w:overflowPunct/>
        <w:autoSpaceDE/>
        <w:autoSpaceDN/>
        <w:adjustRightInd/>
        <w:spacing w:after="0"/>
        <w:textAlignment w:val="auto"/>
        <w:rPr>
          <w:rFonts w:eastAsia="MS Mincho"/>
          <w:lang w:eastAsia="ja-JP"/>
        </w:rPr>
      </w:pPr>
      <w:r w:rsidRPr="00735650">
        <w:rPr>
          <w:rFonts w:eastAsia="MS Mincho"/>
          <w:lang w:eastAsia="ja-JP"/>
        </w:rPr>
        <w:t xml:space="preserve">Other mechanisms/configurations in addition to fast/short </w:t>
      </w:r>
      <w:r w:rsidRPr="00735650">
        <w:rPr>
          <w:rFonts w:eastAsia="MS Mincho" w:hint="eastAsia"/>
          <w:lang w:eastAsia="ja-JP"/>
        </w:rPr>
        <w:t xml:space="preserve">corresponding </w:t>
      </w:r>
      <w:r w:rsidRPr="00735650">
        <w:rPr>
          <w:rFonts w:eastAsia="MS Mincho"/>
          <w:lang w:eastAsia="ja-JP"/>
        </w:rPr>
        <w:t>acknowledgement are needed</w:t>
      </w:r>
    </w:p>
    <w:p w14:paraId="1280DCEA" w14:textId="77777777" w:rsidR="00C340CA" w:rsidRPr="00735650" w:rsidRDefault="00C340CA" w:rsidP="00FB78F1">
      <w:pPr>
        <w:numPr>
          <w:ilvl w:val="1"/>
          <w:numId w:val="6"/>
        </w:numPr>
        <w:overflowPunct/>
        <w:autoSpaceDE/>
        <w:autoSpaceDN/>
        <w:adjustRightInd/>
        <w:spacing w:after="0"/>
        <w:textAlignment w:val="auto"/>
        <w:rPr>
          <w:rFonts w:eastAsia="MS Mincho"/>
          <w:lang w:eastAsia="ja-JP"/>
        </w:rPr>
      </w:pPr>
      <w:r w:rsidRPr="00735650">
        <w:rPr>
          <w:rFonts w:eastAsia="MS Mincho"/>
          <w:lang w:eastAsia="ja-JP"/>
        </w:rPr>
        <w:t xml:space="preserve">For </w:t>
      </w:r>
      <w:proofErr w:type="gramStart"/>
      <w:r w:rsidRPr="00735650">
        <w:rPr>
          <w:rFonts w:eastAsia="MS Mincho"/>
          <w:lang w:eastAsia="ja-JP"/>
        </w:rPr>
        <w:t>example</w:t>
      </w:r>
      <w:proofErr w:type="gramEnd"/>
      <w:r w:rsidRPr="00735650">
        <w:rPr>
          <w:rFonts w:eastAsia="MS Mincho"/>
          <w:lang w:eastAsia="ja-JP"/>
        </w:rPr>
        <w:t xml:space="preserve"> to provide coverage or enable TD-LTE coexistence</w:t>
      </w:r>
    </w:p>
    <w:p w14:paraId="1A4D3C91" w14:textId="2ADBD00D" w:rsidR="00C340CA" w:rsidRPr="00735650" w:rsidRDefault="00C340CA" w:rsidP="00FB78F1">
      <w:pPr>
        <w:numPr>
          <w:ilvl w:val="0"/>
          <w:numId w:val="6"/>
        </w:numPr>
        <w:overflowPunct/>
        <w:autoSpaceDE/>
        <w:autoSpaceDN/>
        <w:adjustRightInd/>
        <w:spacing w:after="0"/>
        <w:textAlignment w:val="auto"/>
        <w:rPr>
          <w:rFonts w:eastAsia="MS Mincho"/>
          <w:lang w:eastAsia="ja-JP"/>
        </w:rPr>
      </w:pPr>
      <w:r w:rsidRPr="00735650">
        <w:rPr>
          <w:rFonts w:eastAsia="MS Mincho"/>
          <w:lang w:eastAsia="ja-JP"/>
        </w:rPr>
        <w:t>Note: RAN1 will continue investigations about UE complexity, implementation processing time, interleaving applicability</w:t>
      </w:r>
    </w:p>
    <w:p w14:paraId="08794346" w14:textId="4C6B840A" w:rsidR="00AC4866" w:rsidRPr="00735650" w:rsidRDefault="00AC4866" w:rsidP="00017928">
      <w:pPr>
        <w:rPr>
          <w:sz w:val="22"/>
        </w:rPr>
      </w:pPr>
    </w:p>
    <w:p w14:paraId="35494C54" w14:textId="77777777" w:rsidR="00C55BF4" w:rsidRPr="00735650" w:rsidRDefault="00C55BF4" w:rsidP="00735650">
      <w:r w:rsidRPr="00735650">
        <w:t>UE processing time is a fundamental property of a technology. Consider the following existing examples:</w:t>
      </w:r>
    </w:p>
    <w:p w14:paraId="5801FF9E" w14:textId="77777777" w:rsidR="00C55BF4" w:rsidRPr="00735650" w:rsidRDefault="00C55BF4" w:rsidP="00735650">
      <w:pPr>
        <w:pStyle w:val="ListParagraph"/>
        <w:numPr>
          <w:ilvl w:val="0"/>
          <w:numId w:val="13"/>
        </w:numPr>
      </w:pPr>
      <w:r w:rsidRPr="00735650">
        <w:t xml:space="preserve">LTE specifies UE processing time as 3 </w:t>
      </w:r>
      <w:proofErr w:type="spellStart"/>
      <w:r w:rsidRPr="00735650">
        <w:t>subframes</w:t>
      </w:r>
      <w:proofErr w:type="spellEnd"/>
      <w:r w:rsidRPr="00735650">
        <w:t xml:space="preserve"> (1 </w:t>
      </w:r>
      <w:proofErr w:type="spellStart"/>
      <w:r w:rsidRPr="00735650">
        <w:t>subframe</w:t>
      </w:r>
      <w:proofErr w:type="spellEnd"/>
      <w:r w:rsidRPr="00735650">
        <w:t xml:space="preserve"> = 14 symbols = 1ms) for both DL data and UL grant.</w:t>
      </w:r>
    </w:p>
    <w:p w14:paraId="5FB826B7" w14:textId="6FA8FC1A" w:rsidR="00C55BF4" w:rsidRPr="00735650" w:rsidRDefault="00C55BF4" w:rsidP="00C55BF4">
      <w:pPr>
        <w:pStyle w:val="ListParagraph"/>
        <w:numPr>
          <w:ilvl w:val="0"/>
          <w:numId w:val="13"/>
        </w:numPr>
      </w:pPr>
      <w:proofErr w:type="spellStart"/>
      <w:r w:rsidRPr="00735650">
        <w:t>WiFi</w:t>
      </w:r>
      <w:proofErr w:type="spellEnd"/>
      <w:r w:rsidRPr="00735650">
        <w:t xml:space="preserve"> specifies STA processing time as 4 OFDM symbols (4 OFDM</w:t>
      </w:r>
      <w:r w:rsidR="00214298">
        <w:t xml:space="preserve"> symbol = 4</w:t>
      </w:r>
      <w:r w:rsidR="00214298" w:rsidRPr="00214298">
        <w:rPr>
          <w:rFonts w:eastAsia="MS Mincho"/>
          <w:lang w:eastAsia="ja-JP"/>
        </w:rPr>
        <w:t>µ</w:t>
      </w:r>
      <w:r w:rsidRPr="00735650">
        <w:t xml:space="preserve">s) </w:t>
      </w:r>
    </w:p>
    <w:p w14:paraId="6AB33DFA" w14:textId="7FAAA045" w:rsidR="00C55BF4" w:rsidRPr="00735650" w:rsidRDefault="00C55BF4" w:rsidP="00C55BF4"/>
    <w:p w14:paraId="4FD373AC" w14:textId="6B07AA75" w:rsidR="00C55BF4" w:rsidRPr="00735650" w:rsidRDefault="00C55BF4" w:rsidP="00735650">
      <w:r w:rsidRPr="00735650">
        <w:t>NR requires a different methodology from LTE in defining UE processing time due to the following adopted flexibilities</w:t>
      </w:r>
    </w:p>
    <w:p w14:paraId="20234217" w14:textId="7C0236A0" w:rsidR="00C55BF4" w:rsidRPr="00735650" w:rsidRDefault="00C55BF4" w:rsidP="00C55BF4">
      <w:pPr>
        <w:pStyle w:val="ListParagraph"/>
        <w:numPr>
          <w:ilvl w:val="0"/>
          <w:numId w:val="13"/>
        </w:numPr>
      </w:pPr>
      <w:r w:rsidRPr="00735650">
        <w:t xml:space="preserve">Scalable subcarrier </w:t>
      </w:r>
      <w:proofErr w:type="spellStart"/>
      <w:r w:rsidRPr="00735650">
        <w:t>spacings</w:t>
      </w:r>
      <w:proofErr w:type="spellEnd"/>
      <w:r w:rsidRPr="00735650">
        <w:t xml:space="preserve"> (15, 30, 60, 120 kHz) and symbol durations</w:t>
      </w:r>
    </w:p>
    <w:p w14:paraId="1E659871" w14:textId="77777777" w:rsidR="00C55BF4" w:rsidRPr="00735650" w:rsidRDefault="00C55BF4" w:rsidP="00C55BF4">
      <w:pPr>
        <w:pStyle w:val="ListParagraph"/>
        <w:numPr>
          <w:ilvl w:val="0"/>
          <w:numId w:val="13"/>
        </w:numPr>
      </w:pPr>
      <w:r w:rsidRPr="00735650">
        <w:t>Scalable slot structures (mini-slot, 7-symbol slot, 14-symbol slot)</w:t>
      </w:r>
    </w:p>
    <w:p w14:paraId="2D88B3E4" w14:textId="3B6B327E" w:rsidR="00A87AA7" w:rsidRDefault="00C55BF4" w:rsidP="00C55BF4">
      <w:pPr>
        <w:pStyle w:val="ListParagraph"/>
        <w:numPr>
          <w:ilvl w:val="0"/>
          <w:numId w:val="13"/>
        </w:numPr>
      </w:pPr>
      <w:r w:rsidRPr="00735650">
        <w:t>Configurable DMRS patterns (</w:t>
      </w:r>
      <w:proofErr w:type="spellStart"/>
      <w:r w:rsidRPr="00735650">
        <w:t>WiFi</w:t>
      </w:r>
      <w:proofErr w:type="spellEnd"/>
      <w:r w:rsidRPr="00735650">
        <w:t>-like front-loaded pilots, LTE-like spread out pilots)</w:t>
      </w:r>
    </w:p>
    <w:p w14:paraId="1A7CDC8C" w14:textId="77777777" w:rsidR="007122FC" w:rsidRPr="007122FC" w:rsidRDefault="007122FC" w:rsidP="007122FC">
      <w:pPr>
        <w:pStyle w:val="ListParagraph"/>
      </w:pPr>
    </w:p>
    <w:p w14:paraId="63756489" w14:textId="556309E3" w:rsidR="00C55BF4" w:rsidRPr="00735650" w:rsidRDefault="00C55BF4" w:rsidP="00C55BF4">
      <w:r w:rsidRPr="00735650">
        <w:t>In this contribution, we provide a framework for NR specification.</w:t>
      </w:r>
    </w:p>
    <w:p w14:paraId="202759A2" w14:textId="5F641014" w:rsidR="00C55BF4" w:rsidRPr="008E769D" w:rsidRDefault="00C55BF4" w:rsidP="00C55BF4">
      <w:pPr>
        <w:pStyle w:val="Heading1"/>
        <w:rPr>
          <w:sz w:val="32"/>
        </w:rPr>
      </w:pPr>
      <w:r w:rsidRPr="008E769D">
        <w:rPr>
          <w:sz w:val="32"/>
        </w:rPr>
        <w:t>UE Processing Time</w:t>
      </w:r>
    </w:p>
    <w:p w14:paraId="30E51E77" w14:textId="51D87998" w:rsidR="004653F0" w:rsidRPr="008E769D" w:rsidRDefault="005D2044" w:rsidP="0081036B">
      <w:pPr>
        <w:pStyle w:val="Heading2"/>
        <w:rPr>
          <w:sz w:val="28"/>
        </w:rPr>
      </w:pPr>
      <w:r w:rsidRPr="008E769D">
        <w:rPr>
          <w:sz w:val="28"/>
        </w:rPr>
        <w:t>Definitions with respect to symbols</w:t>
      </w:r>
    </w:p>
    <w:p w14:paraId="78BD9EE5" w14:textId="7618C9B7" w:rsidR="005D2044" w:rsidRPr="008E769D" w:rsidRDefault="005D2044" w:rsidP="00735650">
      <w:pPr>
        <w:rPr>
          <w:lang w:val="en-GB"/>
        </w:rPr>
      </w:pPr>
      <w:r w:rsidRPr="008E769D">
        <w:rPr>
          <w:lang w:val="en-GB"/>
        </w:rPr>
        <w:t xml:space="preserve">UE processing time </w:t>
      </w:r>
      <w:r w:rsidR="00E64327" w:rsidRPr="008E769D">
        <w:rPr>
          <w:lang w:val="en-GB"/>
        </w:rPr>
        <w:t>depends on</w:t>
      </w:r>
      <w:r w:rsidRPr="008E769D">
        <w:rPr>
          <w:lang w:val="en-GB"/>
        </w:rPr>
        <w:t xml:space="preserve"> several aspects</w:t>
      </w:r>
    </w:p>
    <w:p w14:paraId="7EAF4BE2" w14:textId="0480CEB4" w:rsidR="00821610" w:rsidRPr="00735650" w:rsidRDefault="00214298" w:rsidP="00735650">
      <w:pPr>
        <w:pStyle w:val="ListParagraph"/>
        <w:numPr>
          <w:ilvl w:val="0"/>
          <w:numId w:val="19"/>
        </w:numPr>
        <w:rPr>
          <w:b/>
        </w:rPr>
      </w:pPr>
      <w:r w:rsidRPr="00735650">
        <w:rPr>
          <w:b/>
        </w:rPr>
        <w:t>PDCCH processing:</w:t>
      </w:r>
      <w:r w:rsidR="005D2044" w:rsidRPr="00735650">
        <w:rPr>
          <w:b/>
        </w:rPr>
        <w:t xml:space="preserve"> </w:t>
      </w:r>
      <w:r w:rsidR="005D2044" w:rsidRPr="00735650">
        <w:t xml:space="preserve">This is can be affected by the </w:t>
      </w:r>
      <w:r w:rsidRPr="00735650">
        <w:t>DMRS based channel estimation</w:t>
      </w:r>
      <w:r w:rsidR="005D2044" w:rsidRPr="00735650">
        <w:rPr>
          <w:b/>
        </w:rPr>
        <w:t xml:space="preserve">, </w:t>
      </w:r>
      <w:r w:rsidR="005D2044" w:rsidRPr="00735650">
        <w:t>the number of b</w:t>
      </w:r>
      <w:r w:rsidRPr="00735650">
        <w:t>lind decodes</w:t>
      </w:r>
      <w:r w:rsidR="005D2044" w:rsidRPr="00735650">
        <w:t xml:space="preserve">, and the RE-mapping for the RS and information. </w:t>
      </w:r>
    </w:p>
    <w:p w14:paraId="46D4AC0E" w14:textId="0C3D5FEA" w:rsidR="00821610" w:rsidRPr="00735650" w:rsidRDefault="00214298" w:rsidP="00735650">
      <w:pPr>
        <w:pStyle w:val="ListParagraph"/>
        <w:numPr>
          <w:ilvl w:val="0"/>
          <w:numId w:val="19"/>
        </w:numPr>
      </w:pPr>
      <w:r w:rsidRPr="00735650">
        <w:rPr>
          <w:b/>
        </w:rPr>
        <w:t>PDSCH processing:</w:t>
      </w:r>
      <w:r w:rsidRPr="00735650">
        <w:t xml:space="preserve"> </w:t>
      </w:r>
      <w:r w:rsidR="00F506D9" w:rsidRPr="00735650">
        <w:t xml:space="preserve">This can be affected by the </w:t>
      </w:r>
      <w:r w:rsidRPr="00735650">
        <w:t>DMRS based channel estimation</w:t>
      </w:r>
      <w:r w:rsidR="00F506D9" w:rsidRPr="00735650">
        <w:t>, the position of the DMRS, and the PDSCH RE mapping.</w:t>
      </w:r>
    </w:p>
    <w:p w14:paraId="14986AA6" w14:textId="412CBEEB" w:rsidR="00F506D9" w:rsidRPr="00735650" w:rsidRDefault="00F506D9" w:rsidP="00735650">
      <w:pPr>
        <w:pStyle w:val="ListParagraph"/>
        <w:numPr>
          <w:ilvl w:val="0"/>
          <w:numId w:val="19"/>
        </w:numPr>
      </w:pPr>
      <w:r w:rsidRPr="00735650">
        <w:rPr>
          <w:b/>
        </w:rPr>
        <w:lastRenderedPageBreak/>
        <w:t>PUSCH construction:</w:t>
      </w:r>
      <w:r w:rsidRPr="00735650">
        <w:t xml:space="preserve"> This can be affected by the position of the DMRS, the PUSCH RE mapping.</w:t>
      </w:r>
    </w:p>
    <w:p w14:paraId="0DD93BAF" w14:textId="77777777" w:rsidR="00F506D9" w:rsidRPr="008E769D" w:rsidRDefault="00F506D9" w:rsidP="00F506D9">
      <w:pPr>
        <w:rPr>
          <w:sz w:val="18"/>
        </w:rPr>
      </w:pPr>
    </w:p>
    <w:p w14:paraId="744B69BE" w14:textId="6B1DB2F5" w:rsidR="005D2044" w:rsidRPr="008E769D" w:rsidRDefault="00F506D9" w:rsidP="00735650">
      <w:r w:rsidRPr="008E769D">
        <w:t>The UE transmission timing is advanced with respect to receive time</w:t>
      </w:r>
      <w:r w:rsidR="00E678F2" w:rsidRPr="008E769D">
        <w:t xml:space="preserve"> so that the </w:t>
      </w:r>
      <w:proofErr w:type="spellStart"/>
      <w:r w:rsidR="00E678F2" w:rsidRPr="008E769D">
        <w:t>gNB</w:t>
      </w:r>
      <w:proofErr w:type="spellEnd"/>
      <w:r w:rsidR="00E678F2" w:rsidRPr="008E769D">
        <w:t xml:space="preserve"> reception is aligned across other UEs. A typical setting for this may be 1 round-trip-time (RTT) + 1 switching time.</w:t>
      </w:r>
    </w:p>
    <w:p w14:paraId="6D6758E3" w14:textId="0DECF613" w:rsidR="00E678F2" w:rsidRPr="008E769D" w:rsidRDefault="00E678F2" w:rsidP="00735650">
      <w:r w:rsidRPr="008E769D">
        <w:t xml:space="preserve">It is important to note that the fundamental processing time of the UE is best described in terms of </w:t>
      </w:r>
      <w:r w:rsidRPr="008E769D">
        <w:rPr>
          <w:i/>
        </w:rPr>
        <w:t>symbols</w:t>
      </w:r>
      <w:r w:rsidRPr="008E769D">
        <w:t>, to provide a more uniform and clear requirement</w:t>
      </w:r>
      <w:r w:rsidR="009F0366" w:rsidRPr="008E769D">
        <w:t xml:space="preserve"> for the scheduler to benefit</w:t>
      </w:r>
      <w:r w:rsidRPr="008E769D">
        <w:t>. Slot-based timing requirements can be ambiguous given the differences the variations in guard time, transmission duration, and timing advance. For instance, consider the example below where a same-slot acknowledgement</w:t>
      </w:r>
      <w:r w:rsidR="007F4E24" w:rsidRPr="008E769D">
        <w:t xml:space="preserve"> (K1=0)</w:t>
      </w:r>
      <w:r w:rsidRPr="008E769D">
        <w:t xml:space="preserve"> can be more </w:t>
      </w:r>
      <w:r w:rsidRPr="008E769D">
        <w:rPr>
          <w:i/>
        </w:rPr>
        <w:t>relaxed</w:t>
      </w:r>
      <w:r w:rsidRPr="008E769D">
        <w:t xml:space="preserve"> than a cross-slot acknowledgement</w:t>
      </w:r>
      <w:r w:rsidR="007F4E24" w:rsidRPr="008E769D">
        <w:t xml:space="preserve"> (K1=1)</w:t>
      </w:r>
      <w:r w:rsidRPr="008E769D">
        <w:t>.</w:t>
      </w:r>
    </w:p>
    <w:p w14:paraId="040E53FF" w14:textId="77777777" w:rsidR="00E64327" w:rsidRPr="008E769D" w:rsidRDefault="00E64327" w:rsidP="00F506D9">
      <w:pPr>
        <w:rPr>
          <w:sz w:val="18"/>
        </w:rPr>
      </w:pPr>
    </w:p>
    <w:p w14:paraId="3E3F0727" w14:textId="42866093" w:rsidR="00E64327" w:rsidRPr="008E769D" w:rsidRDefault="004E2250" w:rsidP="00E64327">
      <w:pPr>
        <w:keepNext/>
        <w:jc w:val="center"/>
        <w:rPr>
          <w:sz w:val="18"/>
        </w:rPr>
      </w:pPr>
      <w:r w:rsidRPr="008E769D">
        <w:rPr>
          <w:noProof/>
          <w:sz w:val="18"/>
        </w:rPr>
        <w:drawing>
          <wp:inline distT="0" distB="0" distL="0" distR="0" wp14:anchorId="23E863A7" wp14:editId="2A7F5E71">
            <wp:extent cx="4852035" cy="1102041"/>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3418" cy="1109169"/>
                    </a:xfrm>
                    <a:prstGeom prst="rect">
                      <a:avLst/>
                    </a:prstGeom>
                    <a:noFill/>
                  </pic:spPr>
                </pic:pic>
              </a:graphicData>
            </a:graphic>
          </wp:inline>
        </w:drawing>
      </w:r>
    </w:p>
    <w:p w14:paraId="0CF9182F" w14:textId="29A55C23" w:rsidR="00E64327" w:rsidRPr="008E769D" w:rsidRDefault="00E64327" w:rsidP="00E64327">
      <w:pPr>
        <w:pStyle w:val="Caption"/>
        <w:jc w:val="center"/>
        <w:rPr>
          <w:sz w:val="18"/>
        </w:rPr>
      </w:pPr>
      <w:r w:rsidRPr="008E769D">
        <w:rPr>
          <w:sz w:val="18"/>
        </w:rPr>
        <w:t xml:space="preserve">Figure </w:t>
      </w:r>
      <w:r w:rsidRPr="008E769D">
        <w:rPr>
          <w:sz w:val="18"/>
        </w:rPr>
        <w:fldChar w:fldCharType="begin"/>
      </w:r>
      <w:r w:rsidRPr="008E769D">
        <w:rPr>
          <w:sz w:val="18"/>
        </w:rPr>
        <w:instrText xml:space="preserve"> SEQ Figure \* ARABIC </w:instrText>
      </w:r>
      <w:r w:rsidRPr="008E769D">
        <w:rPr>
          <w:sz w:val="18"/>
        </w:rPr>
        <w:fldChar w:fldCharType="separate"/>
      </w:r>
      <w:r w:rsidR="00682085">
        <w:rPr>
          <w:noProof/>
          <w:sz w:val="18"/>
        </w:rPr>
        <w:t>1</w:t>
      </w:r>
      <w:r w:rsidRPr="008E769D">
        <w:rPr>
          <w:sz w:val="18"/>
        </w:rPr>
        <w:fldChar w:fldCharType="end"/>
      </w:r>
      <w:r w:rsidRPr="008E769D">
        <w:rPr>
          <w:sz w:val="18"/>
        </w:rPr>
        <w:t>. Exampl</w:t>
      </w:r>
      <w:r w:rsidR="0035637D" w:rsidRPr="008E769D">
        <w:rPr>
          <w:sz w:val="18"/>
        </w:rPr>
        <w:t xml:space="preserve">e of ambiguity </w:t>
      </w:r>
      <w:r w:rsidRPr="008E769D">
        <w:rPr>
          <w:sz w:val="18"/>
        </w:rPr>
        <w:t>were delayed ACK has tight UE processing requirement</w:t>
      </w:r>
    </w:p>
    <w:p w14:paraId="54A95F83" w14:textId="7EE7791D" w:rsidR="00E678F2" w:rsidRPr="008E769D" w:rsidRDefault="00E678F2" w:rsidP="00F506D9">
      <w:pPr>
        <w:rPr>
          <w:sz w:val="18"/>
          <w:lang w:val="en-GB"/>
        </w:rPr>
      </w:pPr>
    </w:p>
    <w:p w14:paraId="111E4C8B" w14:textId="0F7D12EF" w:rsidR="0014145E" w:rsidRDefault="0014145E" w:rsidP="00F506D9">
      <w:pPr>
        <w:rPr>
          <w:i/>
          <w:lang w:val="en-GB"/>
        </w:rPr>
      </w:pPr>
      <w:r w:rsidRPr="00735650">
        <w:rPr>
          <w:b/>
          <w:u w:val="single"/>
          <w:lang w:val="en-GB"/>
        </w:rPr>
        <w:t>Proposal 1:</w:t>
      </w:r>
      <w:r w:rsidRPr="00735650">
        <w:rPr>
          <w:b/>
          <w:lang w:val="en-GB"/>
        </w:rPr>
        <w:t xml:space="preserve"> </w:t>
      </w:r>
      <w:r w:rsidRPr="00735650">
        <w:rPr>
          <w:i/>
          <w:lang w:val="en-GB"/>
        </w:rPr>
        <w:t xml:space="preserve">NR should </w:t>
      </w:r>
      <w:r w:rsidR="00656630">
        <w:rPr>
          <w:i/>
          <w:lang w:val="en-GB"/>
        </w:rPr>
        <w:t>consider</w:t>
      </w:r>
      <w:r w:rsidRPr="00735650">
        <w:rPr>
          <w:i/>
          <w:lang w:val="en-GB"/>
        </w:rPr>
        <w:t xml:space="preserve"> the UE processing time in terms of s</w:t>
      </w:r>
      <w:r w:rsidR="00656630">
        <w:rPr>
          <w:i/>
          <w:lang w:val="en-GB"/>
        </w:rPr>
        <w:t>ymbols (N) instead of slots (K)</w:t>
      </w:r>
    </w:p>
    <w:p w14:paraId="2F6E6B65" w14:textId="77777777" w:rsidR="00656630" w:rsidRPr="00735650" w:rsidRDefault="00656630" w:rsidP="00656630">
      <w:pPr>
        <w:pStyle w:val="ListParagraph"/>
        <w:numPr>
          <w:ilvl w:val="0"/>
          <w:numId w:val="13"/>
        </w:numPr>
        <w:rPr>
          <w:i/>
          <w:sz w:val="20"/>
        </w:rPr>
      </w:pPr>
      <w:r w:rsidRPr="00735650">
        <w:rPr>
          <w:i/>
          <w:sz w:val="20"/>
        </w:rPr>
        <w:t xml:space="preserve">Given “N” and “TA” duration, the values of </w:t>
      </w:r>
      <w:r w:rsidRPr="00735650">
        <w:rPr>
          <w:b/>
          <w:bCs/>
          <w:i/>
          <w:sz w:val="20"/>
        </w:rPr>
        <w:t>K1</w:t>
      </w:r>
      <w:r w:rsidRPr="00735650">
        <w:rPr>
          <w:i/>
          <w:sz w:val="20"/>
        </w:rPr>
        <w:t xml:space="preserve"> and </w:t>
      </w:r>
      <w:r w:rsidRPr="00735650">
        <w:rPr>
          <w:b/>
          <w:bCs/>
          <w:i/>
          <w:sz w:val="20"/>
        </w:rPr>
        <w:t>K2</w:t>
      </w:r>
      <w:r w:rsidRPr="00735650">
        <w:rPr>
          <w:i/>
          <w:sz w:val="20"/>
        </w:rPr>
        <w:t xml:space="preserve"> are deterministically derived</w:t>
      </w:r>
    </w:p>
    <w:p w14:paraId="0A372633" w14:textId="77777777" w:rsidR="00656630" w:rsidRDefault="00656630" w:rsidP="00656630">
      <w:pPr>
        <w:pStyle w:val="ListParagraph"/>
        <w:numPr>
          <w:ilvl w:val="0"/>
          <w:numId w:val="13"/>
        </w:numPr>
        <w:rPr>
          <w:i/>
          <w:sz w:val="20"/>
        </w:rPr>
      </w:pPr>
      <w:r w:rsidRPr="00735650">
        <w:rPr>
          <w:i/>
          <w:sz w:val="20"/>
        </w:rPr>
        <w:t>No UE capability associated with the value of supported K1, K2</w:t>
      </w:r>
    </w:p>
    <w:p w14:paraId="6AF86E9A" w14:textId="4A975560" w:rsidR="00656630" w:rsidRDefault="00656630" w:rsidP="00656630">
      <w:pPr>
        <w:pStyle w:val="ListParagraph"/>
        <w:numPr>
          <w:ilvl w:val="0"/>
          <w:numId w:val="13"/>
        </w:numPr>
        <w:rPr>
          <w:i/>
          <w:sz w:val="20"/>
        </w:rPr>
      </w:pPr>
      <w:r w:rsidRPr="00656630">
        <w:rPr>
          <w:i/>
          <w:sz w:val="20"/>
        </w:rPr>
        <w:t>Network may choose to push out UE responses beyond those values of K1, K2 by information in the grant</w:t>
      </w:r>
    </w:p>
    <w:p w14:paraId="2AB32F53" w14:textId="77777777" w:rsidR="00656630" w:rsidRPr="00656630" w:rsidRDefault="00656630" w:rsidP="00656630">
      <w:pPr>
        <w:rPr>
          <w:i/>
        </w:rPr>
      </w:pPr>
    </w:p>
    <w:p w14:paraId="40FA4E9C" w14:textId="439000DC" w:rsidR="0014145E" w:rsidRPr="00735650" w:rsidRDefault="00331B82" w:rsidP="00F506D9">
      <w:pPr>
        <w:rPr>
          <w:lang w:val="en-GB"/>
        </w:rPr>
      </w:pPr>
      <w:r w:rsidRPr="00735650">
        <w:rPr>
          <w:lang w:val="en-GB"/>
        </w:rPr>
        <w:t>Additionally, UE processing time depends on the OFDM symbol duration (and SCS), number of subcarriers to process in each OFDM symbol (i.e., bandwidth and SCS), in addition to the properties related to PDCCH, PDSCH, and PUSCH listed above. This leads to the following observation.</w:t>
      </w:r>
    </w:p>
    <w:p w14:paraId="067DC69A" w14:textId="032EC05E" w:rsidR="00331B82" w:rsidRPr="00735650" w:rsidRDefault="00331B82" w:rsidP="00331B82">
      <w:pPr>
        <w:rPr>
          <w:lang w:val="en-GB"/>
        </w:rPr>
      </w:pPr>
      <w:r w:rsidRPr="00735650">
        <w:rPr>
          <w:b/>
          <w:u w:val="single"/>
          <w:lang w:val="en-GB"/>
        </w:rPr>
        <w:t>Observation 1:</w:t>
      </w:r>
      <w:r w:rsidRPr="00735650">
        <w:rPr>
          <w:b/>
          <w:lang w:val="en-GB"/>
        </w:rPr>
        <w:t xml:space="preserve"> </w:t>
      </w:r>
      <w:r w:rsidRPr="00735650">
        <w:rPr>
          <w:i/>
          <w:lang w:val="en-GB"/>
        </w:rPr>
        <w:t>A single UE processing time assumption is inadequate given all the above dependencies. (Targeting the worst-case scenario is highly undesirable as it would unnecessarily handicap the potential of NR.)</w:t>
      </w:r>
    </w:p>
    <w:p w14:paraId="33968102" w14:textId="74F433C5" w:rsidR="00F64F9D" w:rsidRPr="00735650" w:rsidRDefault="00F64F9D" w:rsidP="00331B82">
      <w:pPr>
        <w:rPr>
          <w:lang w:val="en-GB"/>
        </w:rPr>
      </w:pPr>
      <w:r w:rsidRPr="00735650">
        <w:rPr>
          <w:lang w:val="en-GB"/>
        </w:rPr>
        <w:t>Therefore, the following framework for specification should be considered for NR.</w:t>
      </w:r>
    </w:p>
    <w:p w14:paraId="6C072EFE" w14:textId="6CAC7F9F" w:rsidR="008E769D" w:rsidRPr="00D30ADA" w:rsidRDefault="008E769D" w:rsidP="00D30ADA">
      <w:pPr>
        <w:rPr>
          <w:i/>
        </w:rPr>
      </w:pPr>
      <w:r w:rsidRPr="00735650">
        <w:rPr>
          <w:b/>
          <w:u w:val="single"/>
          <w:lang w:val="en-GB"/>
        </w:rPr>
        <w:t>Proposal 2:</w:t>
      </w:r>
      <w:r w:rsidRPr="00735650">
        <w:rPr>
          <w:lang w:val="en-GB"/>
        </w:rPr>
        <w:t xml:space="preserve"> </w:t>
      </w:r>
      <w:r w:rsidRPr="00D30ADA">
        <w:rPr>
          <w:i/>
        </w:rPr>
        <w:t xml:space="preserve">NR processing time is a function of subcarrier spacing, DMRS pattern, and RE mapping given by the </w:t>
      </w:r>
      <w:r w:rsidR="00061A59" w:rsidRPr="00D30ADA">
        <w:rPr>
          <w:i/>
        </w:rPr>
        <w:t>Table I</w:t>
      </w:r>
      <w:r w:rsidRPr="00D30ADA">
        <w:rPr>
          <w:i/>
        </w:rPr>
        <w:t>.</w:t>
      </w:r>
    </w:p>
    <w:p w14:paraId="396A145A" w14:textId="6B6DBD61" w:rsidR="008E769D" w:rsidRPr="00D30ADA" w:rsidRDefault="008E769D" w:rsidP="00D30ADA">
      <w:pPr>
        <w:pStyle w:val="ListParagraph"/>
        <w:numPr>
          <w:ilvl w:val="0"/>
          <w:numId w:val="20"/>
        </w:numPr>
        <w:rPr>
          <w:i/>
        </w:rPr>
      </w:pPr>
      <w:r w:rsidRPr="00D30ADA">
        <w:rPr>
          <w:i/>
        </w:rPr>
        <w:t>RAN1 to agree on supported combinations and corresponding UE processing time “N” by RAN1-AH3</w:t>
      </w:r>
    </w:p>
    <w:p w14:paraId="371CF85D" w14:textId="2EE15E92" w:rsidR="008E769D" w:rsidRPr="008E769D" w:rsidRDefault="008E769D" w:rsidP="008E769D">
      <w:pPr>
        <w:pStyle w:val="ListParagraph"/>
        <w:rPr>
          <w:sz w:val="18"/>
        </w:rPr>
      </w:pPr>
    </w:p>
    <w:p w14:paraId="3C095007" w14:textId="334E411C" w:rsidR="00061A59" w:rsidRDefault="00061A59" w:rsidP="00061A59">
      <w:pPr>
        <w:pStyle w:val="Caption"/>
        <w:keepNext/>
        <w:jc w:val="center"/>
      </w:pPr>
      <w:r>
        <w:t xml:space="preserve">Table </w:t>
      </w:r>
      <w:fldSimple w:instr=" SEQ Table \* ARABIC ">
        <w:r>
          <w:rPr>
            <w:noProof/>
          </w:rPr>
          <w:t>1</w:t>
        </w:r>
      </w:fldSimple>
      <w:r>
        <w:t>. UE Processing Time</w:t>
      </w:r>
    </w:p>
    <w:tbl>
      <w:tblPr>
        <w:tblW w:w="9754" w:type="dxa"/>
        <w:tblCellMar>
          <w:left w:w="0" w:type="dxa"/>
          <w:right w:w="0" w:type="dxa"/>
        </w:tblCellMar>
        <w:tblLook w:val="0420" w:firstRow="1" w:lastRow="0" w:firstColumn="0" w:lastColumn="0" w:noHBand="0" w:noVBand="1"/>
      </w:tblPr>
      <w:tblGrid>
        <w:gridCol w:w="542"/>
        <w:gridCol w:w="3536"/>
        <w:gridCol w:w="1366"/>
        <w:gridCol w:w="1446"/>
        <w:gridCol w:w="1185"/>
        <w:gridCol w:w="1679"/>
      </w:tblGrid>
      <w:tr w:rsidR="008E769D" w:rsidRPr="008E769D" w14:paraId="261D009A" w14:textId="77777777" w:rsidTr="00061A59">
        <w:trPr>
          <w:trHeight w:val="731"/>
        </w:trPr>
        <w:tc>
          <w:tcPr>
            <w:tcW w:w="4078" w:type="dxa"/>
            <w:gridSpan w:val="2"/>
            <w:vMerge w:val="restart"/>
            <w:tcBorders>
              <w:top w:val="single" w:sz="8" w:space="0" w:color="FFFFFF"/>
              <w:left w:val="single" w:sz="8" w:space="0" w:color="FFFFFF"/>
              <w:bottom w:val="single" w:sz="24" w:space="0" w:color="FFFFFF"/>
              <w:right w:val="single" w:sz="8" w:space="0" w:color="FFFFFF"/>
            </w:tcBorders>
            <w:shd w:val="clear" w:color="auto" w:fill="89D1B2"/>
            <w:tcMar>
              <w:top w:w="72" w:type="dxa"/>
              <w:left w:w="144" w:type="dxa"/>
              <w:bottom w:w="72" w:type="dxa"/>
              <w:right w:w="144" w:type="dxa"/>
            </w:tcMar>
            <w:hideMark/>
          </w:tcPr>
          <w:p w14:paraId="5CFCD34C" w14:textId="3BEAE6CE" w:rsidR="008E769D" w:rsidRPr="008E769D" w:rsidRDefault="008E769D" w:rsidP="008E769D">
            <w:pPr>
              <w:rPr>
                <w:sz w:val="18"/>
              </w:rPr>
            </w:pPr>
            <w:r w:rsidRPr="008E769D">
              <w:rPr>
                <w:b/>
                <w:bCs/>
                <w:sz w:val="18"/>
              </w:rPr>
              <w:t>Processing time (</w:t>
            </w:r>
            <w:r w:rsidR="00061A59" w:rsidRPr="00061A59">
              <w:rPr>
                <w:b/>
                <w:bCs/>
                <w:i/>
                <w:sz w:val="18"/>
              </w:rPr>
              <w:t>N</w:t>
            </w:r>
            <w:r w:rsidR="00061A59">
              <w:rPr>
                <w:b/>
                <w:bCs/>
                <w:sz w:val="18"/>
              </w:rPr>
              <w:t xml:space="preserve"> </w:t>
            </w:r>
            <w:r w:rsidRPr="008E769D">
              <w:rPr>
                <w:b/>
                <w:bCs/>
                <w:sz w:val="18"/>
              </w:rPr>
              <w:t>symbols)</w:t>
            </w:r>
          </w:p>
        </w:tc>
        <w:tc>
          <w:tcPr>
            <w:tcW w:w="5676" w:type="dxa"/>
            <w:gridSpan w:val="4"/>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A42F77A" w14:textId="77777777" w:rsidR="008E769D" w:rsidRPr="008E769D" w:rsidRDefault="008E769D" w:rsidP="008E769D">
            <w:pPr>
              <w:rPr>
                <w:sz w:val="18"/>
              </w:rPr>
            </w:pPr>
            <w:r w:rsidRPr="008E769D">
              <w:rPr>
                <w:b/>
                <w:bCs/>
                <w:sz w:val="18"/>
              </w:rPr>
              <w:t>Subcarrier Spacing</w:t>
            </w:r>
          </w:p>
        </w:tc>
      </w:tr>
      <w:tr w:rsidR="008E769D" w:rsidRPr="008E769D" w14:paraId="53F9FA4F" w14:textId="77777777" w:rsidTr="00061A59">
        <w:trPr>
          <w:trHeight w:val="731"/>
        </w:trPr>
        <w:tc>
          <w:tcPr>
            <w:tcW w:w="0" w:type="auto"/>
            <w:gridSpan w:val="2"/>
            <w:vMerge/>
            <w:tcBorders>
              <w:top w:val="single" w:sz="8" w:space="0" w:color="FFFFFF"/>
              <w:left w:val="single" w:sz="8" w:space="0" w:color="FFFFFF"/>
              <w:bottom w:val="single" w:sz="24" w:space="0" w:color="FFFFFF"/>
              <w:right w:val="single" w:sz="8" w:space="0" w:color="FFFFFF"/>
            </w:tcBorders>
            <w:vAlign w:val="center"/>
            <w:hideMark/>
          </w:tcPr>
          <w:p w14:paraId="41ACE265" w14:textId="77777777" w:rsidR="008E769D" w:rsidRPr="008E769D" w:rsidRDefault="008E769D" w:rsidP="008E769D">
            <w:pPr>
              <w:rPr>
                <w:sz w:val="18"/>
              </w:rPr>
            </w:pPr>
          </w:p>
        </w:tc>
        <w:tc>
          <w:tcPr>
            <w:tcW w:w="1366" w:type="dxa"/>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0761D5A" w14:textId="77777777" w:rsidR="008E769D" w:rsidRPr="008E769D" w:rsidRDefault="008E769D" w:rsidP="008E769D">
            <w:pPr>
              <w:rPr>
                <w:sz w:val="18"/>
              </w:rPr>
            </w:pPr>
            <w:r w:rsidRPr="008E769D">
              <w:rPr>
                <w:sz w:val="18"/>
              </w:rPr>
              <w:t>15 kHz</w:t>
            </w:r>
          </w:p>
        </w:tc>
        <w:tc>
          <w:tcPr>
            <w:tcW w:w="144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E50C54F" w14:textId="77777777" w:rsidR="008E769D" w:rsidRPr="008E769D" w:rsidRDefault="008E769D" w:rsidP="008E769D">
            <w:pPr>
              <w:rPr>
                <w:sz w:val="18"/>
              </w:rPr>
            </w:pPr>
            <w:r w:rsidRPr="008E769D">
              <w:rPr>
                <w:sz w:val="18"/>
              </w:rPr>
              <w:t>30 kHz</w:t>
            </w:r>
          </w:p>
        </w:tc>
        <w:tc>
          <w:tcPr>
            <w:tcW w:w="118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BAE49B5" w14:textId="77777777" w:rsidR="008E769D" w:rsidRPr="008E769D" w:rsidRDefault="008E769D" w:rsidP="008E769D">
            <w:pPr>
              <w:rPr>
                <w:sz w:val="18"/>
              </w:rPr>
            </w:pPr>
            <w:r w:rsidRPr="008E769D">
              <w:rPr>
                <w:sz w:val="18"/>
              </w:rPr>
              <w:t>60 kHz</w:t>
            </w:r>
          </w:p>
        </w:tc>
        <w:tc>
          <w:tcPr>
            <w:tcW w:w="167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84E6EB5" w14:textId="77777777" w:rsidR="008E769D" w:rsidRPr="008E769D" w:rsidRDefault="008E769D" w:rsidP="008E769D">
            <w:pPr>
              <w:rPr>
                <w:sz w:val="18"/>
              </w:rPr>
            </w:pPr>
            <w:r w:rsidRPr="008E769D">
              <w:rPr>
                <w:sz w:val="18"/>
              </w:rPr>
              <w:t>120 kHz</w:t>
            </w:r>
          </w:p>
        </w:tc>
      </w:tr>
      <w:tr w:rsidR="008E769D" w:rsidRPr="008E769D" w14:paraId="702534BF" w14:textId="77777777" w:rsidTr="00061A59">
        <w:trPr>
          <w:trHeight w:val="378"/>
        </w:trPr>
        <w:tc>
          <w:tcPr>
            <w:tcW w:w="542" w:type="dxa"/>
            <w:vMerge w:val="restar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8047966" w14:textId="77777777" w:rsidR="008E769D" w:rsidRPr="008E769D" w:rsidRDefault="008E769D" w:rsidP="008E769D">
            <w:pPr>
              <w:rPr>
                <w:sz w:val="18"/>
              </w:rPr>
            </w:pPr>
            <w:r w:rsidRPr="008E769D">
              <w:rPr>
                <w:sz w:val="18"/>
              </w:rPr>
              <w:t>DL</w:t>
            </w:r>
          </w:p>
        </w:tc>
        <w:tc>
          <w:tcPr>
            <w:tcW w:w="3536" w:type="dxa"/>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1EB20996" w14:textId="77777777" w:rsidR="008E769D" w:rsidRPr="008E769D" w:rsidRDefault="008E769D" w:rsidP="008E769D">
            <w:pPr>
              <w:rPr>
                <w:sz w:val="18"/>
              </w:rPr>
            </w:pPr>
            <w:r w:rsidRPr="008E769D">
              <w:rPr>
                <w:sz w:val="18"/>
              </w:rPr>
              <w:t>Front loaded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2F267691" w14:textId="251C6F1A" w:rsidR="008E769D" w:rsidRPr="008E769D" w:rsidRDefault="00061A59" w:rsidP="008E769D">
            <w:pPr>
              <w:rPr>
                <w:sz w:val="18"/>
              </w:rPr>
            </w:pPr>
            <w:r>
              <w:rPr>
                <w:sz w:val="18"/>
              </w:rPr>
              <w:t>X symbols</w:t>
            </w:r>
            <w:r w:rsidR="008E769D" w:rsidRPr="008E769D">
              <w:rPr>
                <w:sz w:val="18"/>
              </w:rPr>
              <w:t xml:space="preserve"> </w:t>
            </w:r>
            <w:r>
              <w:rPr>
                <w:sz w:val="18"/>
              </w:rPr>
              <w:br/>
            </w:r>
            <w:r w:rsidR="008E769D" w:rsidRPr="008E769D">
              <w:rPr>
                <w:sz w:val="18"/>
              </w:rPr>
              <w:t>(</w:t>
            </w:r>
            <w:r>
              <w:rPr>
                <w:sz w:val="18"/>
              </w:rPr>
              <w:t>A</w:t>
            </w:r>
            <w:r w:rsidR="00214298">
              <w:rPr>
                <w:sz w:val="18"/>
              </w:rPr>
              <w:t xml:space="preserve"> </w:t>
            </w:r>
            <w:r w:rsidR="00214298" w:rsidRPr="00735650">
              <w:rPr>
                <w:rFonts w:eastAsia="MS Mincho"/>
                <w:lang w:eastAsia="ja-JP"/>
              </w:rPr>
              <w:t>µ</w:t>
            </w:r>
            <w:r w:rsidR="008E769D" w:rsidRPr="008E769D">
              <w:rPr>
                <w:sz w:val="18"/>
              </w:rPr>
              <w:t>s)</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719F5F8E" w14:textId="13A3F149" w:rsidR="008E769D" w:rsidRPr="008E769D" w:rsidRDefault="00061A59" w:rsidP="008E769D">
            <w:pPr>
              <w:rPr>
                <w:sz w:val="18"/>
              </w:rPr>
            </w:pPr>
            <w:r>
              <w:rPr>
                <w:sz w:val="18"/>
              </w:rPr>
              <w:t>Y symbols</w:t>
            </w:r>
            <w:r>
              <w:rPr>
                <w:sz w:val="18"/>
              </w:rPr>
              <w:br/>
            </w:r>
            <w:r w:rsidR="008E769D" w:rsidRPr="008E769D">
              <w:rPr>
                <w:sz w:val="18"/>
              </w:rPr>
              <w:t>(</w:t>
            </w:r>
            <w:r>
              <w:rPr>
                <w:sz w:val="18"/>
              </w:rPr>
              <w:t>B</w:t>
            </w:r>
            <w:r w:rsidR="00214298">
              <w:rPr>
                <w:sz w:val="18"/>
              </w:rPr>
              <w:t xml:space="preserve"> </w:t>
            </w:r>
            <w:r w:rsidR="00214298" w:rsidRPr="00735650">
              <w:rPr>
                <w:rFonts w:eastAsia="MS Mincho"/>
                <w:lang w:eastAsia="ja-JP"/>
              </w:rPr>
              <w:t>µ</w:t>
            </w:r>
            <w:r w:rsidR="008E769D" w:rsidRPr="008E769D">
              <w:rPr>
                <w:sz w:val="18"/>
              </w:rPr>
              <w:t>s)</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0A21C459" w14:textId="57DEA244" w:rsidR="008E769D" w:rsidRPr="008E769D" w:rsidRDefault="00061A59" w:rsidP="008E769D">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C764440" w14:textId="406096C7" w:rsidR="008E769D" w:rsidRPr="008E769D" w:rsidRDefault="00061A59" w:rsidP="008E769D">
            <w:pPr>
              <w:rPr>
                <w:sz w:val="18"/>
              </w:rPr>
            </w:pPr>
            <w:r>
              <w:rPr>
                <w:sz w:val="18"/>
              </w:rPr>
              <w:t>…</w:t>
            </w:r>
          </w:p>
        </w:tc>
      </w:tr>
      <w:tr w:rsidR="008E769D" w:rsidRPr="008E769D" w14:paraId="54B96188" w14:textId="77777777" w:rsidTr="00061A59">
        <w:trPr>
          <w:trHeight w:val="505"/>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E6579FF" w14:textId="77777777" w:rsidR="008E769D" w:rsidRPr="008E769D" w:rsidRDefault="008E769D" w:rsidP="008E769D">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6061A27" w14:textId="77777777" w:rsidR="008E769D" w:rsidRPr="008E769D" w:rsidRDefault="008E769D" w:rsidP="008E769D">
            <w:pPr>
              <w:rPr>
                <w:sz w:val="18"/>
              </w:rPr>
            </w:pPr>
            <w:r w:rsidRPr="008E769D">
              <w:rPr>
                <w:sz w:val="18"/>
              </w:rPr>
              <w:t>Distributed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326474C" w14:textId="4559E91C" w:rsidR="008E769D" w:rsidRPr="008E769D" w:rsidRDefault="00061A59" w:rsidP="00061A59">
            <w:pPr>
              <w:tabs>
                <w:tab w:val="left" w:pos="375"/>
              </w:tabs>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E8A15A3" w14:textId="6D859190" w:rsidR="008E769D" w:rsidRPr="008E769D" w:rsidRDefault="00061A59" w:rsidP="008E769D">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26CDEB1" w14:textId="1E75E3E2" w:rsidR="008E769D" w:rsidRPr="008E769D" w:rsidRDefault="00061A59" w:rsidP="008E769D">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5A7E2EC" w14:textId="12C518FE" w:rsidR="008E769D" w:rsidRPr="008E769D" w:rsidRDefault="00061A59" w:rsidP="008E769D">
            <w:pPr>
              <w:rPr>
                <w:sz w:val="18"/>
              </w:rPr>
            </w:pPr>
            <w:r>
              <w:rPr>
                <w:sz w:val="18"/>
              </w:rPr>
              <w:t>…</w:t>
            </w:r>
          </w:p>
        </w:tc>
      </w:tr>
      <w:tr w:rsidR="00061A59" w:rsidRPr="008E769D" w14:paraId="45DB1C16" w14:textId="77777777" w:rsidTr="00061A59">
        <w:trPr>
          <w:trHeight w:val="293"/>
        </w:trPr>
        <w:tc>
          <w:tcPr>
            <w:tcW w:w="542" w:type="dxa"/>
            <w:vMerge w:val="restar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6DF8A87" w14:textId="77777777" w:rsidR="00061A59" w:rsidRPr="008E769D" w:rsidRDefault="00061A59" w:rsidP="00061A59">
            <w:pPr>
              <w:rPr>
                <w:sz w:val="18"/>
              </w:rPr>
            </w:pPr>
            <w:r w:rsidRPr="008E769D">
              <w:rPr>
                <w:sz w:val="18"/>
              </w:rPr>
              <w:t>UL</w:t>
            </w:r>
          </w:p>
        </w:tc>
        <w:tc>
          <w:tcPr>
            <w:tcW w:w="353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8D23B01" w14:textId="77777777" w:rsidR="00061A59" w:rsidRPr="008E769D" w:rsidRDefault="00061A59" w:rsidP="00061A59">
            <w:pPr>
              <w:rPr>
                <w:sz w:val="18"/>
              </w:rPr>
            </w:pPr>
            <w:r w:rsidRPr="008E769D">
              <w:rPr>
                <w:sz w:val="18"/>
              </w:rPr>
              <w:t>Freq first RE mapping</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42E66AA" w14:textId="131E17FB" w:rsidR="00061A59" w:rsidRPr="008E769D" w:rsidRDefault="00061A59" w:rsidP="00061A59">
            <w:pPr>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3253E4F" w14:textId="1A657683" w:rsidR="00061A59" w:rsidRPr="008E769D" w:rsidRDefault="00061A59" w:rsidP="00061A59">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6D4192A" w14:textId="6E05E6EA" w:rsidR="00061A59" w:rsidRPr="008E769D" w:rsidRDefault="00061A59" w:rsidP="00061A59">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1D6507F" w14:textId="73D17FC3" w:rsidR="00061A59" w:rsidRPr="008E769D" w:rsidRDefault="00061A59" w:rsidP="00061A59">
            <w:pPr>
              <w:rPr>
                <w:sz w:val="18"/>
              </w:rPr>
            </w:pPr>
            <w:r>
              <w:rPr>
                <w:sz w:val="18"/>
              </w:rPr>
              <w:t>…</w:t>
            </w:r>
          </w:p>
        </w:tc>
      </w:tr>
      <w:tr w:rsidR="00061A59" w:rsidRPr="008E769D" w14:paraId="6494BA19" w14:textId="77777777" w:rsidTr="00061A59">
        <w:trPr>
          <w:trHeight w:val="37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D14CE4" w14:textId="77777777" w:rsidR="00061A59" w:rsidRPr="008E769D" w:rsidRDefault="00061A59" w:rsidP="00061A59">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57F7296" w14:textId="4FB7C3F8" w:rsidR="00061A59" w:rsidRPr="008E769D" w:rsidRDefault="00061A59" w:rsidP="00061A59">
            <w:pPr>
              <w:rPr>
                <w:sz w:val="18"/>
              </w:rPr>
            </w:pPr>
            <w:r w:rsidRPr="008E769D">
              <w:rPr>
                <w:sz w:val="18"/>
              </w:rPr>
              <w:t>Time first RE mapping (if specified)</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155BC155" w14:textId="38918DEC" w:rsidR="00061A59" w:rsidRPr="008E769D" w:rsidRDefault="00061A59" w:rsidP="00061A59">
            <w:pPr>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C14A661" w14:textId="59A72884" w:rsidR="00061A59" w:rsidRPr="008E769D" w:rsidRDefault="00061A59" w:rsidP="00061A59">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3F3FC289" w14:textId="7CCA2BA9" w:rsidR="00061A59" w:rsidRPr="008E769D" w:rsidRDefault="00061A59" w:rsidP="00061A59">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C16DFCF" w14:textId="6C568EF8" w:rsidR="00061A59" w:rsidRPr="008E769D" w:rsidRDefault="00061A59" w:rsidP="00061A59">
            <w:pPr>
              <w:rPr>
                <w:sz w:val="18"/>
              </w:rPr>
            </w:pPr>
            <w:r>
              <w:rPr>
                <w:sz w:val="18"/>
              </w:rPr>
              <w:t>…</w:t>
            </w:r>
          </w:p>
        </w:tc>
      </w:tr>
    </w:tbl>
    <w:p w14:paraId="665736BF" w14:textId="2438FFE6" w:rsidR="002C24D8" w:rsidRPr="00D95E1E" w:rsidRDefault="00D95E1E" w:rsidP="00331B82">
      <w:pPr>
        <w:rPr>
          <w:i/>
          <w:sz w:val="18"/>
          <w:lang w:val="en-GB"/>
        </w:rPr>
      </w:pPr>
      <w:r w:rsidRPr="00D95E1E">
        <w:rPr>
          <w:i/>
          <w:sz w:val="18"/>
          <w:lang w:val="en-GB"/>
        </w:rPr>
        <w:t>Note</w:t>
      </w:r>
      <w:r>
        <w:rPr>
          <w:i/>
          <w:sz w:val="18"/>
          <w:lang w:val="en-GB"/>
        </w:rPr>
        <w:t xml:space="preserve"> that</w:t>
      </w:r>
      <w:r w:rsidRPr="00D95E1E">
        <w:rPr>
          <w:i/>
          <w:sz w:val="18"/>
          <w:lang w:val="en-GB"/>
        </w:rPr>
        <w:t xml:space="preserve"> </w:t>
      </w:r>
      <w:r>
        <w:rPr>
          <w:i/>
          <w:sz w:val="18"/>
          <w:lang w:val="en-GB"/>
        </w:rPr>
        <w:t>“</w:t>
      </w:r>
      <w:r w:rsidRPr="00D95E1E">
        <w:rPr>
          <w:i/>
          <w:sz w:val="18"/>
          <w:lang w:val="en-GB"/>
        </w:rPr>
        <w:t>N</w:t>
      </w:r>
      <w:r>
        <w:rPr>
          <w:i/>
          <w:sz w:val="18"/>
          <w:lang w:val="en-GB"/>
        </w:rPr>
        <w:t>”</w:t>
      </w:r>
      <w:r w:rsidRPr="00D95E1E">
        <w:rPr>
          <w:i/>
          <w:sz w:val="18"/>
          <w:lang w:val="en-GB"/>
        </w:rPr>
        <w:t xml:space="preserve"> may not necessarily be a whole integer.</w:t>
      </w:r>
    </w:p>
    <w:p w14:paraId="30AF1EFA" w14:textId="19413FBB" w:rsidR="00C86345" w:rsidRPr="008E769D" w:rsidRDefault="00DD2213" w:rsidP="00C86345">
      <w:pPr>
        <w:pStyle w:val="Heading1"/>
        <w:rPr>
          <w:sz w:val="32"/>
        </w:rPr>
      </w:pPr>
      <w:r>
        <w:rPr>
          <w:sz w:val="32"/>
        </w:rPr>
        <w:t xml:space="preserve">Implications </w:t>
      </w:r>
      <w:r w:rsidR="00DC3497">
        <w:rPr>
          <w:sz w:val="32"/>
        </w:rPr>
        <w:t>on</w:t>
      </w:r>
      <w:r>
        <w:rPr>
          <w:sz w:val="32"/>
        </w:rPr>
        <w:t xml:space="preserve"> NR design</w:t>
      </w:r>
    </w:p>
    <w:p w14:paraId="5C922F2E" w14:textId="2965AAA4" w:rsidR="00C86345" w:rsidRPr="008E769D" w:rsidRDefault="00DD2213" w:rsidP="00CB0CE5">
      <w:pPr>
        <w:pStyle w:val="Heading2"/>
        <w:rPr>
          <w:sz w:val="28"/>
        </w:rPr>
      </w:pPr>
      <w:r>
        <w:rPr>
          <w:sz w:val="28"/>
        </w:rPr>
        <w:t>E</w:t>
      </w:r>
      <w:r w:rsidR="00DC3497">
        <w:rPr>
          <w:sz w:val="28"/>
        </w:rPr>
        <w:t>xample of NR TDD o</w:t>
      </w:r>
      <w:r>
        <w:rPr>
          <w:sz w:val="28"/>
        </w:rPr>
        <w:t>utdoor deployments</w:t>
      </w:r>
    </w:p>
    <w:p w14:paraId="1AABFA3A" w14:textId="1487FA34" w:rsidR="00821610" w:rsidRPr="007D56FB" w:rsidRDefault="007D56FB" w:rsidP="00397086">
      <w:pPr>
        <w:rPr>
          <w:lang w:val="en-GB"/>
        </w:rPr>
      </w:pPr>
      <w:r>
        <w:rPr>
          <w:lang w:val="en-GB"/>
        </w:rPr>
        <w:t xml:space="preserve">Consider an example corresponding to a </w:t>
      </w:r>
      <w:r>
        <w:t>t</w:t>
      </w:r>
      <w:r w:rsidR="00214298" w:rsidRPr="007D56FB">
        <w:t>ypical out</w:t>
      </w:r>
      <w:r>
        <w:t xml:space="preserve">door macro with </w:t>
      </w:r>
      <w:r w:rsidR="00214298" w:rsidRPr="007D56FB">
        <w:t>200m - 3 Km ISD</w:t>
      </w:r>
      <w:r>
        <w:t xml:space="preserve"> and 30 kHz SCS. Under this case, we can consider the following assumptions for illustration</w:t>
      </w:r>
    </w:p>
    <w:p w14:paraId="52AB357F" w14:textId="6DC5EEE5" w:rsidR="00821610" w:rsidRPr="00397086" w:rsidRDefault="007D56FB" w:rsidP="00397086">
      <w:pPr>
        <w:pStyle w:val="ListParagraph"/>
        <w:numPr>
          <w:ilvl w:val="0"/>
          <w:numId w:val="20"/>
        </w:numPr>
      </w:pPr>
      <w:r w:rsidRPr="00397086">
        <w:t>X</w:t>
      </w:r>
      <w:r w:rsidR="00214298" w:rsidRPr="00397086">
        <w:t xml:space="preserve"> symbol GP to avoid </w:t>
      </w:r>
      <w:proofErr w:type="spellStart"/>
      <w:r w:rsidR="00214298" w:rsidRPr="00397086">
        <w:t>gNB-gNB</w:t>
      </w:r>
      <w:proofErr w:type="spellEnd"/>
      <w:r w:rsidR="00214298" w:rsidRPr="00397086">
        <w:t xml:space="preserve"> interference</w:t>
      </w:r>
    </w:p>
    <w:p w14:paraId="0D5A4980" w14:textId="3F214A16" w:rsidR="00821610" w:rsidRPr="007D56FB" w:rsidRDefault="00365137" w:rsidP="00397086">
      <w:pPr>
        <w:pStyle w:val="ListParagraph"/>
        <w:numPr>
          <w:ilvl w:val="0"/>
          <w:numId w:val="20"/>
        </w:numPr>
      </w:pPr>
      <w:r>
        <w:t>3 k</w:t>
      </w:r>
      <w:bookmarkStart w:id="0" w:name="_GoBack"/>
      <w:bookmarkEnd w:id="0"/>
      <w:r w:rsidR="00214298" w:rsidRPr="007D56FB">
        <w:t>m ISD corresponds to 0.5 symbol timing advance for propagation and RF tuning</w:t>
      </w:r>
    </w:p>
    <w:p w14:paraId="299333EB" w14:textId="29969C6A" w:rsidR="00957E44" w:rsidRPr="00397086" w:rsidRDefault="007D56FB" w:rsidP="00397086">
      <w:pPr>
        <w:pStyle w:val="ListParagraph"/>
        <w:numPr>
          <w:ilvl w:val="0"/>
          <w:numId w:val="20"/>
        </w:numPr>
      </w:pPr>
      <w:r>
        <w:t>Y</w:t>
      </w:r>
      <w:r w:rsidR="00214298" w:rsidRPr="007D56FB">
        <w:t xml:space="preserve"> symbol UE processing time allows self-contained </w:t>
      </w:r>
      <w:proofErr w:type="spellStart"/>
      <w:r>
        <w:t>subframe</w:t>
      </w:r>
      <w:proofErr w:type="spellEnd"/>
      <w:r w:rsidR="00214298" w:rsidRPr="007D56FB">
        <w:t xml:space="preserve"> </w:t>
      </w:r>
      <w:r w:rsidR="00214298" w:rsidRPr="007D56FB">
        <w:sym w:font="Wingdings" w:char="F0E8"/>
      </w:r>
      <w:r w:rsidR="00214298" w:rsidRPr="007D56FB">
        <w:t xml:space="preserve"> </w:t>
      </w:r>
      <w:r w:rsidR="00214298" w:rsidRPr="00397086">
        <w:rPr>
          <w:b/>
          <w:bCs/>
        </w:rPr>
        <w:t>Low latency</w:t>
      </w:r>
    </w:p>
    <w:p w14:paraId="11FB4881" w14:textId="77777777" w:rsidR="00397086" w:rsidRPr="007D56FB" w:rsidRDefault="00397086" w:rsidP="00397086"/>
    <w:p w14:paraId="77C3C8BF" w14:textId="0DB41E73" w:rsidR="007D56FB" w:rsidRDefault="007D56FB" w:rsidP="007D56FB">
      <w:pPr>
        <w:rPr>
          <w:lang w:val="en-GB"/>
        </w:rPr>
      </w:pPr>
      <w:r>
        <w:rPr>
          <w:lang w:val="en-GB"/>
        </w:rPr>
        <w:t xml:space="preserve">Therefore, under conditions given in table, if we have Y &lt; X + 0.5 then the network can schedule self-contained </w:t>
      </w:r>
      <w:proofErr w:type="spellStart"/>
      <w:r>
        <w:rPr>
          <w:lang w:val="en-GB"/>
        </w:rPr>
        <w:t>subframes</w:t>
      </w:r>
      <w:proofErr w:type="spellEnd"/>
      <w:r>
        <w:rPr>
          <w:lang w:val="en-GB"/>
        </w:rPr>
        <w:t xml:space="preserve"> in those conditions. If lower overhead is desired, longer durations between guard periods can be introduced while still maintaining this low latency operation. The figure below shows this operation.</w:t>
      </w:r>
    </w:p>
    <w:p w14:paraId="2E631AD4" w14:textId="77777777" w:rsidR="00682085" w:rsidRDefault="00682085" w:rsidP="00682085">
      <w:pPr>
        <w:pStyle w:val="Caption"/>
        <w:rPr>
          <w:lang w:val="en-GB"/>
        </w:rPr>
      </w:pPr>
      <w:r>
        <w:rPr>
          <w:lang w:val="en-GB"/>
        </w:rPr>
        <w:object w:dxaOrig="15568" w:dyaOrig="6566" w14:anchorId="7DD86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89.75pt" o:ole="">
            <v:imagedata r:id="rId13" o:title=""/>
          </v:shape>
          <o:OLEObject Type="Embed" ProgID="Visio.Drawing.11" ShapeID="_x0000_i1025" DrawAspect="Content" ObjectID="_1559149871" r:id="rId14"/>
        </w:object>
      </w:r>
    </w:p>
    <w:p w14:paraId="7F2BE705" w14:textId="696F82AC" w:rsidR="00682085" w:rsidRDefault="00682085" w:rsidP="00682085">
      <w:pPr>
        <w:pStyle w:val="Caption"/>
        <w:jc w:val="center"/>
      </w:pPr>
      <w:r>
        <w:t xml:space="preserve">Figure </w:t>
      </w:r>
      <w:fldSimple w:instr=" SEQ Figure \* ARABIC ">
        <w:r>
          <w:rPr>
            <w:noProof/>
          </w:rPr>
          <w:t>2</w:t>
        </w:r>
      </w:fldSimple>
      <w:r>
        <w:t>. Example of UE processing time and guard time relationship in TDD</w:t>
      </w:r>
    </w:p>
    <w:p w14:paraId="0C44620E" w14:textId="77777777" w:rsidR="00DC3497" w:rsidRDefault="00DC3497" w:rsidP="00682085">
      <w:pPr>
        <w:rPr>
          <w:sz w:val="18"/>
          <w:lang w:val="en-GB"/>
        </w:rPr>
      </w:pPr>
    </w:p>
    <w:p w14:paraId="3D8161B4" w14:textId="5264186F" w:rsidR="00682085" w:rsidRPr="008E769D" w:rsidRDefault="00DC3497" w:rsidP="00397086">
      <w:pPr>
        <w:rPr>
          <w:lang w:val="en-GB"/>
        </w:rPr>
      </w:pPr>
      <w:r>
        <w:rPr>
          <w:lang w:val="en-GB"/>
        </w:rPr>
        <w:t>This notion where the scheduler can trade off latency and efficiency by accounting for the UE processing time can easily be generalized to other cases for TDD (e.g., indoor, smaller cell) and FDD, and offer maximum flexibility in those cases as well.</w:t>
      </w:r>
    </w:p>
    <w:p w14:paraId="5BE0AC90" w14:textId="08FBA919" w:rsidR="00FC6D8C" w:rsidRPr="008E769D" w:rsidRDefault="00957E44" w:rsidP="00DD10C9">
      <w:pPr>
        <w:pStyle w:val="Heading1"/>
      </w:pPr>
      <w:r w:rsidRPr="008E769D">
        <w:rPr>
          <w:sz w:val="18"/>
        </w:rPr>
        <w:t xml:space="preserve"> </w:t>
      </w:r>
      <w:bookmarkStart w:id="1" w:name="_Ref378529477"/>
      <w:r w:rsidR="003A38AC" w:rsidRPr="008E769D">
        <w:t>C</w:t>
      </w:r>
      <w:r w:rsidR="001021DD" w:rsidRPr="008E769D">
        <w:t>onclusions</w:t>
      </w:r>
    </w:p>
    <w:p w14:paraId="1D4C28CD" w14:textId="77777777" w:rsidR="00D30ADA" w:rsidRDefault="00D30ADA" w:rsidP="00D30ADA">
      <w:pPr>
        <w:rPr>
          <w:i/>
          <w:lang w:val="en-GB"/>
        </w:rPr>
      </w:pPr>
      <w:r w:rsidRPr="00735650">
        <w:rPr>
          <w:b/>
          <w:u w:val="single"/>
          <w:lang w:val="en-GB"/>
        </w:rPr>
        <w:t>Proposal 1:</w:t>
      </w:r>
      <w:r w:rsidRPr="00735650">
        <w:rPr>
          <w:b/>
          <w:lang w:val="en-GB"/>
        </w:rPr>
        <w:t xml:space="preserve"> </w:t>
      </w:r>
      <w:r w:rsidRPr="00735650">
        <w:rPr>
          <w:i/>
          <w:lang w:val="en-GB"/>
        </w:rPr>
        <w:t xml:space="preserve">NR should </w:t>
      </w:r>
      <w:r>
        <w:rPr>
          <w:i/>
          <w:lang w:val="en-GB"/>
        </w:rPr>
        <w:t>consider</w:t>
      </w:r>
      <w:r w:rsidRPr="00735650">
        <w:rPr>
          <w:i/>
          <w:lang w:val="en-GB"/>
        </w:rPr>
        <w:t xml:space="preserve"> the UE processing time in terms of s</w:t>
      </w:r>
      <w:r>
        <w:rPr>
          <w:i/>
          <w:lang w:val="en-GB"/>
        </w:rPr>
        <w:t>ymbols (N) instead of slots (K)</w:t>
      </w:r>
    </w:p>
    <w:p w14:paraId="0DC60B7B" w14:textId="77777777" w:rsidR="00D30ADA" w:rsidRPr="00735650" w:rsidRDefault="00D30ADA" w:rsidP="00D30ADA">
      <w:pPr>
        <w:pStyle w:val="ListParagraph"/>
        <w:numPr>
          <w:ilvl w:val="0"/>
          <w:numId w:val="13"/>
        </w:numPr>
        <w:rPr>
          <w:i/>
          <w:sz w:val="20"/>
        </w:rPr>
      </w:pPr>
      <w:r w:rsidRPr="00735650">
        <w:rPr>
          <w:i/>
          <w:sz w:val="20"/>
        </w:rPr>
        <w:t xml:space="preserve">Given “N” and “TA” duration, the values of </w:t>
      </w:r>
      <w:r w:rsidRPr="00735650">
        <w:rPr>
          <w:b/>
          <w:bCs/>
          <w:i/>
          <w:sz w:val="20"/>
        </w:rPr>
        <w:t>K1</w:t>
      </w:r>
      <w:r w:rsidRPr="00735650">
        <w:rPr>
          <w:i/>
          <w:sz w:val="20"/>
        </w:rPr>
        <w:t xml:space="preserve"> and </w:t>
      </w:r>
      <w:r w:rsidRPr="00735650">
        <w:rPr>
          <w:b/>
          <w:bCs/>
          <w:i/>
          <w:sz w:val="20"/>
        </w:rPr>
        <w:t>K2</w:t>
      </w:r>
      <w:r w:rsidRPr="00735650">
        <w:rPr>
          <w:i/>
          <w:sz w:val="20"/>
        </w:rPr>
        <w:t xml:space="preserve"> are deterministically derived</w:t>
      </w:r>
    </w:p>
    <w:p w14:paraId="01B31A58" w14:textId="77777777" w:rsidR="00D30ADA" w:rsidRDefault="00D30ADA" w:rsidP="00D30ADA">
      <w:pPr>
        <w:pStyle w:val="ListParagraph"/>
        <w:numPr>
          <w:ilvl w:val="0"/>
          <w:numId w:val="13"/>
        </w:numPr>
        <w:rPr>
          <w:i/>
          <w:sz w:val="20"/>
        </w:rPr>
      </w:pPr>
      <w:r w:rsidRPr="00735650">
        <w:rPr>
          <w:i/>
          <w:sz w:val="20"/>
        </w:rPr>
        <w:t>No UE capability associated with the value of supported K1, K2</w:t>
      </w:r>
    </w:p>
    <w:p w14:paraId="4F065F56" w14:textId="3E1EAC7A" w:rsidR="00D30ADA" w:rsidRDefault="00D30ADA" w:rsidP="00D30ADA">
      <w:pPr>
        <w:pStyle w:val="ListParagraph"/>
        <w:numPr>
          <w:ilvl w:val="0"/>
          <w:numId w:val="13"/>
        </w:numPr>
        <w:rPr>
          <w:i/>
          <w:sz w:val="20"/>
        </w:rPr>
      </w:pPr>
      <w:r w:rsidRPr="00656630">
        <w:rPr>
          <w:i/>
          <w:sz w:val="20"/>
        </w:rPr>
        <w:lastRenderedPageBreak/>
        <w:t>Network may choose to push out UE responses beyond those values of K1, K2 by information in the grant</w:t>
      </w:r>
    </w:p>
    <w:p w14:paraId="39CB9937" w14:textId="77777777" w:rsidR="002F3122" w:rsidRPr="002F3122" w:rsidRDefault="002F3122" w:rsidP="002F3122">
      <w:pPr>
        <w:rPr>
          <w:i/>
        </w:rPr>
      </w:pPr>
    </w:p>
    <w:p w14:paraId="7CC7B355" w14:textId="27904064" w:rsidR="00FE2454" w:rsidRDefault="00FE2454" w:rsidP="00FE2454">
      <w:pPr>
        <w:rPr>
          <w:i/>
          <w:lang w:val="en-GB"/>
        </w:rPr>
      </w:pPr>
      <w:r w:rsidRPr="00D30ADA">
        <w:rPr>
          <w:b/>
          <w:u w:val="single"/>
          <w:lang w:val="en-GB"/>
        </w:rPr>
        <w:t>Observation 1:</w:t>
      </w:r>
      <w:r w:rsidRPr="00D30ADA">
        <w:rPr>
          <w:b/>
          <w:lang w:val="en-GB"/>
        </w:rPr>
        <w:t xml:space="preserve"> </w:t>
      </w:r>
      <w:r w:rsidRPr="00D30ADA">
        <w:rPr>
          <w:i/>
          <w:lang w:val="en-GB"/>
        </w:rPr>
        <w:t>A single UE processing time assumption is inadequate given all the above dependencies. (Targeting the worst-case scenario is highly undesirable as it would unnecessarily handicap the potential of NR.)</w:t>
      </w:r>
    </w:p>
    <w:p w14:paraId="6402FAAB" w14:textId="77777777" w:rsidR="002F3122" w:rsidRPr="00D30ADA" w:rsidRDefault="002F3122" w:rsidP="00FE2454">
      <w:pPr>
        <w:rPr>
          <w:lang w:val="en-GB"/>
        </w:rPr>
      </w:pPr>
    </w:p>
    <w:p w14:paraId="5B03C470" w14:textId="77777777" w:rsidR="00D30ADA" w:rsidRPr="00D30ADA" w:rsidRDefault="00D30ADA" w:rsidP="00D30ADA">
      <w:pPr>
        <w:rPr>
          <w:i/>
        </w:rPr>
      </w:pPr>
      <w:r w:rsidRPr="00735650">
        <w:rPr>
          <w:b/>
          <w:u w:val="single"/>
          <w:lang w:val="en-GB"/>
        </w:rPr>
        <w:t>Proposal 2:</w:t>
      </w:r>
      <w:r w:rsidRPr="00735650">
        <w:rPr>
          <w:lang w:val="en-GB"/>
        </w:rPr>
        <w:t xml:space="preserve"> </w:t>
      </w:r>
      <w:r w:rsidRPr="00D30ADA">
        <w:rPr>
          <w:i/>
        </w:rPr>
        <w:t>NR processing time is a function of subcarrier spacing, DMRS pattern, and RE mapping given by the Table I.</w:t>
      </w:r>
    </w:p>
    <w:p w14:paraId="3A93F639" w14:textId="11B44836" w:rsidR="00D30ADA" w:rsidRDefault="00D30ADA" w:rsidP="00D30ADA">
      <w:pPr>
        <w:pStyle w:val="ListParagraph"/>
        <w:numPr>
          <w:ilvl w:val="0"/>
          <w:numId w:val="20"/>
        </w:numPr>
        <w:rPr>
          <w:i/>
        </w:rPr>
      </w:pPr>
      <w:r w:rsidRPr="00D30ADA">
        <w:rPr>
          <w:i/>
        </w:rPr>
        <w:t>RAN1 to agree on supported combinations and corresponding UE processing time “N” by RAN1-AH3</w:t>
      </w:r>
    </w:p>
    <w:p w14:paraId="4C43085F" w14:textId="77777777" w:rsidR="009D5123" w:rsidRPr="00D30ADA" w:rsidRDefault="009D5123" w:rsidP="009D5123">
      <w:pPr>
        <w:pStyle w:val="ListParagraph"/>
        <w:ind w:left="1080"/>
        <w:rPr>
          <w:i/>
        </w:rPr>
      </w:pPr>
    </w:p>
    <w:p w14:paraId="3B419312" w14:textId="77777777" w:rsidR="00F248CD" w:rsidRDefault="00F248CD" w:rsidP="003651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UE Processing Time</w:t>
      </w:r>
    </w:p>
    <w:tbl>
      <w:tblPr>
        <w:tblW w:w="9754" w:type="dxa"/>
        <w:tblCellMar>
          <w:left w:w="0" w:type="dxa"/>
          <w:right w:w="0" w:type="dxa"/>
        </w:tblCellMar>
        <w:tblLook w:val="0420" w:firstRow="1" w:lastRow="0" w:firstColumn="0" w:lastColumn="0" w:noHBand="0" w:noVBand="1"/>
      </w:tblPr>
      <w:tblGrid>
        <w:gridCol w:w="542"/>
        <w:gridCol w:w="3536"/>
        <w:gridCol w:w="1366"/>
        <w:gridCol w:w="1446"/>
        <w:gridCol w:w="1185"/>
        <w:gridCol w:w="1679"/>
      </w:tblGrid>
      <w:tr w:rsidR="00F248CD" w:rsidRPr="008E769D" w14:paraId="03D45F43" w14:textId="77777777" w:rsidTr="00154473">
        <w:trPr>
          <w:trHeight w:val="731"/>
        </w:trPr>
        <w:tc>
          <w:tcPr>
            <w:tcW w:w="4078" w:type="dxa"/>
            <w:gridSpan w:val="2"/>
            <w:vMerge w:val="restart"/>
            <w:tcBorders>
              <w:top w:val="single" w:sz="8" w:space="0" w:color="FFFFFF"/>
              <w:left w:val="single" w:sz="8" w:space="0" w:color="FFFFFF"/>
              <w:bottom w:val="single" w:sz="24" w:space="0" w:color="FFFFFF"/>
              <w:right w:val="single" w:sz="8" w:space="0" w:color="FFFFFF"/>
            </w:tcBorders>
            <w:shd w:val="clear" w:color="auto" w:fill="89D1B2"/>
            <w:tcMar>
              <w:top w:w="72" w:type="dxa"/>
              <w:left w:w="144" w:type="dxa"/>
              <w:bottom w:w="72" w:type="dxa"/>
              <w:right w:w="144" w:type="dxa"/>
            </w:tcMar>
            <w:hideMark/>
          </w:tcPr>
          <w:p w14:paraId="5DB3FCD1" w14:textId="77777777" w:rsidR="00F248CD" w:rsidRPr="008E769D" w:rsidRDefault="00F248CD" w:rsidP="00154473">
            <w:pPr>
              <w:rPr>
                <w:sz w:val="18"/>
              </w:rPr>
            </w:pPr>
            <w:r w:rsidRPr="008E769D">
              <w:rPr>
                <w:b/>
                <w:bCs/>
                <w:sz w:val="18"/>
              </w:rPr>
              <w:t>Processing time (</w:t>
            </w:r>
            <w:r w:rsidRPr="00061A59">
              <w:rPr>
                <w:b/>
                <w:bCs/>
                <w:i/>
                <w:sz w:val="18"/>
              </w:rPr>
              <w:t>N</w:t>
            </w:r>
            <w:r>
              <w:rPr>
                <w:b/>
                <w:bCs/>
                <w:sz w:val="18"/>
              </w:rPr>
              <w:t xml:space="preserve"> </w:t>
            </w:r>
            <w:r w:rsidRPr="008E769D">
              <w:rPr>
                <w:b/>
                <w:bCs/>
                <w:sz w:val="18"/>
              </w:rPr>
              <w:t>symbols)</w:t>
            </w:r>
          </w:p>
        </w:tc>
        <w:tc>
          <w:tcPr>
            <w:tcW w:w="5676" w:type="dxa"/>
            <w:gridSpan w:val="4"/>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5CF6D19D" w14:textId="77777777" w:rsidR="00F248CD" w:rsidRPr="008E769D" w:rsidRDefault="00F248CD" w:rsidP="00154473">
            <w:pPr>
              <w:rPr>
                <w:sz w:val="18"/>
              </w:rPr>
            </w:pPr>
            <w:r w:rsidRPr="008E769D">
              <w:rPr>
                <w:b/>
                <w:bCs/>
                <w:sz w:val="18"/>
              </w:rPr>
              <w:t>Subcarrier Spacing</w:t>
            </w:r>
          </w:p>
        </w:tc>
      </w:tr>
      <w:tr w:rsidR="00F248CD" w:rsidRPr="008E769D" w14:paraId="0B05A6D4" w14:textId="77777777" w:rsidTr="00154473">
        <w:trPr>
          <w:trHeight w:val="731"/>
        </w:trPr>
        <w:tc>
          <w:tcPr>
            <w:tcW w:w="0" w:type="auto"/>
            <w:gridSpan w:val="2"/>
            <w:vMerge/>
            <w:tcBorders>
              <w:top w:val="single" w:sz="8" w:space="0" w:color="FFFFFF"/>
              <w:left w:val="single" w:sz="8" w:space="0" w:color="FFFFFF"/>
              <w:bottom w:val="single" w:sz="24" w:space="0" w:color="FFFFFF"/>
              <w:right w:val="single" w:sz="8" w:space="0" w:color="FFFFFF"/>
            </w:tcBorders>
            <w:vAlign w:val="center"/>
            <w:hideMark/>
          </w:tcPr>
          <w:p w14:paraId="05573E0C" w14:textId="77777777" w:rsidR="00F248CD" w:rsidRPr="008E769D" w:rsidRDefault="00F248CD" w:rsidP="00154473">
            <w:pPr>
              <w:rPr>
                <w:sz w:val="18"/>
              </w:rPr>
            </w:pPr>
          </w:p>
        </w:tc>
        <w:tc>
          <w:tcPr>
            <w:tcW w:w="1366" w:type="dxa"/>
            <w:tcBorders>
              <w:top w:val="single" w:sz="24" w:space="0" w:color="FFFFFF"/>
              <w:left w:val="single" w:sz="24"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EF40861" w14:textId="77777777" w:rsidR="00F248CD" w:rsidRPr="008E769D" w:rsidRDefault="00F248CD" w:rsidP="00154473">
            <w:pPr>
              <w:rPr>
                <w:sz w:val="18"/>
              </w:rPr>
            </w:pPr>
            <w:r w:rsidRPr="008E769D">
              <w:rPr>
                <w:sz w:val="18"/>
              </w:rPr>
              <w:t>15 kHz</w:t>
            </w:r>
          </w:p>
        </w:tc>
        <w:tc>
          <w:tcPr>
            <w:tcW w:w="144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2F27004" w14:textId="77777777" w:rsidR="00F248CD" w:rsidRPr="008E769D" w:rsidRDefault="00F248CD" w:rsidP="00154473">
            <w:pPr>
              <w:rPr>
                <w:sz w:val="18"/>
              </w:rPr>
            </w:pPr>
            <w:r w:rsidRPr="008E769D">
              <w:rPr>
                <w:sz w:val="18"/>
              </w:rPr>
              <w:t>30 kHz</w:t>
            </w:r>
          </w:p>
        </w:tc>
        <w:tc>
          <w:tcPr>
            <w:tcW w:w="118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9C0302E" w14:textId="77777777" w:rsidR="00F248CD" w:rsidRPr="008E769D" w:rsidRDefault="00F248CD" w:rsidP="00154473">
            <w:pPr>
              <w:rPr>
                <w:sz w:val="18"/>
              </w:rPr>
            </w:pPr>
            <w:r w:rsidRPr="008E769D">
              <w:rPr>
                <w:sz w:val="18"/>
              </w:rPr>
              <w:t>60 kHz</w:t>
            </w:r>
          </w:p>
        </w:tc>
        <w:tc>
          <w:tcPr>
            <w:tcW w:w="167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D052FC0" w14:textId="77777777" w:rsidR="00F248CD" w:rsidRPr="008E769D" w:rsidRDefault="00F248CD" w:rsidP="00154473">
            <w:pPr>
              <w:rPr>
                <w:sz w:val="18"/>
              </w:rPr>
            </w:pPr>
            <w:r w:rsidRPr="008E769D">
              <w:rPr>
                <w:sz w:val="18"/>
              </w:rPr>
              <w:t>120 kHz</w:t>
            </w:r>
          </w:p>
        </w:tc>
      </w:tr>
      <w:tr w:rsidR="00F248CD" w:rsidRPr="008E769D" w14:paraId="75675FDD" w14:textId="77777777" w:rsidTr="00154473">
        <w:trPr>
          <w:trHeight w:val="378"/>
        </w:trPr>
        <w:tc>
          <w:tcPr>
            <w:tcW w:w="542" w:type="dxa"/>
            <w:vMerge w:val="restart"/>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2DDD0D4" w14:textId="77777777" w:rsidR="00F248CD" w:rsidRPr="008E769D" w:rsidRDefault="00F248CD" w:rsidP="00154473">
            <w:pPr>
              <w:rPr>
                <w:sz w:val="18"/>
              </w:rPr>
            </w:pPr>
            <w:r w:rsidRPr="008E769D">
              <w:rPr>
                <w:sz w:val="18"/>
              </w:rPr>
              <w:t>DL</w:t>
            </w:r>
          </w:p>
        </w:tc>
        <w:tc>
          <w:tcPr>
            <w:tcW w:w="3536" w:type="dxa"/>
            <w:tcBorders>
              <w:top w:val="single" w:sz="24"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2A14F99" w14:textId="77777777" w:rsidR="00F248CD" w:rsidRPr="008E769D" w:rsidRDefault="00F248CD" w:rsidP="00154473">
            <w:pPr>
              <w:rPr>
                <w:sz w:val="18"/>
              </w:rPr>
            </w:pPr>
            <w:r w:rsidRPr="008E769D">
              <w:rPr>
                <w:sz w:val="18"/>
              </w:rPr>
              <w:t>Front loaded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417780B7" w14:textId="77777777" w:rsidR="00F248CD" w:rsidRPr="008E769D" w:rsidRDefault="00F248CD" w:rsidP="00154473">
            <w:pPr>
              <w:rPr>
                <w:sz w:val="18"/>
              </w:rPr>
            </w:pPr>
            <w:r>
              <w:rPr>
                <w:sz w:val="18"/>
              </w:rPr>
              <w:t>X symbols</w:t>
            </w:r>
            <w:r w:rsidRPr="008E769D">
              <w:rPr>
                <w:sz w:val="18"/>
              </w:rPr>
              <w:t xml:space="preserve"> </w:t>
            </w:r>
            <w:r>
              <w:rPr>
                <w:sz w:val="18"/>
              </w:rPr>
              <w:br/>
            </w:r>
            <w:r w:rsidRPr="008E769D">
              <w:rPr>
                <w:sz w:val="18"/>
              </w:rPr>
              <w:t>(</w:t>
            </w:r>
            <w:r>
              <w:rPr>
                <w:sz w:val="18"/>
              </w:rPr>
              <w:t xml:space="preserve">A </w:t>
            </w:r>
            <w:r w:rsidRPr="00735650">
              <w:rPr>
                <w:rFonts w:eastAsia="MS Mincho"/>
                <w:lang w:eastAsia="ja-JP"/>
              </w:rPr>
              <w:t>µ</w:t>
            </w:r>
            <w:r w:rsidRPr="008E769D">
              <w:rPr>
                <w:sz w:val="18"/>
              </w:rPr>
              <w:t>s)</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2091C80C" w14:textId="77777777" w:rsidR="00F248CD" w:rsidRPr="008E769D" w:rsidRDefault="00F248CD" w:rsidP="00154473">
            <w:pPr>
              <w:rPr>
                <w:sz w:val="18"/>
              </w:rPr>
            </w:pPr>
            <w:r>
              <w:rPr>
                <w:sz w:val="18"/>
              </w:rPr>
              <w:t>Y symbols</w:t>
            </w:r>
            <w:r>
              <w:rPr>
                <w:sz w:val="18"/>
              </w:rPr>
              <w:br/>
            </w:r>
            <w:r w:rsidRPr="008E769D">
              <w:rPr>
                <w:sz w:val="18"/>
              </w:rPr>
              <w:t>(</w:t>
            </w:r>
            <w:r>
              <w:rPr>
                <w:sz w:val="18"/>
              </w:rPr>
              <w:t xml:space="preserve">B </w:t>
            </w:r>
            <w:r w:rsidRPr="00735650">
              <w:rPr>
                <w:rFonts w:eastAsia="MS Mincho"/>
                <w:lang w:eastAsia="ja-JP"/>
              </w:rPr>
              <w:t>µ</w:t>
            </w:r>
            <w:r w:rsidRPr="008E769D">
              <w:rPr>
                <w:sz w:val="18"/>
              </w:rPr>
              <w:t>s)</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hideMark/>
          </w:tcPr>
          <w:p w14:paraId="13B4267D" w14:textId="77777777" w:rsidR="00F248CD" w:rsidRPr="008E769D" w:rsidRDefault="00F248CD" w:rsidP="00154473">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13550BF" w14:textId="77777777" w:rsidR="00F248CD" w:rsidRPr="008E769D" w:rsidRDefault="00F248CD" w:rsidP="00154473">
            <w:pPr>
              <w:rPr>
                <w:sz w:val="18"/>
              </w:rPr>
            </w:pPr>
            <w:r>
              <w:rPr>
                <w:sz w:val="18"/>
              </w:rPr>
              <w:t>…</w:t>
            </w:r>
          </w:p>
        </w:tc>
      </w:tr>
      <w:tr w:rsidR="00F248CD" w:rsidRPr="008E769D" w14:paraId="097EB748" w14:textId="77777777" w:rsidTr="00154473">
        <w:trPr>
          <w:trHeight w:val="505"/>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9D58F22" w14:textId="77777777" w:rsidR="00F248CD" w:rsidRPr="008E769D" w:rsidRDefault="00F248CD" w:rsidP="00154473">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0E0D54F" w14:textId="77777777" w:rsidR="00F248CD" w:rsidRPr="008E769D" w:rsidRDefault="00F248CD" w:rsidP="00154473">
            <w:pPr>
              <w:rPr>
                <w:sz w:val="18"/>
              </w:rPr>
            </w:pPr>
            <w:r w:rsidRPr="008E769D">
              <w:rPr>
                <w:sz w:val="18"/>
              </w:rPr>
              <w:t>Distributed DMRS</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3C63F5E4" w14:textId="77777777" w:rsidR="00F248CD" w:rsidRPr="008E769D" w:rsidRDefault="00F248CD" w:rsidP="00154473">
            <w:pPr>
              <w:tabs>
                <w:tab w:val="left" w:pos="375"/>
              </w:tabs>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1DCFC86" w14:textId="77777777" w:rsidR="00F248CD" w:rsidRPr="008E769D" w:rsidRDefault="00F248CD" w:rsidP="00154473">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75D09291" w14:textId="77777777" w:rsidR="00F248CD" w:rsidRPr="008E769D" w:rsidRDefault="00F248CD" w:rsidP="00154473">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D93C879" w14:textId="77777777" w:rsidR="00F248CD" w:rsidRPr="008E769D" w:rsidRDefault="00F248CD" w:rsidP="00154473">
            <w:pPr>
              <w:rPr>
                <w:sz w:val="18"/>
              </w:rPr>
            </w:pPr>
            <w:r>
              <w:rPr>
                <w:sz w:val="18"/>
              </w:rPr>
              <w:t>…</w:t>
            </w:r>
          </w:p>
        </w:tc>
      </w:tr>
      <w:tr w:rsidR="00F248CD" w:rsidRPr="008E769D" w14:paraId="03CB3127" w14:textId="77777777" w:rsidTr="00154473">
        <w:trPr>
          <w:trHeight w:val="293"/>
        </w:trPr>
        <w:tc>
          <w:tcPr>
            <w:tcW w:w="542" w:type="dxa"/>
            <w:vMerge w:val="restart"/>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5D49F928" w14:textId="77777777" w:rsidR="00F248CD" w:rsidRPr="008E769D" w:rsidRDefault="00F248CD" w:rsidP="00154473">
            <w:pPr>
              <w:rPr>
                <w:sz w:val="18"/>
              </w:rPr>
            </w:pPr>
            <w:r w:rsidRPr="008E769D">
              <w:rPr>
                <w:sz w:val="18"/>
              </w:rPr>
              <w:t>UL</w:t>
            </w:r>
          </w:p>
        </w:tc>
        <w:tc>
          <w:tcPr>
            <w:tcW w:w="353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9E84F9D" w14:textId="77777777" w:rsidR="00F248CD" w:rsidRPr="008E769D" w:rsidRDefault="00F248CD" w:rsidP="00154473">
            <w:pPr>
              <w:rPr>
                <w:sz w:val="18"/>
              </w:rPr>
            </w:pPr>
            <w:r w:rsidRPr="008E769D">
              <w:rPr>
                <w:sz w:val="18"/>
              </w:rPr>
              <w:t>Freq first RE mapping</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6043434D" w14:textId="77777777" w:rsidR="00F248CD" w:rsidRPr="008E769D" w:rsidRDefault="00F248CD" w:rsidP="00154473">
            <w:pPr>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0F79D830" w14:textId="77777777" w:rsidR="00F248CD" w:rsidRPr="008E769D" w:rsidRDefault="00F248CD" w:rsidP="00154473">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0675C8A" w14:textId="77777777" w:rsidR="00F248CD" w:rsidRPr="008E769D" w:rsidRDefault="00F248CD" w:rsidP="00154473">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2855EF54" w14:textId="77777777" w:rsidR="00F248CD" w:rsidRPr="008E769D" w:rsidRDefault="00F248CD" w:rsidP="00154473">
            <w:pPr>
              <w:rPr>
                <w:sz w:val="18"/>
              </w:rPr>
            </w:pPr>
            <w:r>
              <w:rPr>
                <w:sz w:val="18"/>
              </w:rPr>
              <w:t>…</w:t>
            </w:r>
          </w:p>
        </w:tc>
      </w:tr>
      <w:tr w:rsidR="00F248CD" w:rsidRPr="008E769D" w14:paraId="6404A48E" w14:textId="77777777" w:rsidTr="00154473">
        <w:trPr>
          <w:trHeight w:val="37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294B29" w14:textId="77777777" w:rsidR="00F248CD" w:rsidRPr="008E769D" w:rsidRDefault="00F248CD" w:rsidP="00154473">
            <w:pPr>
              <w:rPr>
                <w:sz w:val="18"/>
              </w:rPr>
            </w:pPr>
          </w:p>
        </w:tc>
        <w:tc>
          <w:tcPr>
            <w:tcW w:w="353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C351AE4" w14:textId="77777777" w:rsidR="00F248CD" w:rsidRPr="008E769D" w:rsidRDefault="00F248CD" w:rsidP="00154473">
            <w:pPr>
              <w:rPr>
                <w:sz w:val="18"/>
              </w:rPr>
            </w:pPr>
            <w:r w:rsidRPr="008E769D">
              <w:rPr>
                <w:sz w:val="18"/>
              </w:rPr>
              <w:t>Time first RE mapping (if specified)</w:t>
            </w:r>
          </w:p>
        </w:tc>
        <w:tc>
          <w:tcPr>
            <w:tcW w:w="136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C55831B" w14:textId="77777777" w:rsidR="00F248CD" w:rsidRPr="008E769D" w:rsidRDefault="00F248CD" w:rsidP="00154473">
            <w:pPr>
              <w:rPr>
                <w:sz w:val="18"/>
              </w:rPr>
            </w:pPr>
            <w:r>
              <w:rPr>
                <w:sz w:val="18"/>
              </w:rPr>
              <w:t>…</w:t>
            </w:r>
          </w:p>
        </w:tc>
        <w:tc>
          <w:tcPr>
            <w:tcW w:w="1446"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7937A53" w14:textId="77777777" w:rsidR="00F248CD" w:rsidRPr="008E769D" w:rsidRDefault="00F248CD" w:rsidP="00154473">
            <w:pPr>
              <w:rPr>
                <w:sz w:val="18"/>
              </w:rPr>
            </w:pPr>
            <w:r>
              <w:rPr>
                <w:sz w:val="18"/>
              </w:rPr>
              <w:t>…</w:t>
            </w:r>
          </w:p>
        </w:tc>
        <w:tc>
          <w:tcPr>
            <w:tcW w:w="1185"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4FC8A1FC" w14:textId="77777777" w:rsidR="00F248CD" w:rsidRPr="008E769D" w:rsidRDefault="00F248CD" w:rsidP="00154473">
            <w:pPr>
              <w:rPr>
                <w:sz w:val="18"/>
              </w:rPr>
            </w:pPr>
            <w:r>
              <w:rPr>
                <w:sz w:val="18"/>
              </w:rPr>
              <w:t>…</w:t>
            </w:r>
          </w:p>
        </w:tc>
        <w:tc>
          <w:tcPr>
            <w:tcW w:w="1679" w:type="dxa"/>
            <w:tcBorders>
              <w:top w:val="single" w:sz="8" w:space="0" w:color="FFFFFF"/>
              <w:left w:val="single" w:sz="8" w:space="0" w:color="FFFFFF"/>
              <w:bottom w:val="single" w:sz="8" w:space="0" w:color="FFFFFF"/>
              <w:right w:val="single" w:sz="8" w:space="0" w:color="FFFFFF"/>
            </w:tcBorders>
            <w:shd w:val="clear" w:color="auto" w:fill="89D1B2"/>
            <w:tcMar>
              <w:top w:w="72" w:type="dxa"/>
              <w:left w:w="144" w:type="dxa"/>
              <w:bottom w:w="72" w:type="dxa"/>
              <w:right w:w="144" w:type="dxa"/>
            </w:tcMar>
          </w:tcPr>
          <w:p w14:paraId="5EFB2699" w14:textId="77777777" w:rsidR="00F248CD" w:rsidRPr="008E769D" w:rsidRDefault="00F248CD" w:rsidP="00154473">
            <w:pPr>
              <w:rPr>
                <w:sz w:val="18"/>
              </w:rPr>
            </w:pPr>
            <w:r>
              <w:rPr>
                <w:sz w:val="18"/>
              </w:rPr>
              <w:t>…</w:t>
            </w:r>
          </w:p>
        </w:tc>
      </w:tr>
    </w:tbl>
    <w:p w14:paraId="2129C7C9" w14:textId="77777777" w:rsidR="00F248CD" w:rsidRPr="00C170AD" w:rsidRDefault="00F248CD" w:rsidP="00C170AD">
      <w:pPr>
        <w:rPr>
          <w:i/>
          <w:lang w:val="en-GB"/>
        </w:rPr>
      </w:pPr>
      <w:r w:rsidRPr="00C170AD">
        <w:rPr>
          <w:i/>
          <w:lang w:val="en-GB"/>
        </w:rPr>
        <w:t>Note that “N” may not necessarily be a whole integer.</w:t>
      </w:r>
    </w:p>
    <w:p w14:paraId="37D42798" w14:textId="3E85B620" w:rsidR="00FA1FE3" w:rsidRPr="008E769D" w:rsidRDefault="00FA1FE3" w:rsidP="00B930AA">
      <w:pPr>
        <w:rPr>
          <w:sz w:val="18"/>
          <w:lang w:val="en-GB"/>
        </w:rPr>
      </w:pPr>
    </w:p>
    <w:bookmarkEnd w:id="1"/>
    <w:p w14:paraId="5BE0AC98" w14:textId="77777777" w:rsidR="00E523F3" w:rsidRPr="008E769D" w:rsidRDefault="00E523F3" w:rsidP="00BC0E9A">
      <w:pPr>
        <w:pStyle w:val="Heading1"/>
        <w:numPr>
          <w:ilvl w:val="0"/>
          <w:numId w:val="0"/>
        </w:numPr>
        <w:ind w:left="432" w:hanging="432"/>
        <w:rPr>
          <w:lang w:val="en-US"/>
        </w:rPr>
      </w:pPr>
      <w:r w:rsidRPr="008E769D">
        <w:rPr>
          <w:lang w:val="en-US"/>
        </w:rPr>
        <w:t>References</w:t>
      </w:r>
    </w:p>
    <w:p w14:paraId="155A289B" w14:textId="6D0B6954" w:rsidR="004336D8" w:rsidRPr="00BF42F4" w:rsidRDefault="001F2982" w:rsidP="00BF42F4">
      <w:pPr>
        <w:numPr>
          <w:ilvl w:val="0"/>
          <w:numId w:val="2"/>
        </w:numPr>
        <w:spacing w:before="100" w:beforeAutospacing="1" w:after="100" w:afterAutospacing="1"/>
        <w:ind w:left="562" w:hanging="562"/>
        <w:rPr>
          <w:sz w:val="18"/>
        </w:rPr>
      </w:pPr>
      <w:bookmarkStart w:id="2" w:name="_Ref458548305"/>
      <w:bookmarkStart w:id="3" w:name="_Ref430766234"/>
      <w:r w:rsidRPr="008E769D">
        <w:rPr>
          <w:sz w:val="18"/>
        </w:rPr>
        <w:t xml:space="preserve">RAN1 #85 </w:t>
      </w:r>
      <w:r w:rsidR="00D610F8" w:rsidRPr="008E769D">
        <w:rPr>
          <w:sz w:val="18"/>
        </w:rPr>
        <w:t>Chairman Notes</w:t>
      </w:r>
      <w:bookmarkEnd w:id="2"/>
      <w:bookmarkEnd w:id="3"/>
    </w:p>
    <w:sectPr w:rsidR="004336D8" w:rsidRPr="00BF42F4"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9DA23" w14:textId="77777777" w:rsidR="000352CF" w:rsidRDefault="000352CF">
      <w:r>
        <w:separator/>
      </w:r>
    </w:p>
  </w:endnote>
  <w:endnote w:type="continuationSeparator" w:id="0">
    <w:p w14:paraId="37F08110" w14:textId="77777777" w:rsidR="000352CF" w:rsidRDefault="000352CF">
      <w:r>
        <w:continuationSeparator/>
      </w:r>
    </w:p>
  </w:endnote>
  <w:endnote w:type="continuationNotice" w:id="1">
    <w:p w14:paraId="6B169B9E" w14:textId="77777777" w:rsidR="000352CF" w:rsidRDefault="00035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7E58B9" w:rsidRDefault="007E58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E58B9" w:rsidRDefault="007E58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72F8D3B5" w:rsidR="007E58B9" w:rsidRDefault="007E58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513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513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21E24" w14:textId="77777777" w:rsidR="000352CF" w:rsidRDefault="000352CF">
      <w:r>
        <w:separator/>
      </w:r>
    </w:p>
  </w:footnote>
  <w:footnote w:type="continuationSeparator" w:id="0">
    <w:p w14:paraId="2C5FBDA2" w14:textId="77777777" w:rsidR="000352CF" w:rsidRDefault="000352CF">
      <w:r>
        <w:continuationSeparator/>
      </w:r>
    </w:p>
  </w:footnote>
  <w:footnote w:type="continuationNotice" w:id="1">
    <w:p w14:paraId="036E9919" w14:textId="77777777" w:rsidR="000352CF" w:rsidRDefault="00035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7E58B9" w:rsidRDefault="007E58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B605BE"/>
    <w:multiLevelType w:val="hybridMultilevel"/>
    <w:tmpl w:val="FCD2944C"/>
    <w:lvl w:ilvl="0" w:tplc="A37EC4F4">
      <w:start w:val="1"/>
      <w:numFmt w:val="bullet"/>
      <w:lvlText w:val="−"/>
      <w:lvlJc w:val="left"/>
      <w:pPr>
        <w:tabs>
          <w:tab w:val="num" w:pos="720"/>
        </w:tabs>
        <w:ind w:left="720" w:hanging="360"/>
      </w:pPr>
      <w:rPr>
        <w:rFonts w:ascii="Arial" w:hAnsi="Arial" w:hint="default"/>
      </w:rPr>
    </w:lvl>
    <w:lvl w:ilvl="1" w:tplc="50645EA8">
      <w:start w:val="1"/>
      <w:numFmt w:val="bullet"/>
      <w:lvlText w:val="−"/>
      <w:lvlJc w:val="left"/>
      <w:pPr>
        <w:tabs>
          <w:tab w:val="num" w:pos="1440"/>
        </w:tabs>
        <w:ind w:left="1440" w:hanging="360"/>
      </w:pPr>
      <w:rPr>
        <w:rFonts w:ascii="Arial" w:hAnsi="Arial" w:hint="default"/>
      </w:rPr>
    </w:lvl>
    <w:lvl w:ilvl="2" w:tplc="A7249616">
      <w:numFmt w:val="bullet"/>
      <w:lvlText w:val="−"/>
      <w:lvlJc w:val="left"/>
      <w:pPr>
        <w:tabs>
          <w:tab w:val="num" w:pos="2160"/>
        </w:tabs>
        <w:ind w:left="2160" w:hanging="360"/>
      </w:pPr>
      <w:rPr>
        <w:rFonts w:ascii="Arial" w:hAnsi="Arial" w:hint="default"/>
      </w:rPr>
    </w:lvl>
    <w:lvl w:ilvl="3" w:tplc="747C59BC" w:tentative="1">
      <w:start w:val="1"/>
      <w:numFmt w:val="bullet"/>
      <w:lvlText w:val="−"/>
      <w:lvlJc w:val="left"/>
      <w:pPr>
        <w:tabs>
          <w:tab w:val="num" w:pos="2880"/>
        </w:tabs>
        <w:ind w:left="2880" w:hanging="360"/>
      </w:pPr>
      <w:rPr>
        <w:rFonts w:ascii="Arial" w:hAnsi="Arial" w:hint="default"/>
      </w:rPr>
    </w:lvl>
    <w:lvl w:ilvl="4" w:tplc="1DF6AA02" w:tentative="1">
      <w:start w:val="1"/>
      <w:numFmt w:val="bullet"/>
      <w:lvlText w:val="−"/>
      <w:lvlJc w:val="left"/>
      <w:pPr>
        <w:tabs>
          <w:tab w:val="num" w:pos="3600"/>
        </w:tabs>
        <w:ind w:left="3600" w:hanging="360"/>
      </w:pPr>
      <w:rPr>
        <w:rFonts w:ascii="Arial" w:hAnsi="Arial" w:hint="default"/>
      </w:rPr>
    </w:lvl>
    <w:lvl w:ilvl="5" w:tplc="A040294C" w:tentative="1">
      <w:start w:val="1"/>
      <w:numFmt w:val="bullet"/>
      <w:lvlText w:val="−"/>
      <w:lvlJc w:val="left"/>
      <w:pPr>
        <w:tabs>
          <w:tab w:val="num" w:pos="4320"/>
        </w:tabs>
        <w:ind w:left="4320" w:hanging="360"/>
      </w:pPr>
      <w:rPr>
        <w:rFonts w:ascii="Arial" w:hAnsi="Arial" w:hint="default"/>
      </w:rPr>
    </w:lvl>
    <w:lvl w:ilvl="6" w:tplc="8B885A94" w:tentative="1">
      <w:start w:val="1"/>
      <w:numFmt w:val="bullet"/>
      <w:lvlText w:val="−"/>
      <w:lvlJc w:val="left"/>
      <w:pPr>
        <w:tabs>
          <w:tab w:val="num" w:pos="5040"/>
        </w:tabs>
        <w:ind w:left="5040" w:hanging="360"/>
      </w:pPr>
      <w:rPr>
        <w:rFonts w:ascii="Arial" w:hAnsi="Arial" w:hint="default"/>
      </w:rPr>
    </w:lvl>
    <w:lvl w:ilvl="7" w:tplc="608687B2" w:tentative="1">
      <w:start w:val="1"/>
      <w:numFmt w:val="bullet"/>
      <w:lvlText w:val="−"/>
      <w:lvlJc w:val="left"/>
      <w:pPr>
        <w:tabs>
          <w:tab w:val="num" w:pos="5760"/>
        </w:tabs>
        <w:ind w:left="5760" w:hanging="360"/>
      </w:pPr>
      <w:rPr>
        <w:rFonts w:ascii="Arial" w:hAnsi="Arial" w:hint="default"/>
      </w:rPr>
    </w:lvl>
    <w:lvl w:ilvl="8" w:tplc="33B03B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3A3C3C"/>
    <w:multiLevelType w:val="hybridMultilevel"/>
    <w:tmpl w:val="11844614"/>
    <w:lvl w:ilvl="0" w:tplc="EAB49E10">
      <w:start w:val="1"/>
      <w:numFmt w:val="bullet"/>
      <w:lvlText w:val="−"/>
      <w:lvlJc w:val="left"/>
      <w:pPr>
        <w:tabs>
          <w:tab w:val="num" w:pos="720"/>
        </w:tabs>
        <w:ind w:left="720" w:hanging="360"/>
      </w:pPr>
      <w:rPr>
        <w:rFonts w:ascii="Arial" w:hAnsi="Arial" w:hint="default"/>
      </w:rPr>
    </w:lvl>
    <w:lvl w:ilvl="1" w:tplc="43AEBB46" w:tentative="1">
      <w:start w:val="1"/>
      <w:numFmt w:val="bullet"/>
      <w:lvlText w:val="−"/>
      <w:lvlJc w:val="left"/>
      <w:pPr>
        <w:tabs>
          <w:tab w:val="num" w:pos="1440"/>
        </w:tabs>
        <w:ind w:left="1440" w:hanging="360"/>
      </w:pPr>
      <w:rPr>
        <w:rFonts w:ascii="Arial" w:hAnsi="Arial" w:hint="default"/>
      </w:rPr>
    </w:lvl>
    <w:lvl w:ilvl="2" w:tplc="F53472A0">
      <w:start w:val="1"/>
      <w:numFmt w:val="bullet"/>
      <w:lvlText w:val="−"/>
      <w:lvlJc w:val="left"/>
      <w:pPr>
        <w:tabs>
          <w:tab w:val="num" w:pos="2160"/>
        </w:tabs>
        <w:ind w:left="2160" w:hanging="360"/>
      </w:pPr>
      <w:rPr>
        <w:rFonts w:ascii="Arial" w:hAnsi="Arial" w:hint="default"/>
      </w:rPr>
    </w:lvl>
    <w:lvl w:ilvl="3" w:tplc="DB2CC4D4" w:tentative="1">
      <w:start w:val="1"/>
      <w:numFmt w:val="bullet"/>
      <w:lvlText w:val="−"/>
      <w:lvlJc w:val="left"/>
      <w:pPr>
        <w:tabs>
          <w:tab w:val="num" w:pos="2880"/>
        </w:tabs>
        <w:ind w:left="2880" w:hanging="360"/>
      </w:pPr>
      <w:rPr>
        <w:rFonts w:ascii="Arial" w:hAnsi="Arial" w:hint="default"/>
      </w:rPr>
    </w:lvl>
    <w:lvl w:ilvl="4" w:tplc="81F880EA" w:tentative="1">
      <w:start w:val="1"/>
      <w:numFmt w:val="bullet"/>
      <w:lvlText w:val="−"/>
      <w:lvlJc w:val="left"/>
      <w:pPr>
        <w:tabs>
          <w:tab w:val="num" w:pos="3600"/>
        </w:tabs>
        <w:ind w:left="3600" w:hanging="360"/>
      </w:pPr>
      <w:rPr>
        <w:rFonts w:ascii="Arial" w:hAnsi="Arial" w:hint="default"/>
      </w:rPr>
    </w:lvl>
    <w:lvl w:ilvl="5" w:tplc="3336F1C2" w:tentative="1">
      <w:start w:val="1"/>
      <w:numFmt w:val="bullet"/>
      <w:lvlText w:val="−"/>
      <w:lvlJc w:val="left"/>
      <w:pPr>
        <w:tabs>
          <w:tab w:val="num" w:pos="4320"/>
        </w:tabs>
        <w:ind w:left="4320" w:hanging="360"/>
      </w:pPr>
      <w:rPr>
        <w:rFonts w:ascii="Arial" w:hAnsi="Arial" w:hint="default"/>
      </w:rPr>
    </w:lvl>
    <w:lvl w:ilvl="6" w:tplc="51442E64" w:tentative="1">
      <w:start w:val="1"/>
      <w:numFmt w:val="bullet"/>
      <w:lvlText w:val="−"/>
      <w:lvlJc w:val="left"/>
      <w:pPr>
        <w:tabs>
          <w:tab w:val="num" w:pos="5040"/>
        </w:tabs>
        <w:ind w:left="5040" w:hanging="360"/>
      </w:pPr>
      <w:rPr>
        <w:rFonts w:ascii="Arial" w:hAnsi="Arial" w:hint="default"/>
      </w:rPr>
    </w:lvl>
    <w:lvl w:ilvl="7" w:tplc="17CE7A04" w:tentative="1">
      <w:start w:val="1"/>
      <w:numFmt w:val="bullet"/>
      <w:lvlText w:val="−"/>
      <w:lvlJc w:val="left"/>
      <w:pPr>
        <w:tabs>
          <w:tab w:val="num" w:pos="5760"/>
        </w:tabs>
        <w:ind w:left="5760" w:hanging="360"/>
      </w:pPr>
      <w:rPr>
        <w:rFonts w:ascii="Arial" w:hAnsi="Arial" w:hint="default"/>
      </w:rPr>
    </w:lvl>
    <w:lvl w:ilvl="8" w:tplc="7410E4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4041A"/>
    <w:multiLevelType w:val="hybridMultilevel"/>
    <w:tmpl w:val="0AB65284"/>
    <w:lvl w:ilvl="0" w:tplc="B96E46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224B8"/>
    <w:multiLevelType w:val="hybridMultilevel"/>
    <w:tmpl w:val="3372E8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E422ABE"/>
    <w:multiLevelType w:val="hybridMultilevel"/>
    <w:tmpl w:val="C6EA96F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E43499A"/>
    <w:multiLevelType w:val="hybridMultilevel"/>
    <w:tmpl w:val="A4E0C686"/>
    <w:lvl w:ilvl="0" w:tplc="90DE079E">
      <w:start w:val="1"/>
      <w:numFmt w:val="bullet"/>
      <w:lvlText w:val=""/>
      <w:lvlJc w:val="left"/>
      <w:pPr>
        <w:tabs>
          <w:tab w:val="num" w:pos="720"/>
        </w:tabs>
        <w:ind w:left="720" w:hanging="360"/>
      </w:pPr>
      <w:rPr>
        <w:rFonts w:ascii="Symbol" w:hAnsi="Symbol" w:hint="default"/>
      </w:rPr>
    </w:lvl>
    <w:lvl w:ilvl="1" w:tplc="BCDA8346">
      <w:numFmt w:val="bullet"/>
      <w:lvlText w:val="−"/>
      <w:lvlJc w:val="left"/>
      <w:pPr>
        <w:tabs>
          <w:tab w:val="num" w:pos="1440"/>
        </w:tabs>
        <w:ind w:left="1440" w:hanging="360"/>
      </w:pPr>
      <w:rPr>
        <w:rFonts w:ascii="Calibre Regular" w:hAnsi="Calibre Regular" w:hint="default"/>
      </w:rPr>
    </w:lvl>
    <w:lvl w:ilvl="2" w:tplc="87A6672E" w:tentative="1">
      <w:start w:val="1"/>
      <w:numFmt w:val="bullet"/>
      <w:lvlText w:val=""/>
      <w:lvlJc w:val="left"/>
      <w:pPr>
        <w:tabs>
          <w:tab w:val="num" w:pos="2160"/>
        </w:tabs>
        <w:ind w:left="2160" w:hanging="360"/>
      </w:pPr>
      <w:rPr>
        <w:rFonts w:ascii="Symbol" w:hAnsi="Symbol" w:hint="default"/>
      </w:rPr>
    </w:lvl>
    <w:lvl w:ilvl="3" w:tplc="A8DC7FB0" w:tentative="1">
      <w:start w:val="1"/>
      <w:numFmt w:val="bullet"/>
      <w:lvlText w:val=""/>
      <w:lvlJc w:val="left"/>
      <w:pPr>
        <w:tabs>
          <w:tab w:val="num" w:pos="2880"/>
        </w:tabs>
        <w:ind w:left="2880" w:hanging="360"/>
      </w:pPr>
      <w:rPr>
        <w:rFonts w:ascii="Symbol" w:hAnsi="Symbol" w:hint="default"/>
      </w:rPr>
    </w:lvl>
    <w:lvl w:ilvl="4" w:tplc="F3C6A634" w:tentative="1">
      <w:start w:val="1"/>
      <w:numFmt w:val="bullet"/>
      <w:lvlText w:val=""/>
      <w:lvlJc w:val="left"/>
      <w:pPr>
        <w:tabs>
          <w:tab w:val="num" w:pos="3600"/>
        </w:tabs>
        <w:ind w:left="3600" w:hanging="360"/>
      </w:pPr>
      <w:rPr>
        <w:rFonts w:ascii="Symbol" w:hAnsi="Symbol" w:hint="default"/>
      </w:rPr>
    </w:lvl>
    <w:lvl w:ilvl="5" w:tplc="A662939C" w:tentative="1">
      <w:start w:val="1"/>
      <w:numFmt w:val="bullet"/>
      <w:lvlText w:val=""/>
      <w:lvlJc w:val="left"/>
      <w:pPr>
        <w:tabs>
          <w:tab w:val="num" w:pos="4320"/>
        </w:tabs>
        <w:ind w:left="4320" w:hanging="360"/>
      </w:pPr>
      <w:rPr>
        <w:rFonts w:ascii="Symbol" w:hAnsi="Symbol" w:hint="default"/>
      </w:rPr>
    </w:lvl>
    <w:lvl w:ilvl="6" w:tplc="6EAC5C6C" w:tentative="1">
      <w:start w:val="1"/>
      <w:numFmt w:val="bullet"/>
      <w:lvlText w:val=""/>
      <w:lvlJc w:val="left"/>
      <w:pPr>
        <w:tabs>
          <w:tab w:val="num" w:pos="5040"/>
        </w:tabs>
        <w:ind w:left="5040" w:hanging="360"/>
      </w:pPr>
      <w:rPr>
        <w:rFonts w:ascii="Symbol" w:hAnsi="Symbol" w:hint="default"/>
      </w:rPr>
    </w:lvl>
    <w:lvl w:ilvl="7" w:tplc="012EB93E" w:tentative="1">
      <w:start w:val="1"/>
      <w:numFmt w:val="bullet"/>
      <w:lvlText w:val=""/>
      <w:lvlJc w:val="left"/>
      <w:pPr>
        <w:tabs>
          <w:tab w:val="num" w:pos="5760"/>
        </w:tabs>
        <w:ind w:left="5760" w:hanging="360"/>
      </w:pPr>
      <w:rPr>
        <w:rFonts w:ascii="Symbol" w:hAnsi="Symbol" w:hint="default"/>
      </w:rPr>
    </w:lvl>
    <w:lvl w:ilvl="8" w:tplc="33DE367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BE51F3"/>
    <w:multiLevelType w:val="hybridMultilevel"/>
    <w:tmpl w:val="2D28CF5E"/>
    <w:lvl w:ilvl="0" w:tplc="C41AA8DE">
      <w:start w:val="1"/>
      <w:numFmt w:val="bullet"/>
      <w:lvlText w:val="•"/>
      <w:lvlJc w:val="left"/>
      <w:pPr>
        <w:tabs>
          <w:tab w:val="num" w:pos="720"/>
        </w:tabs>
        <w:ind w:left="720" w:hanging="360"/>
      </w:pPr>
      <w:rPr>
        <w:rFonts w:ascii="Arial" w:hAnsi="Arial" w:hint="default"/>
      </w:rPr>
    </w:lvl>
    <w:lvl w:ilvl="1" w:tplc="DB7CDB94">
      <w:numFmt w:val="bullet"/>
      <w:lvlText w:val="−"/>
      <w:lvlJc w:val="left"/>
      <w:pPr>
        <w:tabs>
          <w:tab w:val="num" w:pos="1440"/>
        </w:tabs>
        <w:ind w:left="1440" w:hanging="360"/>
      </w:pPr>
      <w:rPr>
        <w:rFonts w:ascii="Arial" w:hAnsi="Arial" w:hint="default"/>
      </w:rPr>
    </w:lvl>
    <w:lvl w:ilvl="2" w:tplc="5A2827E0" w:tentative="1">
      <w:start w:val="1"/>
      <w:numFmt w:val="bullet"/>
      <w:lvlText w:val="•"/>
      <w:lvlJc w:val="left"/>
      <w:pPr>
        <w:tabs>
          <w:tab w:val="num" w:pos="2160"/>
        </w:tabs>
        <w:ind w:left="2160" w:hanging="360"/>
      </w:pPr>
      <w:rPr>
        <w:rFonts w:ascii="Arial" w:hAnsi="Arial" w:hint="default"/>
      </w:rPr>
    </w:lvl>
    <w:lvl w:ilvl="3" w:tplc="2CE25DD8" w:tentative="1">
      <w:start w:val="1"/>
      <w:numFmt w:val="bullet"/>
      <w:lvlText w:val="•"/>
      <w:lvlJc w:val="left"/>
      <w:pPr>
        <w:tabs>
          <w:tab w:val="num" w:pos="2880"/>
        </w:tabs>
        <w:ind w:left="2880" w:hanging="360"/>
      </w:pPr>
      <w:rPr>
        <w:rFonts w:ascii="Arial" w:hAnsi="Arial" w:hint="default"/>
      </w:rPr>
    </w:lvl>
    <w:lvl w:ilvl="4" w:tplc="801C4010" w:tentative="1">
      <w:start w:val="1"/>
      <w:numFmt w:val="bullet"/>
      <w:lvlText w:val="•"/>
      <w:lvlJc w:val="left"/>
      <w:pPr>
        <w:tabs>
          <w:tab w:val="num" w:pos="3600"/>
        </w:tabs>
        <w:ind w:left="3600" w:hanging="360"/>
      </w:pPr>
      <w:rPr>
        <w:rFonts w:ascii="Arial" w:hAnsi="Arial" w:hint="default"/>
      </w:rPr>
    </w:lvl>
    <w:lvl w:ilvl="5" w:tplc="2002750A" w:tentative="1">
      <w:start w:val="1"/>
      <w:numFmt w:val="bullet"/>
      <w:lvlText w:val="•"/>
      <w:lvlJc w:val="left"/>
      <w:pPr>
        <w:tabs>
          <w:tab w:val="num" w:pos="4320"/>
        </w:tabs>
        <w:ind w:left="4320" w:hanging="360"/>
      </w:pPr>
      <w:rPr>
        <w:rFonts w:ascii="Arial" w:hAnsi="Arial" w:hint="default"/>
      </w:rPr>
    </w:lvl>
    <w:lvl w:ilvl="6" w:tplc="65C81210" w:tentative="1">
      <w:start w:val="1"/>
      <w:numFmt w:val="bullet"/>
      <w:lvlText w:val="•"/>
      <w:lvlJc w:val="left"/>
      <w:pPr>
        <w:tabs>
          <w:tab w:val="num" w:pos="5040"/>
        </w:tabs>
        <w:ind w:left="5040" w:hanging="360"/>
      </w:pPr>
      <w:rPr>
        <w:rFonts w:ascii="Arial" w:hAnsi="Arial" w:hint="default"/>
      </w:rPr>
    </w:lvl>
    <w:lvl w:ilvl="7" w:tplc="6BE81AEE" w:tentative="1">
      <w:start w:val="1"/>
      <w:numFmt w:val="bullet"/>
      <w:lvlText w:val="•"/>
      <w:lvlJc w:val="left"/>
      <w:pPr>
        <w:tabs>
          <w:tab w:val="num" w:pos="5760"/>
        </w:tabs>
        <w:ind w:left="5760" w:hanging="360"/>
      </w:pPr>
      <w:rPr>
        <w:rFonts w:ascii="Arial" w:hAnsi="Arial" w:hint="default"/>
      </w:rPr>
    </w:lvl>
    <w:lvl w:ilvl="8" w:tplc="A4BE893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7E2332"/>
    <w:multiLevelType w:val="hybridMultilevel"/>
    <w:tmpl w:val="BB3C5EC8"/>
    <w:lvl w:ilvl="0" w:tplc="97F07940">
      <w:start w:val="1"/>
      <w:numFmt w:val="bullet"/>
      <w:lvlText w:val="−"/>
      <w:lvlJc w:val="left"/>
      <w:pPr>
        <w:tabs>
          <w:tab w:val="num" w:pos="720"/>
        </w:tabs>
        <w:ind w:left="720" w:hanging="360"/>
      </w:pPr>
      <w:rPr>
        <w:rFonts w:ascii="Arial" w:hAnsi="Arial" w:hint="default"/>
      </w:rPr>
    </w:lvl>
    <w:lvl w:ilvl="1" w:tplc="E7C88B42">
      <w:start w:val="1"/>
      <w:numFmt w:val="bullet"/>
      <w:lvlText w:val="−"/>
      <w:lvlJc w:val="left"/>
      <w:pPr>
        <w:tabs>
          <w:tab w:val="num" w:pos="1440"/>
        </w:tabs>
        <w:ind w:left="1440" w:hanging="360"/>
      </w:pPr>
      <w:rPr>
        <w:rFonts w:ascii="Arial" w:hAnsi="Arial" w:hint="default"/>
      </w:rPr>
    </w:lvl>
    <w:lvl w:ilvl="2" w:tplc="D7AC900E" w:tentative="1">
      <w:start w:val="1"/>
      <w:numFmt w:val="bullet"/>
      <w:lvlText w:val="−"/>
      <w:lvlJc w:val="left"/>
      <w:pPr>
        <w:tabs>
          <w:tab w:val="num" w:pos="2160"/>
        </w:tabs>
        <w:ind w:left="2160" w:hanging="360"/>
      </w:pPr>
      <w:rPr>
        <w:rFonts w:ascii="Arial" w:hAnsi="Arial" w:hint="default"/>
      </w:rPr>
    </w:lvl>
    <w:lvl w:ilvl="3" w:tplc="D70EE786" w:tentative="1">
      <w:start w:val="1"/>
      <w:numFmt w:val="bullet"/>
      <w:lvlText w:val="−"/>
      <w:lvlJc w:val="left"/>
      <w:pPr>
        <w:tabs>
          <w:tab w:val="num" w:pos="2880"/>
        </w:tabs>
        <w:ind w:left="2880" w:hanging="360"/>
      </w:pPr>
      <w:rPr>
        <w:rFonts w:ascii="Arial" w:hAnsi="Arial" w:hint="default"/>
      </w:rPr>
    </w:lvl>
    <w:lvl w:ilvl="4" w:tplc="91E6A928" w:tentative="1">
      <w:start w:val="1"/>
      <w:numFmt w:val="bullet"/>
      <w:lvlText w:val="−"/>
      <w:lvlJc w:val="left"/>
      <w:pPr>
        <w:tabs>
          <w:tab w:val="num" w:pos="3600"/>
        </w:tabs>
        <w:ind w:left="3600" w:hanging="360"/>
      </w:pPr>
      <w:rPr>
        <w:rFonts w:ascii="Arial" w:hAnsi="Arial" w:hint="default"/>
      </w:rPr>
    </w:lvl>
    <w:lvl w:ilvl="5" w:tplc="F0CED2EC" w:tentative="1">
      <w:start w:val="1"/>
      <w:numFmt w:val="bullet"/>
      <w:lvlText w:val="−"/>
      <w:lvlJc w:val="left"/>
      <w:pPr>
        <w:tabs>
          <w:tab w:val="num" w:pos="4320"/>
        </w:tabs>
        <w:ind w:left="4320" w:hanging="360"/>
      </w:pPr>
      <w:rPr>
        <w:rFonts w:ascii="Arial" w:hAnsi="Arial" w:hint="default"/>
      </w:rPr>
    </w:lvl>
    <w:lvl w:ilvl="6" w:tplc="4852DFCC" w:tentative="1">
      <w:start w:val="1"/>
      <w:numFmt w:val="bullet"/>
      <w:lvlText w:val="−"/>
      <w:lvlJc w:val="left"/>
      <w:pPr>
        <w:tabs>
          <w:tab w:val="num" w:pos="5040"/>
        </w:tabs>
        <w:ind w:left="5040" w:hanging="360"/>
      </w:pPr>
      <w:rPr>
        <w:rFonts w:ascii="Arial" w:hAnsi="Arial" w:hint="default"/>
      </w:rPr>
    </w:lvl>
    <w:lvl w:ilvl="7" w:tplc="2E18D4AC" w:tentative="1">
      <w:start w:val="1"/>
      <w:numFmt w:val="bullet"/>
      <w:lvlText w:val="−"/>
      <w:lvlJc w:val="left"/>
      <w:pPr>
        <w:tabs>
          <w:tab w:val="num" w:pos="5760"/>
        </w:tabs>
        <w:ind w:left="5760" w:hanging="360"/>
      </w:pPr>
      <w:rPr>
        <w:rFonts w:ascii="Arial" w:hAnsi="Arial" w:hint="default"/>
      </w:rPr>
    </w:lvl>
    <w:lvl w:ilvl="8" w:tplc="452C38FA"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1"/>
  </w:num>
  <w:num w:numId="4">
    <w:abstractNumId w:val="10"/>
  </w:num>
  <w:num w:numId="5">
    <w:abstractNumId w:val="13"/>
  </w:num>
  <w:num w:numId="6">
    <w:abstractNumId w:val="16"/>
  </w:num>
  <w:num w:numId="7">
    <w:abstractNumId w:val="5"/>
  </w:num>
  <w:num w:numId="8">
    <w:abstractNumId w:val="17"/>
  </w:num>
  <w:num w:numId="9">
    <w:abstractNumId w:val="2"/>
  </w:num>
  <w:num w:numId="10">
    <w:abstractNumId w:val="15"/>
  </w:num>
  <w:num w:numId="11">
    <w:abstractNumId w:val="9"/>
  </w:num>
  <w:num w:numId="12">
    <w:abstractNumId w:val="14"/>
  </w:num>
  <w:num w:numId="13">
    <w:abstractNumId w:val="6"/>
  </w:num>
  <w:num w:numId="14">
    <w:abstractNumId w:val="3"/>
  </w:num>
  <w:num w:numId="15">
    <w:abstractNumId w:val="19"/>
  </w:num>
  <w:num w:numId="16">
    <w:abstractNumId w:val="4"/>
  </w:num>
  <w:num w:numId="17">
    <w:abstractNumId w:val="18"/>
  </w:num>
  <w:num w:numId="18">
    <w:abstractNumId w:val="12"/>
  </w:num>
  <w:num w:numId="19">
    <w:abstractNumId w:val="11"/>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A7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7DF"/>
    <w:rsid w:val="000F4CAF"/>
    <w:rsid w:val="000F4D2F"/>
    <w:rsid w:val="000F4E96"/>
    <w:rsid w:val="000F4F44"/>
    <w:rsid w:val="000F4FA3"/>
    <w:rsid w:val="000F53CB"/>
    <w:rsid w:val="000F6799"/>
    <w:rsid w:val="000F6881"/>
    <w:rsid w:val="000F6C32"/>
    <w:rsid w:val="000F6D86"/>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760"/>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6740"/>
    <w:rsid w:val="001B70CF"/>
    <w:rsid w:val="001B748B"/>
    <w:rsid w:val="001B7905"/>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65FB"/>
    <w:rsid w:val="003066DC"/>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DAE"/>
    <w:rsid w:val="003530A0"/>
    <w:rsid w:val="003531B0"/>
    <w:rsid w:val="003532D2"/>
    <w:rsid w:val="003536C6"/>
    <w:rsid w:val="003539B2"/>
    <w:rsid w:val="00353A5A"/>
    <w:rsid w:val="003540D0"/>
    <w:rsid w:val="0035414B"/>
    <w:rsid w:val="00354FE6"/>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5A"/>
    <w:rsid w:val="0056306A"/>
    <w:rsid w:val="005632EC"/>
    <w:rsid w:val="00563958"/>
    <w:rsid w:val="00563FD2"/>
    <w:rsid w:val="0056434D"/>
    <w:rsid w:val="00564597"/>
    <w:rsid w:val="00564EB9"/>
    <w:rsid w:val="005657DD"/>
    <w:rsid w:val="00565D94"/>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09AC"/>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630"/>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650"/>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4E24"/>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D28"/>
    <w:rsid w:val="00807D5E"/>
    <w:rsid w:val="00807E1B"/>
    <w:rsid w:val="008100D3"/>
    <w:rsid w:val="0081012C"/>
    <w:rsid w:val="0081036B"/>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18D0"/>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A7"/>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4ED"/>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FB0"/>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C8D"/>
    <w:rsid w:val="009D1342"/>
    <w:rsid w:val="009D15EA"/>
    <w:rsid w:val="009D1ED3"/>
    <w:rsid w:val="009D1F69"/>
    <w:rsid w:val="009D2118"/>
    <w:rsid w:val="009D22EA"/>
    <w:rsid w:val="009D2453"/>
    <w:rsid w:val="009D2CDE"/>
    <w:rsid w:val="009D33F8"/>
    <w:rsid w:val="009D3530"/>
    <w:rsid w:val="009D394E"/>
    <w:rsid w:val="009D3F1F"/>
    <w:rsid w:val="009D422B"/>
    <w:rsid w:val="009D4303"/>
    <w:rsid w:val="009D478C"/>
    <w:rsid w:val="009D49A4"/>
    <w:rsid w:val="009D4A25"/>
    <w:rsid w:val="009D4A8E"/>
    <w:rsid w:val="009D4DA3"/>
    <w:rsid w:val="009D4F83"/>
    <w:rsid w:val="009D5123"/>
    <w:rsid w:val="009D5BBF"/>
    <w:rsid w:val="009D610C"/>
    <w:rsid w:val="009D62E7"/>
    <w:rsid w:val="009D6624"/>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366"/>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6501"/>
    <w:rsid w:val="00B473FE"/>
    <w:rsid w:val="00B47784"/>
    <w:rsid w:val="00B4783F"/>
    <w:rsid w:val="00B47858"/>
    <w:rsid w:val="00B47CEF"/>
    <w:rsid w:val="00B50261"/>
    <w:rsid w:val="00B50269"/>
    <w:rsid w:val="00B5049A"/>
    <w:rsid w:val="00B504F7"/>
    <w:rsid w:val="00B5081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A51"/>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5A3"/>
    <w:rsid w:val="00E51A16"/>
    <w:rsid w:val="00E51E23"/>
    <w:rsid w:val="00E523F3"/>
    <w:rsid w:val="00E52F76"/>
    <w:rsid w:val="00E5315C"/>
    <w:rsid w:val="00E534EA"/>
    <w:rsid w:val="00E537C1"/>
    <w:rsid w:val="00E538E0"/>
    <w:rsid w:val="00E542C2"/>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8C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698"/>
    <w:rsid w:val="00FD7B69"/>
    <w:rsid w:val="00FD7D6B"/>
    <w:rsid w:val="00FE00DC"/>
    <w:rsid w:val="00FE0477"/>
    <w:rsid w:val="00FE0657"/>
    <w:rsid w:val="00FE15F5"/>
    <w:rsid w:val="00FE1728"/>
    <w:rsid w:val="00FE22FE"/>
    <w:rsid w:val="00FE2454"/>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HR33RHYHUWRF-4-4991</_dlc_DocId>
    <_dlc_DocIdUrl xmlns="c06861ca-3f08-4d07-bff7-bb15bac121f4">
      <Url>https://projects.qualcomm.com/sites/pentari/_layouts/15/DocIdRedir.aspx?ID=HR33RHYHUWRF-4-4991</Url>
      <Description>HR33RHYHUWRF-4-4991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C56AB1-83BE-440D-ABE7-390F4B31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1706</TotalTime>
  <Pages>4</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261</cp:revision>
  <cp:lastPrinted>2017-03-25T00:57:00Z</cp:lastPrinted>
  <dcterms:created xsi:type="dcterms:W3CDTF">2017-03-24T00:10:00Z</dcterms:created>
  <dcterms:modified xsi:type="dcterms:W3CDTF">2017-06-17T03:25:00Z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01000f9a-022f-447d-a2a7-36bc6ab61c2c</vt:lpwstr>
  </property>
  <property fmtid="{D5CDD505-2E9C-101B-9397-08002B2CF9AE}" pid="9" name="ContentTypeId">
    <vt:lpwstr>0x010100BC29BFD66497B943AA3B102F0C7B1355</vt:lpwstr>
  </property>
  <property fmtid="{D5CDD505-2E9C-101B-9397-08002B2CF9AE}" pid="10" name="_ReviewingToolsShownOnce">
    <vt:lpwstr/>
  </property>
</Properties>
</file>