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B9F93" w14:textId="298CA2C7" w:rsidR="00E30F00" w:rsidRPr="007D2644" w:rsidRDefault="00E30F00" w:rsidP="00E30F00">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6F7FB0">
        <w:rPr>
          <w:rFonts w:ascii="Arial" w:eastAsia="ＭＳ 明朝" w:hAnsi="Arial" w:hint="eastAsia"/>
          <w:b/>
          <w:noProof/>
          <w:lang w:val="en-US"/>
        </w:rPr>
        <w:t>11123</w:t>
      </w:r>
    </w:p>
    <w:p w14:paraId="66493209" w14:textId="17558F90" w:rsidR="000A6DE9" w:rsidRPr="00E30F00" w:rsidRDefault="00E30F00" w:rsidP="00E30F00">
      <w:pPr>
        <w:pStyle w:val="a7"/>
        <w:rPr>
          <w:sz w:val="24"/>
          <w:lang w:val="en-US"/>
        </w:rPr>
      </w:pPr>
      <w:r w:rsidRPr="00E30F00">
        <w:rPr>
          <w:rFonts w:hint="eastAsia"/>
          <w:sz w:val="24"/>
          <w:lang w:val="en-US"/>
        </w:rPr>
        <w:t>Qingdao</w:t>
      </w:r>
      <w:r w:rsidRPr="00E30F00">
        <w:rPr>
          <w:sz w:val="24"/>
          <w:lang w:val="en-US"/>
        </w:rPr>
        <w:t xml:space="preserve">, </w:t>
      </w:r>
      <w:r w:rsidRPr="00E30F00">
        <w:rPr>
          <w:rFonts w:hint="eastAsia"/>
          <w:sz w:val="24"/>
          <w:lang w:val="en-US"/>
        </w:rPr>
        <w:t>P.R. China</w:t>
      </w:r>
      <w:r w:rsidRPr="00E30F00">
        <w:rPr>
          <w:sz w:val="24"/>
          <w:lang w:val="en-US"/>
        </w:rPr>
        <w:t xml:space="preserve"> </w:t>
      </w:r>
      <w:r w:rsidRPr="00E30F00">
        <w:rPr>
          <w:rFonts w:hint="eastAsia"/>
          <w:sz w:val="24"/>
          <w:lang w:val="en-US"/>
        </w:rPr>
        <w:t xml:space="preserve">27th </w:t>
      </w:r>
      <w:r w:rsidRPr="00E30F00">
        <w:rPr>
          <w:sz w:val="24"/>
          <w:lang w:val="en-US"/>
        </w:rPr>
        <w:t xml:space="preserve">– </w:t>
      </w:r>
      <w:r w:rsidRPr="00E30F00">
        <w:rPr>
          <w:rFonts w:hint="eastAsia"/>
          <w:sz w:val="24"/>
          <w:lang w:val="en-US"/>
        </w:rPr>
        <w:t>30th</w:t>
      </w:r>
      <w:r w:rsidRPr="00E30F00">
        <w:rPr>
          <w:sz w:val="24"/>
          <w:lang w:val="en-US"/>
        </w:rPr>
        <w:t xml:space="preserve"> </w:t>
      </w:r>
      <w:r w:rsidRPr="00E30F00">
        <w:rPr>
          <w:rFonts w:hint="eastAsia"/>
          <w:sz w:val="24"/>
          <w:lang w:val="en-US"/>
        </w:rPr>
        <w:t>June</w:t>
      </w:r>
      <w:r w:rsidRPr="00E30F00">
        <w:rPr>
          <w:sz w:val="24"/>
          <w:lang w:val="en-US"/>
        </w:rPr>
        <w:t xml:space="preserve"> 201</w:t>
      </w:r>
      <w:r w:rsidRPr="00E30F00">
        <w:rPr>
          <w:rFonts w:hint="eastAsia"/>
          <w:sz w:val="24"/>
          <w:lang w:val="en-US"/>
        </w:rPr>
        <w:t>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44A49ECE"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sidR="00DE7927">
        <w:rPr>
          <w:sz w:val="24"/>
          <w:lang w:val="en-US"/>
        </w:rPr>
        <w:t>LTE-NR Dual connectivity</w:t>
      </w:r>
    </w:p>
    <w:bookmarkEnd w:id="2"/>
    <w:bookmarkEnd w:id="3"/>
    <w:bookmarkEnd w:id="4"/>
    <w:bookmarkEnd w:id="5"/>
    <w:p w14:paraId="02FF14B3" w14:textId="09B1980F"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E30F00" w:rsidRPr="00E30F00">
        <w:rPr>
          <w:sz w:val="24"/>
          <w:lang w:val="en-US" w:eastAsia="ja-JP"/>
        </w:rPr>
        <w:t>5.1.3.</w:t>
      </w:r>
      <w:r w:rsidR="00DE7927">
        <w:rPr>
          <w:sz w:val="24"/>
          <w:lang w:val="en-US" w:eastAsia="ja-JP"/>
        </w:rPr>
        <w:t>4.2</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2D4392E4" w14:textId="7C0952BB" w:rsidR="004A4D03" w:rsidRPr="00DE7927" w:rsidRDefault="001D2A61" w:rsidP="00DE7927">
      <w:pPr>
        <w:pStyle w:val="1"/>
        <w:numPr>
          <w:ilvl w:val="0"/>
          <w:numId w:val="5"/>
        </w:numPr>
        <w:spacing w:after="120"/>
        <w:jc w:val="both"/>
        <w:rPr>
          <w:b/>
          <w:lang w:val="en-US"/>
        </w:rPr>
      </w:pPr>
      <w:r w:rsidRPr="007B3BA0">
        <w:rPr>
          <w:rFonts w:hint="eastAsia"/>
          <w:b/>
          <w:lang w:val="en-US"/>
        </w:rPr>
        <w:t>Introduction</w:t>
      </w:r>
    </w:p>
    <w:p w14:paraId="0855EF79" w14:textId="0450AA30" w:rsidR="004A4D03" w:rsidRPr="004A4D03" w:rsidRDefault="004A4D03" w:rsidP="0057396D">
      <w:pPr>
        <w:adjustRightInd w:val="0"/>
        <w:snapToGrid w:val="0"/>
        <w:spacing w:afterLines="50" w:after="120"/>
        <w:jc w:val="both"/>
        <w:rPr>
          <w:rFonts w:eastAsiaTheme="minorEastAsia"/>
          <w:sz w:val="22"/>
          <w:lang w:val="en-US"/>
        </w:rPr>
      </w:pPr>
      <w:r>
        <w:rPr>
          <w:rFonts w:eastAsiaTheme="minorEastAsia" w:hint="eastAsia"/>
          <w:sz w:val="22"/>
          <w:lang w:val="en-US"/>
        </w:rPr>
        <w:t>In this contribution</w:t>
      </w:r>
      <w:r>
        <w:rPr>
          <w:rFonts w:eastAsiaTheme="minorEastAsia"/>
          <w:sz w:val="22"/>
          <w:lang w:val="en-US"/>
        </w:rPr>
        <w:t>,</w:t>
      </w:r>
      <w:r>
        <w:rPr>
          <w:rFonts w:eastAsiaTheme="minorEastAsia" w:hint="eastAsia"/>
          <w:sz w:val="22"/>
          <w:lang w:val="en-US"/>
        </w:rPr>
        <w:t xml:space="preserve"> we discuss </w:t>
      </w:r>
      <w:r w:rsidR="00DE7927">
        <w:rPr>
          <w:rFonts w:eastAsiaTheme="minorEastAsia"/>
          <w:sz w:val="22"/>
          <w:lang w:val="en-US"/>
        </w:rPr>
        <w:t>LTE-NR dual connectivity</w:t>
      </w:r>
      <w:r>
        <w:rPr>
          <w:rFonts w:eastAsiaTheme="minorEastAsia"/>
          <w:sz w:val="22"/>
          <w:lang w:val="en-US"/>
        </w:rPr>
        <w:t>.</w:t>
      </w:r>
    </w:p>
    <w:p w14:paraId="58268290" w14:textId="77777777" w:rsidR="00DE7927" w:rsidRPr="00A12F71" w:rsidRDefault="00DE7927" w:rsidP="00DE7927">
      <w:pPr>
        <w:pStyle w:val="1"/>
        <w:numPr>
          <w:ilvl w:val="0"/>
          <w:numId w:val="5"/>
        </w:numPr>
        <w:spacing w:after="120"/>
        <w:jc w:val="both"/>
        <w:rPr>
          <w:b/>
          <w:lang w:val="en-US"/>
        </w:rPr>
      </w:pPr>
      <w:bookmarkStart w:id="8" w:name="_Hlk485356762"/>
      <w:r>
        <w:rPr>
          <w:b/>
          <w:lang w:val="en-US"/>
        </w:rPr>
        <w:t>Power sharing between LTE and NR</w:t>
      </w:r>
    </w:p>
    <w:bookmarkEnd w:id="8"/>
    <w:p w14:paraId="586BB6C3" w14:textId="77777777" w:rsidR="00DE7927" w:rsidRDefault="00DE7927" w:rsidP="00DE7927">
      <w:pPr>
        <w:spacing w:afterLines="50" w:after="120"/>
        <w:jc w:val="both"/>
        <w:rPr>
          <w:rFonts w:eastAsiaTheme="minorEastAsia"/>
          <w:sz w:val="22"/>
          <w:lang w:val="en-US"/>
        </w:rPr>
      </w:pPr>
      <w:r>
        <w:rPr>
          <w:rFonts w:eastAsiaTheme="minorEastAsia"/>
          <w:sz w:val="22"/>
          <w:lang w:val="en-US"/>
        </w:rPr>
        <w:t xml:space="preserve">LTE-NR dual connectivity is an important part of the scope of Rel. 15 NR WI. For LTE-NR dual connectivity, at the RAN1#88bis meeting, it was agreed that scheduling and HARQ mechanisms and procedures between cell-groups are independent. Therefore, same as for LTE dual connectivity, UE power-control is independent between transmissions across cell-groups. </w:t>
      </w:r>
      <w:proofErr w:type="gramStart"/>
      <w:r>
        <w:rPr>
          <w:rFonts w:eastAsiaTheme="minorEastAsia"/>
          <w:sz w:val="22"/>
          <w:lang w:val="en-US"/>
        </w:rPr>
        <w:t>In order to</w:t>
      </w:r>
      <w:proofErr w:type="gramEnd"/>
      <w:r>
        <w:rPr>
          <w:rFonts w:eastAsiaTheme="minorEastAsia"/>
          <w:sz w:val="22"/>
          <w:lang w:val="en-US"/>
        </w:rPr>
        <w:t xml:space="preserve"> meet the regulatory requirement, UE shall scale the transmit power such that the output power does not exceed the defined value, at least for below 6 GHz. It is not yet clear how regulatory requirements will be made for above 6 GHz.</w:t>
      </w:r>
    </w:p>
    <w:p w14:paraId="374F389F" w14:textId="77777777" w:rsidR="00DE7927" w:rsidRDefault="00DE7927" w:rsidP="00DE7927">
      <w:pPr>
        <w:spacing w:afterLines="50" w:after="120"/>
        <w:jc w:val="both"/>
        <w:rPr>
          <w:rFonts w:eastAsiaTheme="minorEastAsia"/>
          <w:sz w:val="22"/>
          <w:lang w:val="en-US"/>
        </w:rPr>
      </w:pPr>
      <w:r>
        <w:rPr>
          <w:rFonts w:eastAsiaTheme="minorEastAsia"/>
          <w:sz w:val="22"/>
          <w:lang w:val="en-US"/>
        </w:rPr>
        <w:t xml:space="preserve">The simplest way of power-limited handling is to let up to UE implementation on how to scale the transmission. However, this implies that the UE can scale transmit power of important signal, e.g., UE </w:t>
      </w:r>
      <w:proofErr w:type="gramStart"/>
      <w:r>
        <w:rPr>
          <w:rFonts w:eastAsiaTheme="minorEastAsia"/>
          <w:sz w:val="22"/>
          <w:lang w:val="en-US"/>
        </w:rPr>
        <w:t>is allowed to</w:t>
      </w:r>
      <w:proofErr w:type="gramEnd"/>
      <w:r>
        <w:rPr>
          <w:rFonts w:eastAsiaTheme="minorEastAsia"/>
          <w:sz w:val="22"/>
          <w:lang w:val="en-US"/>
        </w:rPr>
        <w:t xml:space="preserve"> scale transmit power of HARQ-ACK feedback on PUCCH and to prioritize UL data. Specifying certain rules to control power-limited handling is important. During Rel. 12 specification work, the same discussion has been done, and RAN1 already agreed to specify power sharing for LTE dual connectivity in the RAN1 specifications.</w:t>
      </w:r>
    </w:p>
    <w:p w14:paraId="753C072C" w14:textId="77777777" w:rsidR="00DE7927" w:rsidRDefault="00DE7927" w:rsidP="00DE7927">
      <w:pPr>
        <w:spacing w:afterLines="50" w:after="120"/>
        <w:jc w:val="both"/>
        <w:rPr>
          <w:rFonts w:eastAsiaTheme="minorEastAsia"/>
          <w:sz w:val="22"/>
          <w:lang w:val="en-US"/>
        </w:rPr>
      </w:pPr>
      <w:r>
        <w:rPr>
          <w:rFonts w:eastAsiaTheme="minorEastAsia"/>
          <w:sz w:val="22"/>
          <w:lang w:val="en-US"/>
        </w:rPr>
        <w:t>During Rel. 12 LTE dual connectivity, it was agreed to support different power sharing mechanisms for synchronous case and asynchronous case with a certain commonality. For LTE-NR dual connectivity, similar power sharing mechanism can be considered. Between LTE cell-group and NR cell-group, data transmission durations may be different. Besides, RAN2 already agreed to support asynchronous dual connectivity. Therefore, RAN1 can start from specifying power control for asynchronous case. Specific optimization for synchronous case can be considered later once actual channel/signal types and UE transmission procedures are further clarified.</w:t>
      </w:r>
    </w:p>
    <w:p w14:paraId="1AEC13E7" w14:textId="77777777" w:rsidR="00DE7927" w:rsidRDefault="00DE7927" w:rsidP="00DE7927">
      <w:pPr>
        <w:spacing w:afterLines="50" w:after="120"/>
        <w:jc w:val="both"/>
        <w:rPr>
          <w:rFonts w:eastAsiaTheme="minorEastAsia"/>
          <w:sz w:val="22"/>
          <w:lang w:val="en-US"/>
        </w:rPr>
      </w:pPr>
      <w:r>
        <w:rPr>
          <w:rFonts w:eastAsiaTheme="minorEastAsia" w:hint="eastAsia"/>
          <w:sz w:val="22"/>
          <w:lang w:val="en-US"/>
        </w:rPr>
        <w:t>At Rel.</w:t>
      </w:r>
      <w:r>
        <w:rPr>
          <w:rFonts w:eastAsiaTheme="minorEastAsia"/>
          <w:sz w:val="22"/>
          <w:lang w:val="en-US"/>
        </w:rPr>
        <w:t xml:space="preserve"> 12,</w:t>
      </w:r>
      <w:r>
        <w:rPr>
          <w:rFonts w:eastAsiaTheme="minorEastAsia" w:hint="eastAsia"/>
          <w:sz w:val="22"/>
          <w:lang w:val="en-US"/>
        </w:rPr>
        <w:t xml:space="preserve"> </w:t>
      </w:r>
      <w:r>
        <w:rPr>
          <w:rFonts w:eastAsiaTheme="minorEastAsia"/>
          <w:sz w:val="22"/>
          <w:lang w:val="en-US"/>
        </w:rPr>
        <w:t xml:space="preserve">as a key feature of </w:t>
      </w:r>
      <w:r>
        <w:rPr>
          <w:rFonts w:eastAsiaTheme="minorEastAsia" w:hint="eastAsia"/>
          <w:sz w:val="22"/>
          <w:lang w:val="en-US"/>
        </w:rPr>
        <w:t>power-control</w:t>
      </w:r>
      <w:r>
        <w:rPr>
          <w:rFonts w:eastAsiaTheme="minorEastAsia"/>
          <w:sz w:val="22"/>
          <w:lang w:val="en-US"/>
        </w:rPr>
        <w:t xml:space="preserve"> for asynchronous dual connectivity, guaranteed power was introduced. It is configured by higher-layer for the cell-group, and the UE shall guarantee the transmit power allocation at least up to the guaranteed power. Whether/when/how to allocate the transmit power exceeding the guaranteed power is up to UE implementation. Note that the UE maximum output power shall not be exceed with any conditions. </w:t>
      </w:r>
    </w:p>
    <w:p w14:paraId="1FED1BBD" w14:textId="0B7AAFE8" w:rsidR="00DE7927" w:rsidRPr="00DE7927" w:rsidRDefault="00DE7927" w:rsidP="00DE7927">
      <w:pPr>
        <w:spacing w:afterLines="50" w:after="120"/>
        <w:jc w:val="both"/>
        <w:rPr>
          <w:rFonts w:eastAsiaTheme="minorEastAsia"/>
          <w:sz w:val="22"/>
          <w:lang w:val="en-US"/>
        </w:rPr>
      </w:pPr>
      <w:r>
        <w:rPr>
          <w:rFonts w:eastAsiaTheme="minorEastAsia"/>
          <w:sz w:val="22"/>
          <w:lang w:val="en-US"/>
        </w:rPr>
        <w:t xml:space="preserve">For LTE-NR dual connectivity power-control, the same concept can be applied, no matter whether they are asynchronous, using different subcarrier-spacing, etc. </w:t>
      </w:r>
    </w:p>
    <w:p w14:paraId="664DEC36" w14:textId="77777777" w:rsidR="00DE7927" w:rsidRPr="00D9626F" w:rsidRDefault="00DE7927" w:rsidP="00DE7927">
      <w:pPr>
        <w:spacing w:afterLines="50" w:after="120"/>
        <w:jc w:val="both"/>
        <w:rPr>
          <w:rFonts w:eastAsiaTheme="minorEastAsia"/>
          <w:b/>
          <w:sz w:val="22"/>
          <w:u w:val="single"/>
          <w:lang w:val="en-US"/>
        </w:rPr>
      </w:pPr>
      <w:r w:rsidRPr="00D9626F">
        <w:rPr>
          <w:rFonts w:eastAsiaTheme="minorEastAsia" w:hint="eastAsia"/>
          <w:b/>
          <w:sz w:val="22"/>
          <w:u w:val="single"/>
          <w:lang w:val="en-US"/>
        </w:rPr>
        <w:t>Proposal 1:</w:t>
      </w:r>
    </w:p>
    <w:p w14:paraId="566BC98E" w14:textId="77777777" w:rsidR="00DE7927" w:rsidRDefault="00DE7927" w:rsidP="00DE7927">
      <w:pPr>
        <w:pStyle w:val="afc"/>
        <w:numPr>
          <w:ilvl w:val="0"/>
          <w:numId w:val="21"/>
        </w:numPr>
        <w:spacing w:afterLines="50" w:after="120"/>
        <w:ind w:leftChars="0"/>
        <w:jc w:val="both"/>
        <w:rPr>
          <w:rFonts w:eastAsiaTheme="minorEastAsia"/>
          <w:i/>
          <w:sz w:val="22"/>
          <w:lang w:val="en-US"/>
        </w:rPr>
      </w:pPr>
      <w:r w:rsidRPr="00D9626F">
        <w:rPr>
          <w:rFonts w:eastAsiaTheme="minorEastAsia" w:hint="eastAsia"/>
          <w:i/>
          <w:sz w:val="22"/>
          <w:lang w:val="en-US"/>
        </w:rPr>
        <w:t xml:space="preserve">Support power sharing mechanism for LTE-NR dual </w:t>
      </w:r>
      <w:r w:rsidRPr="00D9626F">
        <w:rPr>
          <w:rFonts w:eastAsiaTheme="minorEastAsia"/>
          <w:i/>
          <w:sz w:val="22"/>
          <w:lang w:val="en-US"/>
        </w:rPr>
        <w:t>connectivity</w:t>
      </w:r>
      <w:r>
        <w:rPr>
          <w:rFonts w:eastAsiaTheme="minorEastAsia"/>
          <w:i/>
          <w:sz w:val="22"/>
          <w:lang w:val="en-US"/>
        </w:rPr>
        <w:t xml:space="preserve"> by RAN1 specification</w:t>
      </w:r>
      <w:r w:rsidRPr="00D9626F">
        <w:rPr>
          <w:rFonts w:eastAsiaTheme="minorEastAsia" w:hint="eastAsia"/>
          <w:i/>
          <w:sz w:val="22"/>
          <w:lang w:val="en-US"/>
        </w:rPr>
        <w:t>.</w:t>
      </w:r>
    </w:p>
    <w:p w14:paraId="002022AF" w14:textId="77777777" w:rsidR="00DE7927" w:rsidRDefault="00DE7927" w:rsidP="00DE7927">
      <w:pPr>
        <w:pStyle w:val="afc"/>
        <w:numPr>
          <w:ilvl w:val="1"/>
          <w:numId w:val="21"/>
        </w:numPr>
        <w:spacing w:afterLines="50" w:after="120"/>
        <w:ind w:leftChars="0"/>
        <w:jc w:val="both"/>
        <w:rPr>
          <w:rFonts w:eastAsiaTheme="minorEastAsia"/>
          <w:i/>
          <w:sz w:val="22"/>
          <w:lang w:val="en-US"/>
        </w:rPr>
      </w:pPr>
      <w:r>
        <w:rPr>
          <w:rFonts w:eastAsiaTheme="minorEastAsia" w:hint="eastAsia"/>
          <w:i/>
          <w:sz w:val="22"/>
          <w:lang w:val="en-US"/>
        </w:rPr>
        <w:t>At least guaranteed power for each cell-group is supported.</w:t>
      </w:r>
    </w:p>
    <w:p w14:paraId="6BDF3BBC" w14:textId="77777777" w:rsidR="00DE7927" w:rsidRPr="00D9626F" w:rsidRDefault="00DE7927" w:rsidP="00DE7927">
      <w:pPr>
        <w:pStyle w:val="afc"/>
        <w:numPr>
          <w:ilvl w:val="1"/>
          <w:numId w:val="21"/>
        </w:numPr>
        <w:spacing w:afterLines="50" w:after="120"/>
        <w:ind w:leftChars="0"/>
        <w:jc w:val="both"/>
        <w:rPr>
          <w:rFonts w:eastAsiaTheme="minorEastAsia"/>
          <w:i/>
          <w:sz w:val="22"/>
          <w:lang w:val="en-US"/>
        </w:rPr>
      </w:pPr>
      <w:r>
        <w:rPr>
          <w:rFonts w:eastAsiaTheme="minorEastAsia"/>
          <w:i/>
          <w:sz w:val="22"/>
          <w:lang w:val="en-US"/>
        </w:rPr>
        <w:t>Further optimization can be considered at later stage if deemed necessary.</w:t>
      </w:r>
    </w:p>
    <w:p w14:paraId="7E18622F" w14:textId="31BF5ABD" w:rsidR="005D1FD7" w:rsidRDefault="005D1FD7" w:rsidP="004A4D03">
      <w:pPr>
        <w:spacing w:afterLines="50" w:after="120"/>
        <w:jc w:val="both"/>
        <w:rPr>
          <w:rFonts w:eastAsia="ＭＳ 明朝"/>
          <w:sz w:val="22"/>
          <w:lang w:val="en-US"/>
        </w:rPr>
      </w:pPr>
    </w:p>
    <w:p w14:paraId="43B7B866" w14:textId="6611C928" w:rsidR="00DE7927" w:rsidRPr="00A12F71" w:rsidRDefault="00DE7927" w:rsidP="00DE7927">
      <w:pPr>
        <w:pStyle w:val="1"/>
        <w:numPr>
          <w:ilvl w:val="0"/>
          <w:numId w:val="5"/>
        </w:numPr>
        <w:spacing w:after="120"/>
        <w:jc w:val="both"/>
        <w:rPr>
          <w:b/>
          <w:lang w:val="en-US"/>
        </w:rPr>
      </w:pPr>
      <w:r>
        <w:rPr>
          <w:b/>
          <w:lang w:val="en-US"/>
        </w:rPr>
        <w:t>Soft-buffer sharing/split between LTE and NR</w:t>
      </w:r>
    </w:p>
    <w:p w14:paraId="64A5B964" w14:textId="77777777" w:rsidR="00DE7927" w:rsidRDefault="00DE7927" w:rsidP="00DE7927">
      <w:pPr>
        <w:spacing w:afterLines="50" w:after="120"/>
        <w:jc w:val="both"/>
        <w:rPr>
          <w:rFonts w:eastAsia="ＭＳ 明朝"/>
          <w:sz w:val="22"/>
          <w:lang w:val="en-US"/>
        </w:rPr>
      </w:pPr>
      <w:r>
        <w:rPr>
          <w:rFonts w:eastAsia="ＭＳ 明朝" w:hint="eastAsia"/>
          <w:sz w:val="22"/>
          <w:lang w:val="en-US"/>
        </w:rPr>
        <w:t xml:space="preserve">For LTE, the UE category is defined for the RAT only. </w:t>
      </w:r>
      <w:r>
        <w:rPr>
          <w:rFonts w:eastAsia="ＭＳ 明朝"/>
          <w:sz w:val="22"/>
          <w:lang w:val="en-US"/>
        </w:rPr>
        <w:t>Introduction of carrier aggregation or dual connectivity does not change the structure of UE categor</w:t>
      </w:r>
      <w:r>
        <w:rPr>
          <w:rFonts w:eastAsia="ＭＳ 明朝" w:hint="eastAsia"/>
          <w:sz w:val="22"/>
          <w:lang w:val="en-US"/>
        </w:rPr>
        <w:t>izatio</w:t>
      </w:r>
      <w:r>
        <w:rPr>
          <w:rFonts w:eastAsia="ＭＳ 明朝"/>
          <w:sz w:val="22"/>
          <w:lang w:val="en-US"/>
        </w:rPr>
        <w:t xml:space="preserve">n framework. For CA, just adding new UE categories to support the newly identified peak data rate(s). For DC, existing UE categories are used, while </w:t>
      </w:r>
      <w:proofErr w:type="spellStart"/>
      <w:r>
        <w:rPr>
          <w:rFonts w:eastAsia="ＭＳ 明朝"/>
          <w:sz w:val="22"/>
          <w:lang w:val="en-US"/>
        </w:rPr>
        <w:t>eNBs</w:t>
      </w:r>
      <w:proofErr w:type="spellEnd"/>
      <w:r>
        <w:rPr>
          <w:rFonts w:eastAsia="ＭＳ 明朝"/>
          <w:sz w:val="22"/>
          <w:lang w:val="en-US"/>
        </w:rPr>
        <w:t xml:space="preserve"> exchange the information of the UE category for the given UE, and split the total number of DL/UL-SCH transport block bits transmitted/received within a TTI over the two cell-groups, so that the UE capability is not exceeded.</w:t>
      </w:r>
    </w:p>
    <w:p w14:paraId="44C62CE3" w14:textId="77777777" w:rsidR="00DE7927" w:rsidRDefault="00DE7927" w:rsidP="00DE7927">
      <w:pPr>
        <w:spacing w:afterLines="50" w:after="120"/>
        <w:jc w:val="both"/>
        <w:rPr>
          <w:rFonts w:eastAsia="ＭＳ 明朝"/>
          <w:sz w:val="22"/>
          <w:lang w:val="en-US"/>
        </w:rPr>
      </w:pPr>
      <w:r>
        <w:rPr>
          <w:rFonts w:eastAsia="ＭＳ 明朝"/>
          <w:sz w:val="22"/>
          <w:lang w:val="en-US"/>
        </w:rPr>
        <w:lastRenderedPageBreak/>
        <w:t>For NR initial phase, LTE-NR dual connectivity will be supported. For this case, it is not clear whether a UE category will be defined across two RATs, or a UE category will be defined per RAT. Same as RAN1 did at LTE DC specification work in Rel.12, RAN1 should give some feedback on this issue to RAN2, especially in terms of “t</w:t>
      </w:r>
      <w:r w:rsidRPr="00F14E82">
        <w:rPr>
          <w:rFonts w:eastAsia="ＭＳ 明朝"/>
          <w:sz w:val="22"/>
          <w:lang w:val="en-US"/>
        </w:rPr>
        <w:t>otal number of soft channel bits</w:t>
      </w:r>
      <w:r>
        <w:rPr>
          <w:rFonts w:eastAsia="ＭＳ 明朝"/>
          <w:sz w:val="22"/>
          <w:lang w:val="en-US"/>
        </w:rPr>
        <w:t>”. The total number of soft channel bits is defined by the necessary soft buffer size derived from the maximum number of HARQ processes, TB size, and the coding rate. Following two options are found:</w:t>
      </w:r>
    </w:p>
    <w:p w14:paraId="01B4C81A" w14:textId="77777777" w:rsidR="00DE7927" w:rsidRPr="00D316ED" w:rsidRDefault="00DE7927" w:rsidP="00DE7927">
      <w:pPr>
        <w:spacing w:afterLines="50" w:after="120"/>
        <w:jc w:val="both"/>
        <w:rPr>
          <w:rFonts w:eastAsia="ＭＳ 明朝"/>
          <w:sz w:val="22"/>
          <w:u w:val="single"/>
          <w:lang w:val="en-US"/>
        </w:rPr>
      </w:pPr>
      <w:r w:rsidRPr="00D316ED">
        <w:rPr>
          <w:rFonts w:eastAsia="ＭＳ 明朝"/>
          <w:sz w:val="22"/>
          <w:u w:val="single"/>
          <w:lang w:val="en-US"/>
        </w:rPr>
        <w:t>Option 1: Soft-buffer sizes are defined for LTE operation and NR operation, respectively.</w:t>
      </w:r>
    </w:p>
    <w:p w14:paraId="0F6D3370" w14:textId="77777777" w:rsidR="00DE7927" w:rsidRPr="00D316ED" w:rsidRDefault="00DE7927" w:rsidP="00DE7927">
      <w:pPr>
        <w:spacing w:afterLines="50" w:after="120"/>
        <w:jc w:val="both"/>
        <w:rPr>
          <w:rFonts w:eastAsia="ＭＳ 明朝"/>
          <w:sz w:val="22"/>
          <w:u w:val="single"/>
          <w:lang w:val="en-US"/>
        </w:rPr>
      </w:pPr>
      <w:r w:rsidRPr="00D316ED">
        <w:rPr>
          <w:rFonts w:eastAsia="ＭＳ 明朝"/>
          <w:sz w:val="22"/>
          <w:u w:val="single"/>
          <w:lang w:val="en-US"/>
        </w:rPr>
        <w:t>Option 2: Soft-buffer size is defined as the sum of LTE and NR, and the soft-buffer is shared by LTE and NR in semi-static or dynamic manner.</w:t>
      </w:r>
    </w:p>
    <w:p w14:paraId="6B5B06AF" w14:textId="77777777" w:rsidR="00DE7927" w:rsidRDefault="00DE7927" w:rsidP="00DE7927">
      <w:pPr>
        <w:spacing w:afterLines="50" w:after="120"/>
        <w:jc w:val="both"/>
        <w:rPr>
          <w:rFonts w:eastAsia="ＭＳ 明朝"/>
          <w:sz w:val="22"/>
          <w:lang w:val="en-US"/>
        </w:rPr>
      </w:pPr>
    </w:p>
    <w:p w14:paraId="1E1C64DB" w14:textId="77777777" w:rsidR="00DE7927" w:rsidRDefault="00DE7927" w:rsidP="00DE7927">
      <w:pPr>
        <w:spacing w:afterLines="50" w:after="120"/>
        <w:jc w:val="both"/>
        <w:rPr>
          <w:rFonts w:eastAsia="ＭＳ 明朝"/>
          <w:sz w:val="22"/>
          <w:lang w:val="en-US"/>
        </w:rPr>
      </w:pPr>
      <w:r>
        <w:rPr>
          <w:rFonts w:eastAsia="ＭＳ 明朝" w:hint="eastAsia"/>
          <w:sz w:val="22"/>
          <w:lang w:val="en-US"/>
        </w:rPr>
        <w:t xml:space="preserve">Note that during </w:t>
      </w:r>
      <w:r>
        <w:rPr>
          <w:rFonts w:eastAsia="ＭＳ 明朝"/>
          <w:sz w:val="22"/>
          <w:lang w:val="en-US"/>
        </w:rPr>
        <w:t>study item phase, RAN1 shared preliminary thoughts with RAN2 in the LS reply [] as following. It is time to identify details of soft-buffer sharing/split.</w:t>
      </w:r>
    </w:p>
    <w:tbl>
      <w:tblPr>
        <w:tblStyle w:val="afa"/>
        <w:tblW w:w="0" w:type="auto"/>
        <w:tblLook w:val="04A0" w:firstRow="1" w:lastRow="0" w:firstColumn="1" w:lastColumn="0" w:noHBand="0" w:noVBand="1"/>
      </w:tblPr>
      <w:tblGrid>
        <w:gridCol w:w="9962"/>
      </w:tblGrid>
      <w:tr w:rsidR="00DE7927" w14:paraId="7A338293" w14:textId="77777777" w:rsidTr="00AA61F6">
        <w:tc>
          <w:tcPr>
            <w:tcW w:w="10170" w:type="dxa"/>
          </w:tcPr>
          <w:p w14:paraId="4255F402" w14:textId="77777777" w:rsidR="00DE7927" w:rsidRPr="002B250A" w:rsidRDefault="00DE7927" w:rsidP="00AA61F6">
            <w:pPr>
              <w:spacing w:afterLines="50" w:after="120"/>
              <w:jc w:val="both"/>
              <w:rPr>
                <w:rFonts w:eastAsia="ＭＳ 明朝"/>
                <w:i/>
                <w:sz w:val="22"/>
              </w:rPr>
            </w:pPr>
            <w:r w:rsidRPr="002B250A">
              <w:rPr>
                <w:rFonts w:eastAsia="ＭＳ 明朝"/>
                <w:i/>
                <w:sz w:val="22"/>
              </w:rPr>
              <w:t>Q2: Is dynamic sharing of HARQ soft buffer feasible between LTE and NR or will the total number of soft-channel bits be semi-statically split between LTE and NR?</w:t>
            </w:r>
          </w:p>
          <w:p w14:paraId="767ED162" w14:textId="77777777" w:rsidR="00DE7927" w:rsidRPr="00D316ED" w:rsidRDefault="00DE7927" w:rsidP="00AA61F6">
            <w:pPr>
              <w:spacing w:afterLines="50" w:after="120"/>
              <w:jc w:val="both"/>
              <w:rPr>
                <w:rFonts w:eastAsia="ＭＳ 明朝"/>
                <w:sz w:val="22"/>
              </w:rPr>
            </w:pPr>
            <w:r w:rsidRPr="002B250A">
              <w:rPr>
                <w:rFonts w:eastAsia="ＭＳ 明朝"/>
                <w:sz w:val="22"/>
              </w:rPr>
              <w:t>A2: Semi-static sharing of the HARQ soft buffer (As opposed to fixed allocation of soft memory between LTE and NR) may be feasible in some UE architectures. RAN1 has not investigated the feasibility of fully dynamic HARQ soft buffer sharing.</w:t>
            </w:r>
          </w:p>
        </w:tc>
      </w:tr>
    </w:tbl>
    <w:p w14:paraId="252549D9" w14:textId="77777777" w:rsidR="00DE7927" w:rsidRDefault="00DE7927" w:rsidP="00DE7927">
      <w:pPr>
        <w:spacing w:afterLines="50" w:after="120"/>
        <w:jc w:val="both"/>
        <w:rPr>
          <w:rFonts w:eastAsia="ＭＳ 明朝"/>
          <w:sz w:val="22"/>
          <w:lang w:val="en-US"/>
        </w:rPr>
      </w:pPr>
    </w:p>
    <w:p w14:paraId="228EDAD5" w14:textId="77777777" w:rsidR="00DE7927" w:rsidRPr="002D4363" w:rsidRDefault="00DE7927" w:rsidP="00DE7927">
      <w:pPr>
        <w:spacing w:afterLines="50" w:after="120"/>
        <w:jc w:val="both"/>
        <w:rPr>
          <w:rFonts w:eastAsia="ＭＳ 明朝"/>
          <w:b/>
          <w:sz w:val="22"/>
          <w:u w:val="single"/>
          <w:lang w:val="en-US"/>
        </w:rPr>
      </w:pPr>
      <w:r>
        <w:rPr>
          <w:rFonts w:eastAsia="ＭＳ 明朝"/>
          <w:b/>
          <w:sz w:val="22"/>
          <w:u w:val="single"/>
          <w:lang w:val="en-US"/>
        </w:rPr>
        <w:t>Proposal 2</w:t>
      </w:r>
      <w:r w:rsidRPr="002D4363">
        <w:rPr>
          <w:rFonts w:eastAsia="ＭＳ 明朝"/>
          <w:b/>
          <w:sz w:val="22"/>
          <w:u w:val="single"/>
          <w:lang w:val="en-US"/>
        </w:rPr>
        <w:t>:</w:t>
      </w:r>
    </w:p>
    <w:p w14:paraId="5D6DDE6A" w14:textId="77777777" w:rsidR="00DE7927" w:rsidRDefault="00DE7927" w:rsidP="00DE7927">
      <w:pPr>
        <w:pStyle w:val="afc"/>
        <w:numPr>
          <w:ilvl w:val="0"/>
          <w:numId w:val="22"/>
        </w:numPr>
        <w:spacing w:afterLines="50" w:after="120"/>
        <w:ind w:leftChars="0"/>
        <w:jc w:val="both"/>
        <w:rPr>
          <w:rFonts w:eastAsia="ＭＳ 明朝"/>
          <w:i/>
          <w:sz w:val="22"/>
          <w:lang w:val="en-US"/>
        </w:rPr>
      </w:pPr>
      <w:r>
        <w:rPr>
          <w:rFonts w:eastAsia="ＭＳ 明朝"/>
          <w:i/>
          <w:sz w:val="22"/>
          <w:lang w:val="en-US"/>
        </w:rPr>
        <w:t>Identify soft-buffer definition for the LTE-NR dual connectivity, and inform RAN1’s understanding to RAN2.</w:t>
      </w:r>
    </w:p>
    <w:p w14:paraId="5AFA7BD2" w14:textId="77777777" w:rsidR="00DE7927" w:rsidRPr="00F14E82" w:rsidRDefault="00DE7927" w:rsidP="00DE7927">
      <w:pPr>
        <w:pStyle w:val="afc"/>
        <w:numPr>
          <w:ilvl w:val="1"/>
          <w:numId w:val="22"/>
        </w:numPr>
        <w:spacing w:afterLines="50" w:after="120"/>
        <w:ind w:leftChars="0"/>
        <w:jc w:val="both"/>
        <w:rPr>
          <w:rFonts w:eastAsia="ＭＳ 明朝"/>
          <w:i/>
          <w:sz w:val="22"/>
          <w:lang w:val="en-US"/>
        </w:rPr>
      </w:pPr>
      <w:r w:rsidRPr="00F14E82">
        <w:rPr>
          <w:rFonts w:eastAsia="ＭＳ 明朝"/>
          <w:i/>
          <w:sz w:val="22"/>
          <w:lang w:val="en-US"/>
        </w:rPr>
        <w:t>Option 1: Soft-buffer sizes are defined for LTE operation and NR operation, respectively.</w:t>
      </w:r>
    </w:p>
    <w:p w14:paraId="566D1608" w14:textId="77777777" w:rsidR="00DE7927" w:rsidRPr="002D4363" w:rsidRDefault="00DE7927" w:rsidP="00DE7927">
      <w:pPr>
        <w:pStyle w:val="afc"/>
        <w:numPr>
          <w:ilvl w:val="1"/>
          <w:numId w:val="22"/>
        </w:numPr>
        <w:spacing w:afterLines="50" w:after="120"/>
        <w:ind w:leftChars="0"/>
        <w:jc w:val="both"/>
        <w:rPr>
          <w:rFonts w:eastAsia="ＭＳ 明朝"/>
          <w:i/>
          <w:sz w:val="22"/>
          <w:lang w:val="en-US"/>
        </w:rPr>
      </w:pPr>
      <w:r w:rsidRPr="00F14E82">
        <w:rPr>
          <w:rFonts w:eastAsia="ＭＳ 明朝"/>
          <w:i/>
          <w:sz w:val="22"/>
          <w:lang w:val="en-US"/>
        </w:rPr>
        <w:t>Option 2: Soft-buffer size is defined as the sum of LTE and NR, and the soft-buffer is shared by LTE and NR in semi-static or dynamic manner.</w:t>
      </w:r>
    </w:p>
    <w:p w14:paraId="10AE6C3F" w14:textId="77777777" w:rsidR="004A4D03" w:rsidRPr="004A4D03" w:rsidRDefault="004A4D03" w:rsidP="00F544FB">
      <w:pPr>
        <w:rPr>
          <w:rFonts w:eastAsiaTheme="minorEastAsia"/>
          <w:sz w:val="22"/>
          <w:lang w:val="en-US"/>
        </w:rPr>
      </w:pP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47157591"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In this contribution, we discuss</w:t>
      </w:r>
      <w:r w:rsidR="005D1FD7">
        <w:rPr>
          <w:rFonts w:eastAsia="SimSun"/>
          <w:sz w:val="22"/>
          <w:szCs w:val="22"/>
          <w:lang w:eastAsia="zh-CN"/>
        </w:rPr>
        <w:t xml:space="preserve">ed </w:t>
      </w:r>
      <w:r w:rsidR="00DE7927">
        <w:rPr>
          <w:rFonts w:eastAsia="SimSun"/>
          <w:sz w:val="22"/>
          <w:szCs w:val="22"/>
          <w:lang w:eastAsia="zh-CN"/>
        </w:rPr>
        <w:t>LTE-NR dual connectivity and made following proposals.</w:t>
      </w:r>
    </w:p>
    <w:p w14:paraId="587630B2" w14:textId="77777777" w:rsidR="00DE7927" w:rsidRPr="00D9626F" w:rsidRDefault="00DE7927" w:rsidP="00DE7927">
      <w:pPr>
        <w:spacing w:afterLines="50" w:after="120"/>
        <w:jc w:val="both"/>
        <w:rPr>
          <w:rFonts w:eastAsiaTheme="minorEastAsia"/>
          <w:b/>
          <w:sz w:val="22"/>
          <w:u w:val="single"/>
          <w:lang w:val="en-US"/>
        </w:rPr>
      </w:pPr>
      <w:r w:rsidRPr="00D9626F">
        <w:rPr>
          <w:rFonts w:eastAsiaTheme="minorEastAsia" w:hint="eastAsia"/>
          <w:b/>
          <w:sz w:val="22"/>
          <w:u w:val="single"/>
          <w:lang w:val="en-US"/>
        </w:rPr>
        <w:t>Proposal 1:</w:t>
      </w:r>
    </w:p>
    <w:p w14:paraId="493706B0" w14:textId="77777777" w:rsidR="00DE7927" w:rsidRDefault="00DE7927" w:rsidP="00DE7927">
      <w:pPr>
        <w:pStyle w:val="afc"/>
        <w:numPr>
          <w:ilvl w:val="0"/>
          <w:numId w:val="21"/>
        </w:numPr>
        <w:spacing w:afterLines="50" w:after="120"/>
        <w:ind w:leftChars="0"/>
        <w:jc w:val="both"/>
        <w:rPr>
          <w:rFonts w:eastAsiaTheme="minorEastAsia"/>
          <w:i/>
          <w:sz w:val="22"/>
          <w:lang w:val="en-US"/>
        </w:rPr>
      </w:pPr>
      <w:r w:rsidRPr="00D9626F">
        <w:rPr>
          <w:rFonts w:eastAsiaTheme="minorEastAsia" w:hint="eastAsia"/>
          <w:i/>
          <w:sz w:val="22"/>
          <w:lang w:val="en-US"/>
        </w:rPr>
        <w:t xml:space="preserve">Support power sharing mechanism for LTE-NR dual </w:t>
      </w:r>
      <w:r w:rsidRPr="00D9626F">
        <w:rPr>
          <w:rFonts w:eastAsiaTheme="minorEastAsia"/>
          <w:i/>
          <w:sz w:val="22"/>
          <w:lang w:val="en-US"/>
        </w:rPr>
        <w:t>connectivity</w:t>
      </w:r>
      <w:r>
        <w:rPr>
          <w:rFonts w:eastAsiaTheme="minorEastAsia"/>
          <w:i/>
          <w:sz w:val="22"/>
          <w:lang w:val="en-US"/>
        </w:rPr>
        <w:t xml:space="preserve"> by RAN1 specification</w:t>
      </w:r>
      <w:r w:rsidRPr="00D9626F">
        <w:rPr>
          <w:rFonts w:eastAsiaTheme="minorEastAsia" w:hint="eastAsia"/>
          <w:i/>
          <w:sz w:val="22"/>
          <w:lang w:val="en-US"/>
        </w:rPr>
        <w:t>.</w:t>
      </w:r>
    </w:p>
    <w:p w14:paraId="5F086899" w14:textId="77777777" w:rsidR="00DE7927" w:rsidRDefault="00DE7927" w:rsidP="00DE7927">
      <w:pPr>
        <w:pStyle w:val="afc"/>
        <w:numPr>
          <w:ilvl w:val="1"/>
          <w:numId w:val="21"/>
        </w:numPr>
        <w:spacing w:afterLines="50" w:after="120"/>
        <w:ind w:leftChars="0"/>
        <w:jc w:val="both"/>
        <w:rPr>
          <w:rFonts w:eastAsiaTheme="minorEastAsia"/>
          <w:i/>
          <w:sz w:val="22"/>
          <w:lang w:val="en-US"/>
        </w:rPr>
      </w:pPr>
      <w:r>
        <w:rPr>
          <w:rFonts w:eastAsiaTheme="minorEastAsia" w:hint="eastAsia"/>
          <w:i/>
          <w:sz w:val="22"/>
          <w:lang w:val="en-US"/>
        </w:rPr>
        <w:t>At least guaranteed power for each cell-group is supported.</w:t>
      </w:r>
    </w:p>
    <w:p w14:paraId="60A1AD8A" w14:textId="77777777" w:rsidR="00DE7927" w:rsidRPr="00D9626F" w:rsidRDefault="00DE7927" w:rsidP="00DE7927">
      <w:pPr>
        <w:pStyle w:val="afc"/>
        <w:numPr>
          <w:ilvl w:val="1"/>
          <w:numId w:val="21"/>
        </w:numPr>
        <w:spacing w:afterLines="50" w:after="120"/>
        <w:ind w:leftChars="0"/>
        <w:jc w:val="both"/>
        <w:rPr>
          <w:rFonts w:eastAsiaTheme="minorEastAsia"/>
          <w:i/>
          <w:sz w:val="22"/>
          <w:lang w:val="en-US"/>
        </w:rPr>
      </w:pPr>
      <w:r>
        <w:rPr>
          <w:rFonts w:eastAsiaTheme="minorEastAsia"/>
          <w:i/>
          <w:sz w:val="22"/>
          <w:lang w:val="en-US"/>
        </w:rPr>
        <w:t>Further optimization can be considered at later stage if deemed necessary.</w:t>
      </w:r>
    </w:p>
    <w:p w14:paraId="3D55DEA3" w14:textId="77777777" w:rsidR="00DE7927" w:rsidRPr="002D4363" w:rsidRDefault="00DE7927" w:rsidP="00DE7927">
      <w:pPr>
        <w:spacing w:afterLines="50" w:after="120"/>
        <w:jc w:val="both"/>
        <w:rPr>
          <w:rFonts w:eastAsia="ＭＳ 明朝"/>
          <w:b/>
          <w:sz w:val="22"/>
          <w:u w:val="single"/>
          <w:lang w:val="en-US"/>
        </w:rPr>
      </w:pPr>
      <w:r>
        <w:rPr>
          <w:rFonts w:eastAsia="ＭＳ 明朝"/>
          <w:b/>
          <w:sz w:val="22"/>
          <w:u w:val="single"/>
          <w:lang w:val="en-US"/>
        </w:rPr>
        <w:t>Proposal 2</w:t>
      </w:r>
      <w:r w:rsidRPr="002D4363">
        <w:rPr>
          <w:rFonts w:eastAsia="ＭＳ 明朝"/>
          <w:b/>
          <w:sz w:val="22"/>
          <w:u w:val="single"/>
          <w:lang w:val="en-US"/>
        </w:rPr>
        <w:t>:</w:t>
      </w:r>
    </w:p>
    <w:p w14:paraId="224AEA82" w14:textId="77777777" w:rsidR="00DE7927" w:rsidRDefault="00DE7927" w:rsidP="00DE7927">
      <w:pPr>
        <w:pStyle w:val="afc"/>
        <w:numPr>
          <w:ilvl w:val="0"/>
          <w:numId w:val="22"/>
        </w:numPr>
        <w:spacing w:afterLines="50" w:after="120"/>
        <w:ind w:leftChars="0"/>
        <w:jc w:val="both"/>
        <w:rPr>
          <w:rFonts w:eastAsia="ＭＳ 明朝"/>
          <w:i/>
          <w:sz w:val="22"/>
          <w:lang w:val="en-US"/>
        </w:rPr>
      </w:pPr>
      <w:r>
        <w:rPr>
          <w:rFonts w:eastAsia="ＭＳ 明朝"/>
          <w:i/>
          <w:sz w:val="22"/>
          <w:lang w:val="en-US"/>
        </w:rPr>
        <w:t>Identify soft-buffer definition for the LTE-NR dual connectivity, and inform RAN1’s understanding to RAN2.</w:t>
      </w:r>
    </w:p>
    <w:p w14:paraId="2F13539F" w14:textId="77777777" w:rsidR="00DE7927" w:rsidRPr="00F14E82" w:rsidRDefault="00DE7927" w:rsidP="00DE7927">
      <w:pPr>
        <w:pStyle w:val="afc"/>
        <w:numPr>
          <w:ilvl w:val="1"/>
          <w:numId w:val="22"/>
        </w:numPr>
        <w:spacing w:afterLines="50" w:after="120"/>
        <w:ind w:leftChars="0"/>
        <w:jc w:val="both"/>
        <w:rPr>
          <w:rFonts w:eastAsia="ＭＳ 明朝"/>
          <w:i/>
          <w:sz w:val="22"/>
          <w:lang w:val="en-US"/>
        </w:rPr>
      </w:pPr>
      <w:r w:rsidRPr="00F14E82">
        <w:rPr>
          <w:rFonts w:eastAsia="ＭＳ 明朝"/>
          <w:i/>
          <w:sz w:val="22"/>
          <w:lang w:val="en-US"/>
        </w:rPr>
        <w:t>Option 1: Soft-buffer sizes are defined for LTE operation and NR operation, respectively.</w:t>
      </w:r>
    </w:p>
    <w:p w14:paraId="137BBECD" w14:textId="77777777" w:rsidR="00DE7927" w:rsidRPr="002D4363" w:rsidRDefault="00DE7927" w:rsidP="00DE7927">
      <w:pPr>
        <w:pStyle w:val="afc"/>
        <w:numPr>
          <w:ilvl w:val="1"/>
          <w:numId w:val="22"/>
        </w:numPr>
        <w:spacing w:afterLines="50" w:after="120"/>
        <w:ind w:leftChars="0"/>
        <w:jc w:val="both"/>
        <w:rPr>
          <w:rFonts w:eastAsia="ＭＳ 明朝"/>
          <w:i/>
          <w:sz w:val="22"/>
          <w:lang w:val="en-US"/>
        </w:rPr>
      </w:pPr>
      <w:r w:rsidRPr="00F14E82">
        <w:rPr>
          <w:rFonts w:eastAsia="ＭＳ 明朝"/>
          <w:i/>
          <w:sz w:val="22"/>
          <w:lang w:val="en-US"/>
        </w:rPr>
        <w:t>Option 2: Soft-buffer size is defined as the sum of LTE and NR, and the soft-buffer is shared by LTE and NR in semi-static or dynamic manner.</w:t>
      </w:r>
    </w:p>
    <w:p w14:paraId="77C6566B" w14:textId="77777777" w:rsidR="005D1FD7" w:rsidRPr="00DE7927" w:rsidRDefault="005D1FD7" w:rsidP="005D1FD7">
      <w:pPr>
        <w:spacing w:afterLines="50" w:after="120"/>
        <w:jc w:val="both"/>
        <w:rPr>
          <w:rFonts w:eastAsia="ＭＳ 明朝"/>
          <w:i/>
          <w:sz w:val="22"/>
          <w:lang w:val="en-US"/>
        </w:rPr>
      </w:pPr>
    </w:p>
    <w:p w14:paraId="737F11FB" w14:textId="77777777" w:rsidR="00717492" w:rsidRPr="007B3BA0" w:rsidRDefault="00717492" w:rsidP="00717492">
      <w:pPr>
        <w:pStyle w:val="1"/>
        <w:spacing w:after="120"/>
        <w:jc w:val="both"/>
        <w:rPr>
          <w:b/>
          <w:lang w:val="en-US"/>
        </w:rPr>
      </w:pPr>
      <w:r w:rsidRPr="007B3BA0">
        <w:rPr>
          <w:b/>
          <w:lang w:val="en-US"/>
        </w:rPr>
        <w:t>References</w:t>
      </w:r>
    </w:p>
    <w:p w14:paraId="163CB3D3" w14:textId="3DC82B10" w:rsidR="00F544FB" w:rsidRDefault="00F544FB" w:rsidP="00F544FB">
      <w:pPr>
        <w:widowControl w:val="0"/>
        <w:numPr>
          <w:ilvl w:val="0"/>
          <w:numId w:val="12"/>
        </w:numPr>
        <w:spacing w:after="120"/>
        <w:jc w:val="both"/>
        <w:rPr>
          <w:rFonts w:eastAsia="SimSun"/>
          <w:sz w:val="22"/>
          <w:szCs w:val="22"/>
          <w:lang w:val="en-US" w:eastAsia="zh-CN"/>
        </w:rPr>
      </w:pPr>
      <w:r w:rsidRPr="00F544FB">
        <w:rPr>
          <w:rFonts w:eastAsia="SimSun"/>
          <w:sz w:val="22"/>
          <w:szCs w:val="22"/>
          <w:lang w:val="en-US" w:eastAsia="zh-CN"/>
        </w:rPr>
        <w:t xml:space="preserve">3GPP, </w:t>
      </w:r>
      <w:r w:rsidR="005D1FD7">
        <w:rPr>
          <w:rFonts w:eastAsia="SimSun"/>
          <w:sz w:val="22"/>
          <w:szCs w:val="22"/>
          <w:lang w:val="en-US" w:eastAsia="zh-CN"/>
        </w:rPr>
        <w:t>RAN1 #89</w:t>
      </w:r>
      <w:r>
        <w:rPr>
          <w:rFonts w:eastAsia="SimSun"/>
          <w:sz w:val="22"/>
          <w:szCs w:val="22"/>
          <w:lang w:val="en-US" w:eastAsia="zh-CN"/>
        </w:rPr>
        <w:t xml:space="preserve"> meeting</w:t>
      </w:r>
      <w:r w:rsidRPr="00F544FB">
        <w:rPr>
          <w:rFonts w:eastAsia="SimSun"/>
          <w:sz w:val="22"/>
          <w:szCs w:val="22"/>
          <w:lang w:val="en-US" w:eastAsia="zh-CN"/>
        </w:rPr>
        <w:t>,</w:t>
      </w:r>
      <w:r>
        <w:rPr>
          <w:rFonts w:eastAsia="SimSun"/>
          <w:sz w:val="22"/>
          <w:szCs w:val="22"/>
          <w:lang w:val="en-US" w:eastAsia="zh-CN"/>
        </w:rPr>
        <w:t xml:space="preserve"> chairman notes.</w:t>
      </w: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0C854" w14:textId="77777777" w:rsidR="00ED73EB" w:rsidRDefault="00ED73EB">
      <w:r>
        <w:separator/>
      </w:r>
    </w:p>
  </w:endnote>
  <w:endnote w:type="continuationSeparator" w:id="0">
    <w:p w14:paraId="50E3540B" w14:textId="77777777" w:rsidR="00ED73EB" w:rsidRDefault="00ED73EB">
      <w:r>
        <w:continuationSeparator/>
      </w:r>
    </w:p>
  </w:endnote>
  <w:endnote w:type="continuationNotice" w:id="1">
    <w:p w14:paraId="1D808FBD" w14:textId="77777777" w:rsidR="00ED73EB" w:rsidRDefault="00ED7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3D333AF"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C7417">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C7417">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9FD94" w14:textId="77777777" w:rsidR="00ED73EB" w:rsidRDefault="00ED73EB">
      <w:r>
        <w:separator/>
      </w:r>
    </w:p>
  </w:footnote>
  <w:footnote w:type="continuationSeparator" w:id="0">
    <w:p w14:paraId="4135F372" w14:textId="77777777" w:rsidR="00ED73EB" w:rsidRDefault="00ED73EB">
      <w:r>
        <w:continuationSeparator/>
      </w:r>
    </w:p>
  </w:footnote>
  <w:footnote w:type="continuationNotice" w:id="1">
    <w:p w14:paraId="3A9DB403" w14:textId="77777777" w:rsidR="00ED73EB" w:rsidRDefault="00ED73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066FBA"/>
    <w:multiLevelType w:val="hybridMultilevel"/>
    <w:tmpl w:val="20C8F6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C15DDD"/>
    <w:multiLevelType w:val="hybridMultilevel"/>
    <w:tmpl w:val="85B61CAE"/>
    <w:lvl w:ilvl="0" w:tplc="0409000D">
      <w:start w:val="1"/>
      <w:numFmt w:val="bullet"/>
      <w:lvlText w:val=""/>
      <w:lvlJc w:val="left"/>
      <w:pPr>
        <w:ind w:left="-780" w:hanging="420"/>
      </w:pPr>
      <w:rPr>
        <w:rFonts w:ascii="Wingdings" w:hAnsi="Wingdings"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04090003">
      <w:start w:val="1"/>
      <w:numFmt w:val="bullet"/>
      <w:lvlText w:val=""/>
      <w:lvlJc w:val="left"/>
      <w:pPr>
        <w:ind w:left="900" w:hanging="420"/>
      </w:pPr>
      <w:rPr>
        <w:rFonts w:ascii="Wingdings" w:hAnsi="Wingdings" w:hint="default"/>
      </w:rPr>
    </w:lvl>
    <w:lvl w:ilvl="5" w:tplc="04090005">
      <w:start w:val="1"/>
      <w:numFmt w:val="bullet"/>
      <w:lvlText w:val=""/>
      <w:lvlJc w:val="left"/>
      <w:pPr>
        <w:ind w:left="1320" w:hanging="420"/>
      </w:pPr>
      <w:rPr>
        <w:rFonts w:ascii="Wingdings" w:hAnsi="Wingdings" w:hint="default"/>
      </w:rPr>
    </w:lvl>
    <w:lvl w:ilvl="6" w:tplc="04090001">
      <w:start w:val="1"/>
      <w:numFmt w:val="bullet"/>
      <w:lvlText w:val=""/>
      <w:lvlJc w:val="left"/>
      <w:pPr>
        <w:ind w:left="1740" w:hanging="420"/>
      </w:pPr>
      <w:rPr>
        <w:rFonts w:ascii="Wingdings" w:hAnsi="Wingdings" w:hint="default"/>
      </w:rPr>
    </w:lvl>
    <w:lvl w:ilvl="7" w:tplc="04090003">
      <w:start w:val="1"/>
      <w:numFmt w:val="bullet"/>
      <w:lvlText w:val=""/>
      <w:lvlJc w:val="left"/>
      <w:pPr>
        <w:ind w:left="2160" w:hanging="420"/>
      </w:pPr>
      <w:rPr>
        <w:rFonts w:ascii="Wingdings" w:hAnsi="Wingdings" w:hint="default"/>
      </w:rPr>
    </w:lvl>
    <w:lvl w:ilvl="8" w:tplc="04090005">
      <w:start w:val="1"/>
      <w:numFmt w:val="bullet"/>
      <w:lvlText w:val=""/>
      <w:lvlJc w:val="left"/>
      <w:pPr>
        <w:ind w:left="2580" w:hanging="420"/>
      </w:pPr>
      <w:rPr>
        <w:rFonts w:ascii="Wingdings" w:hAnsi="Wingdings" w:hint="default"/>
      </w:rPr>
    </w:lvl>
  </w:abstractNum>
  <w:abstractNum w:abstractNumId="7"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9" w15:restartNumberingAfterBreak="0">
    <w:nsid w:val="337839DD"/>
    <w:multiLevelType w:val="hybridMultilevel"/>
    <w:tmpl w:val="140C82D2"/>
    <w:lvl w:ilvl="0" w:tplc="DF96212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D6745B"/>
    <w:multiLevelType w:val="hybridMultilevel"/>
    <w:tmpl w:val="D5C22546"/>
    <w:lvl w:ilvl="0" w:tplc="AAD42E4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983582"/>
    <w:multiLevelType w:val="hybridMultilevel"/>
    <w:tmpl w:val="D4BCA6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015A3F"/>
    <w:multiLevelType w:val="multilevel"/>
    <w:tmpl w:val="7A9C2C9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5D539EE"/>
    <w:multiLevelType w:val="hybridMultilevel"/>
    <w:tmpl w:val="4B2C3D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20"/>
  </w:num>
  <w:num w:numId="5">
    <w:abstractNumId w:val="14"/>
  </w:num>
  <w:num w:numId="6">
    <w:abstractNumId w:val="1"/>
  </w:num>
  <w:num w:numId="7">
    <w:abstractNumId w:val="4"/>
  </w:num>
  <w:num w:numId="8">
    <w:abstractNumId w:val="5"/>
  </w:num>
  <w:num w:numId="9">
    <w:abstractNumId w:val="19"/>
  </w:num>
  <w:num w:numId="10">
    <w:abstractNumId w:val="7"/>
  </w:num>
  <w:num w:numId="11">
    <w:abstractNumId w:val="8"/>
  </w:num>
  <w:num w:numId="12">
    <w:abstractNumId w:val="3"/>
  </w:num>
  <w:num w:numId="13">
    <w:abstractNumId w:val="13"/>
  </w:num>
  <w:num w:numId="14">
    <w:abstractNumId w:val="6"/>
  </w:num>
  <w:num w:numId="15">
    <w:abstractNumId w:val="6"/>
  </w:num>
  <w:num w:numId="16">
    <w:abstractNumId w:val="11"/>
  </w:num>
  <w:num w:numId="17">
    <w:abstractNumId w:val="9"/>
  </w:num>
  <w:num w:numId="18">
    <w:abstractNumId w:val="18"/>
  </w:num>
  <w:num w:numId="19">
    <w:abstractNumId w:val="2"/>
  </w:num>
  <w:num w:numId="20">
    <w:abstractNumId w:val="12"/>
  </w:num>
  <w:num w:numId="21">
    <w:abstractNumId w:val="17"/>
  </w:num>
  <w:num w:numId="2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0B3"/>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3D2B"/>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A6"/>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3BF"/>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94E"/>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321"/>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0D2"/>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48C"/>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F7E"/>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D0A"/>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03"/>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8D7"/>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6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4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3829"/>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AA8"/>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1FD7"/>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AD"/>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841"/>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7CD"/>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06"/>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6685"/>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DBF"/>
    <w:rsid w:val="006F3E12"/>
    <w:rsid w:val="006F4519"/>
    <w:rsid w:val="006F4803"/>
    <w:rsid w:val="006F4B24"/>
    <w:rsid w:val="006F57B4"/>
    <w:rsid w:val="006F5963"/>
    <w:rsid w:val="006F623A"/>
    <w:rsid w:val="006F66AF"/>
    <w:rsid w:val="006F6B00"/>
    <w:rsid w:val="006F70D3"/>
    <w:rsid w:val="006F71FF"/>
    <w:rsid w:val="006F7FB0"/>
    <w:rsid w:val="007002FD"/>
    <w:rsid w:val="007003EA"/>
    <w:rsid w:val="00700404"/>
    <w:rsid w:val="00700B12"/>
    <w:rsid w:val="00700CBF"/>
    <w:rsid w:val="007010E8"/>
    <w:rsid w:val="00701BA9"/>
    <w:rsid w:val="00701EBC"/>
    <w:rsid w:val="00702106"/>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69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C5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83D"/>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417"/>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DDD"/>
    <w:rsid w:val="007F1E83"/>
    <w:rsid w:val="007F246D"/>
    <w:rsid w:val="007F2A38"/>
    <w:rsid w:val="007F34FC"/>
    <w:rsid w:val="007F3B2F"/>
    <w:rsid w:val="007F3D81"/>
    <w:rsid w:val="007F3F96"/>
    <w:rsid w:val="007F4C4F"/>
    <w:rsid w:val="007F4E92"/>
    <w:rsid w:val="007F5406"/>
    <w:rsid w:val="007F555E"/>
    <w:rsid w:val="007F5730"/>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CBE"/>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4DB"/>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8B1"/>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1E1F"/>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FA"/>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2C"/>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C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47"/>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1DA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5AB3"/>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55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28F"/>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761"/>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666"/>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0C1"/>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14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7BD"/>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615"/>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43F"/>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A7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18"/>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927"/>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875"/>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3EB"/>
    <w:rsid w:val="00ED769E"/>
    <w:rsid w:val="00ED77C0"/>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33"/>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FB"/>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F71"/>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11E"/>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3298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219217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E25DD-334F-496C-8D2E-6CBA47606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5144</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2017-06-17T04:02:00Z</dcterms:created>
  <dcterms:modified xsi:type="dcterms:W3CDTF">2017-06-17T04:02:00Z</dcterms:modified>
</cp:coreProperties>
</file>