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0658B57E"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E316EF" w:rsidRPr="00E316EF">
        <w:rPr>
          <w:sz w:val="24"/>
          <w:lang w:val="en-US" w:eastAsia="ja-JP"/>
        </w:rPr>
        <w:t>NR Ad-Hoc#2</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114B6D">
        <w:rPr>
          <w:sz w:val="24"/>
          <w:lang w:val="en-US"/>
        </w:rPr>
        <w:t>11119</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88B6A9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657291">
        <w:rPr>
          <w:rFonts w:hint="eastAsia"/>
          <w:sz w:val="24"/>
          <w:lang w:val="en-US" w:eastAsia="ja-JP"/>
        </w:rPr>
        <w:t>Pre-emption indication for downlink</w:t>
      </w:r>
    </w:p>
    <w:bookmarkEnd w:id="1"/>
    <w:bookmarkEnd w:id="2"/>
    <w:bookmarkEnd w:id="3"/>
    <w:bookmarkEnd w:id="4"/>
    <w:p w14:paraId="02FF14B3" w14:textId="29DFF89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935FCD">
        <w:rPr>
          <w:sz w:val="24"/>
          <w:lang w:val="en-US" w:eastAsia="ja-JP"/>
        </w:rPr>
        <w:t>5</w:t>
      </w:r>
      <w:r w:rsidR="00866245">
        <w:rPr>
          <w:sz w:val="24"/>
          <w:lang w:val="en-US" w:eastAsia="ja-JP"/>
        </w:rPr>
        <w:t>.1.3.</w:t>
      </w:r>
      <w:r w:rsidR="00887D3C">
        <w:rPr>
          <w:sz w:val="24"/>
          <w:lang w:val="en-US" w:eastAsia="ja-JP"/>
        </w:rPr>
        <w:t>3.</w:t>
      </w:r>
      <w:r w:rsidR="00657291">
        <w:rPr>
          <w:sz w:val="24"/>
          <w:lang w:val="en-US" w:eastAsia="ja-JP"/>
        </w:rPr>
        <w:t>7.1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29AC0BA4" w14:textId="782C338C" w:rsidR="00657291" w:rsidRDefault="00657291" w:rsidP="00AB28A6">
      <w:pPr>
        <w:spacing w:afterLines="50" w:after="120"/>
        <w:jc w:val="both"/>
        <w:rPr>
          <w:rFonts w:eastAsia="ＭＳ 明朝"/>
          <w:sz w:val="22"/>
          <w:lang w:val="en-US"/>
        </w:rPr>
      </w:pPr>
      <w:r>
        <w:rPr>
          <w:rFonts w:eastAsia="ＭＳ 明朝" w:hint="eastAsia"/>
          <w:sz w:val="22"/>
          <w:lang w:val="en-US"/>
        </w:rPr>
        <w:t>At the last RAN1 meeting, following agreements have been achieved [1]:</w:t>
      </w:r>
    </w:p>
    <w:tbl>
      <w:tblPr>
        <w:tblStyle w:val="afa"/>
        <w:tblW w:w="0" w:type="auto"/>
        <w:tblLook w:val="04A0" w:firstRow="1" w:lastRow="0" w:firstColumn="1" w:lastColumn="0" w:noHBand="0" w:noVBand="1"/>
      </w:tblPr>
      <w:tblGrid>
        <w:gridCol w:w="10170"/>
      </w:tblGrid>
      <w:tr w:rsidR="00657291" w14:paraId="0DEB0051" w14:textId="77777777" w:rsidTr="00657291">
        <w:tc>
          <w:tcPr>
            <w:tcW w:w="10170" w:type="dxa"/>
          </w:tcPr>
          <w:p w14:paraId="0F9270D0" w14:textId="77777777" w:rsidR="00657291" w:rsidRPr="00657291" w:rsidRDefault="00657291" w:rsidP="00657291">
            <w:pPr>
              <w:spacing w:after="0"/>
              <w:jc w:val="both"/>
              <w:rPr>
                <w:rFonts w:eastAsia="ＭＳ 明朝"/>
                <w:b/>
                <w:sz w:val="22"/>
                <w:u w:val="single"/>
                <w:lang w:val="en-US"/>
              </w:rPr>
            </w:pPr>
            <w:r w:rsidRPr="00657291">
              <w:rPr>
                <w:rFonts w:eastAsia="ＭＳ 明朝" w:hint="eastAsia"/>
                <w:b/>
                <w:sz w:val="22"/>
                <w:highlight w:val="green"/>
                <w:u w:val="single"/>
                <w:lang w:val="en-US"/>
              </w:rPr>
              <w:t>Agreements:</w:t>
            </w:r>
          </w:p>
          <w:p w14:paraId="7FFE9C4C" w14:textId="77777777" w:rsidR="00657291" w:rsidRPr="00657291" w:rsidRDefault="00657291" w:rsidP="00657291">
            <w:pPr>
              <w:numPr>
                <w:ilvl w:val="0"/>
                <w:numId w:val="19"/>
              </w:numPr>
              <w:spacing w:after="0"/>
              <w:jc w:val="both"/>
              <w:rPr>
                <w:rFonts w:eastAsia="ＭＳ 明朝"/>
                <w:sz w:val="22"/>
                <w:lang w:val="en-US"/>
              </w:rPr>
            </w:pPr>
            <w:r w:rsidRPr="00657291">
              <w:rPr>
                <w:rFonts w:eastAsia="ＭＳ 明朝" w:hint="eastAsia"/>
                <w:sz w:val="22"/>
                <w:lang w:val="en-US"/>
              </w:rPr>
              <w:t>For DL CBG-based (re)transmission,</w:t>
            </w:r>
          </w:p>
          <w:p w14:paraId="65BF0D69" w14:textId="77777777" w:rsidR="00657291" w:rsidRPr="00657291" w:rsidRDefault="00657291" w:rsidP="00657291">
            <w:pPr>
              <w:numPr>
                <w:ilvl w:val="1"/>
                <w:numId w:val="19"/>
              </w:numPr>
              <w:spacing w:after="0"/>
              <w:jc w:val="both"/>
              <w:rPr>
                <w:rFonts w:eastAsia="ＭＳ 明朝"/>
                <w:sz w:val="22"/>
                <w:lang w:val="en-US"/>
              </w:rPr>
            </w:pPr>
            <w:r w:rsidRPr="00657291">
              <w:rPr>
                <w:rFonts w:eastAsia="ＭＳ 明朝" w:hint="eastAsia"/>
                <w:sz w:val="22"/>
                <w:lang w:val="en-US"/>
              </w:rPr>
              <w:t>Following information can be configured to be included in the same DCI:</w:t>
            </w:r>
          </w:p>
          <w:p w14:paraId="6D727472" w14:textId="77777777" w:rsidR="00657291" w:rsidRPr="00657291" w:rsidRDefault="00657291" w:rsidP="00657291">
            <w:pPr>
              <w:numPr>
                <w:ilvl w:val="2"/>
                <w:numId w:val="19"/>
              </w:numPr>
              <w:spacing w:after="0"/>
              <w:jc w:val="both"/>
              <w:rPr>
                <w:rFonts w:eastAsia="ＭＳ 明朝"/>
                <w:sz w:val="22"/>
                <w:lang w:val="en-US"/>
              </w:rPr>
            </w:pPr>
            <w:r w:rsidRPr="00657291">
              <w:rPr>
                <w:rFonts w:eastAsia="ＭＳ 明朝" w:hint="eastAsia"/>
                <w:sz w:val="22"/>
                <w:lang w:val="en-US"/>
              </w:rPr>
              <w:t>Which CBG(s) is/are (re)transmitted.</w:t>
            </w:r>
          </w:p>
          <w:p w14:paraId="5AEA2A8E" w14:textId="77777777" w:rsidR="00657291" w:rsidRPr="00657291" w:rsidRDefault="00657291" w:rsidP="00657291">
            <w:pPr>
              <w:numPr>
                <w:ilvl w:val="2"/>
                <w:numId w:val="19"/>
              </w:numPr>
              <w:spacing w:after="0"/>
              <w:jc w:val="both"/>
              <w:rPr>
                <w:rFonts w:eastAsia="ＭＳ 明朝"/>
                <w:sz w:val="22"/>
                <w:lang w:val="en-US"/>
              </w:rPr>
            </w:pPr>
            <w:r w:rsidRPr="00657291">
              <w:rPr>
                <w:rFonts w:eastAsia="ＭＳ 明朝" w:hint="eastAsia"/>
                <w:sz w:val="22"/>
                <w:lang w:val="en-US"/>
              </w:rPr>
              <w:t>Which CBG(s) is/are handled differently for soft-buffer/HARQ combining.</w:t>
            </w:r>
          </w:p>
          <w:p w14:paraId="646F6E36" w14:textId="77777777" w:rsidR="00657291" w:rsidRPr="00657291" w:rsidRDefault="00657291" w:rsidP="00657291">
            <w:pPr>
              <w:numPr>
                <w:ilvl w:val="3"/>
                <w:numId w:val="19"/>
              </w:numPr>
              <w:spacing w:after="0"/>
              <w:jc w:val="both"/>
              <w:rPr>
                <w:rFonts w:eastAsia="ＭＳ 明朝"/>
                <w:sz w:val="22"/>
                <w:lang w:val="en-US"/>
              </w:rPr>
            </w:pPr>
            <w:r w:rsidRPr="00657291">
              <w:rPr>
                <w:rFonts w:eastAsia="ＭＳ 明朝" w:hint="eastAsia"/>
                <w:sz w:val="22"/>
                <w:lang w:val="en-US"/>
              </w:rPr>
              <w:t>FFS: whether/how UE behavior is specified, e.g., part/whole of soft-buffer of indicated CBG(s) is flushed.</w:t>
            </w:r>
          </w:p>
          <w:p w14:paraId="21E40BA6" w14:textId="77777777" w:rsidR="00657291" w:rsidRPr="00657291" w:rsidRDefault="00657291" w:rsidP="00657291">
            <w:pPr>
              <w:numPr>
                <w:ilvl w:val="1"/>
                <w:numId w:val="19"/>
              </w:numPr>
              <w:spacing w:after="0"/>
              <w:jc w:val="both"/>
              <w:rPr>
                <w:rFonts w:eastAsia="ＭＳ 明朝"/>
                <w:sz w:val="22"/>
                <w:lang w:val="en-US"/>
              </w:rPr>
            </w:pPr>
            <w:r w:rsidRPr="00657291">
              <w:rPr>
                <w:rFonts w:eastAsia="ＭＳ 明朝" w:hint="eastAsia"/>
                <w:sz w:val="22"/>
                <w:lang w:val="en-US"/>
              </w:rPr>
              <w:t>FFS: timing of CBG-based (re)transmission.</w:t>
            </w:r>
          </w:p>
          <w:p w14:paraId="449FA6B6" w14:textId="77777777" w:rsidR="00657291" w:rsidRPr="00B0072B" w:rsidRDefault="00657291" w:rsidP="00657291">
            <w:pPr>
              <w:numPr>
                <w:ilvl w:val="0"/>
                <w:numId w:val="19"/>
              </w:numPr>
              <w:spacing w:after="0"/>
              <w:jc w:val="both"/>
              <w:rPr>
                <w:rFonts w:eastAsia="ＭＳ 明朝"/>
                <w:sz w:val="22"/>
                <w:highlight w:val="yellow"/>
                <w:lang w:val="en-US"/>
              </w:rPr>
            </w:pPr>
            <w:r w:rsidRPr="00B0072B">
              <w:rPr>
                <w:rFonts w:eastAsia="ＭＳ 明朝" w:hint="eastAsia"/>
                <w:sz w:val="22"/>
                <w:highlight w:val="yellow"/>
                <w:lang w:val="en-US"/>
              </w:rPr>
              <w:t>For preemption indication;</w:t>
            </w:r>
          </w:p>
          <w:p w14:paraId="3BCB71EE" w14:textId="77777777" w:rsidR="00657291" w:rsidRPr="00B0072B" w:rsidRDefault="00657291" w:rsidP="00657291">
            <w:pPr>
              <w:numPr>
                <w:ilvl w:val="1"/>
                <w:numId w:val="19"/>
              </w:numPr>
              <w:spacing w:after="0"/>
              <w:jc w:val="both"/>
              <w:rPr>
                <w:rFonts w:eastAsia="ＭＳ 明朝"/>
                <w:sz w:val="22"/>
                <w:highlight w:val="yellow"/>
                <w:lang w:val="en-US"/>
              </w:rPr>
            </w:pPr>
            <w:r w:rsidRPr="00B0072B">
              <w:rPr>
                <w:rFonts w:eastAsia="ＭＳ 明朝" w:hint="eastAsia"/>
                <w:sz w:val="22"/>
                <w:highlight w:val="yellow"/>
                <w:lang w:val="en-US"/>
              </w:rPr>
              <w:t>When configured, the indication tells the UE(s) which DL physical resources has been preempted.</w:t>
            </w:r>
          </w:p>
          <w:p w14:paraId="06DE7AD3" w14:textId="77777777" w:rsidR="00657291" w:rsidRPr="00B0072B" w:rsidRDefault="00657291" w:rsidP="00657291">
            <w:pPr>
              <w:numPr>
                <w:ilvl w:val="1"/>
                <w:numId w:val="19"/>
              </w:numPr>
              <w:spacing w:after="0"/>
              <w:jc w:val="both"/>
              <w:rPr>
                <w:rFonts w:eastAsia="ＭＳ 明朝"/>
                <w:sz w:val="22"/>
                <w:highlight w:val="yellow"/>
                <w:lang w:val="en-US"/>
              </w:rPr>
            </w:pPr>
            <w:r w:rsidRPr="00B0072B">
              <w:rPr>
                <w:rFonts w:eastAsia="ＭＳ 明朝" w:hint="eastAsia"/>
                <w:sz w:val="22"/>
                <w:highlight w:val="yellow"/>
                <w:lang w:val="en-US"/>
              </w:rPr>
              <w:t>The preemption indication is transmitted using a PDCCH.</w:t>
            </w:r>
          </w:p>
          <w:p w14:paraId="201AAF72" w14:textId="77777777" w:rsidR="00657291" w:rsidRPr="00B0072B" w:rsidRDefault="00657291" w:rsidP="00657291">
            <w:pPr>
              <w:numPr>
                <w:ilvl w:val="2"/>
                <w:numId w:val="19"/>
              </w:numPr>
              <w:spacing w:after="0"/>
              <w:jc w:val="both"/>
              <w:rPr>
                <w:rFonts w:eastAsia="ＭＳ 明朝"/>
                <w:sz w:val="22"/>
                <w:highlight w:val="yellow"/>
                <w:lang w:val="en-US"/>
              </w:rPr>
            </w:pPr>
            <w:r w:rsidRPr="00B0072B">
              <w:rPr>
                <w:rFonts w:eastAsia="ＭＳ 明朝" w:hint="eastAsia"/>
                <w:sz w:val="22"/>
                <w:highlight w:val="yellow"/>
                <w:lang w:val="en-US"/>
              </w:rPr>
              <w:t>The preemption indication is not included in the DCI that schedules the (re)transmission of the data transmission.</w:t>
            </w:r>
          </w:p>
          <w:p w14:paraId="3AC96422" w14:textId="77777777" w:rsidR="00657291" w:rsidRPr="00B0072B" w:rsidRDefault="00657291" w:rsidP="00657291">
            <w:pPr>
              <w:numPr>
                <w:ilvl w:val="1"/>
                <w:numId w:val="19"/>
              </w:numPr>
              <w:spacing w:after="0"/>
              <w:jc w:val="both"/>
              <w:rPr>
                <w:rFonts w:eastAsia="ＭＳ 明朝"/>
                <w:sz w:val="22"/>
                <w:highlight w:val="yellow"/>
                <w:lang w:val="en-US"/>
              </w:rPr>
            </w:pPr>
            <w:r w:rsidRPr="00B0072B">
              <w:rPr>
                <w:rFonts w:eastAsia="ＭＳ 明朝" w:hint="eastAsia"/>
                <w:sz w:val="22"/>
                <w:highlight w:val="yellow"/>
                <w:lang w:val="en-US"/>
              </w:rPr>
              <w:t>FFS: the granularity of the time and/or frequency resources.</w:t>
            </w:r>
          </w:p>
          <w:p w14:paraId="5B133D46" w14:textId="77777777" w:rsidR="00657291" w:rsidRPr="00B0072B" w:rsidRDefault="00657291" w:rsidP="00657291">
            <w:pPr>
              <w:numPr>
                <w:ilvl w:val="1"/>
                <w:numId w:val="19"/>
              </w:numPr>
              <w:spacing w:after="0"/>
              <w:jc w:val="both"/>
              <w:rPr>
                <w:rFonts w:eastAsia="ＭＳ 明朝"/>
                <w:sz w:val="22"/>
                <w:highlight w:val="yellow"/>
                <w:lang w:val="en-US"/>
              </w:rPr>
            </w:pPr>
            <w:r w:rsidRPr="00B0072B">
              <w:rPr>
                <w:rFonts w:eastAsia="ＭＳ 明朝" w:hint="eastAsia"/>
                <w:sz w:val="22"/>
                <w:highlight w:val="yellow"/>
                <w:lang w:val="en-US"/>
              </w:rPr>
              <w:t>FFS: what DCI is used.</w:t>
            </w:r>
          </w:p>
          <w:p w14:paraId="233D9E34" w14:textId="741D745A" w:rsidR="00657291" w:rsidRPr="00657291" w:rsidRDefault="00657291" w:rsidP="00657291">
            <w:pPr>
              <w:numPr>
                <w:ilvl w:val="1"/>
                <w:numId w:val="19"/>
              </w:numPr>
              <w:spacing w:after="0"/>
              <w:jc w:val="both"/>
              <w:rPr>
                <w:rFonts w:eastAsia="ＭＳ 明朝"/>
                <w:sz w:val="22"/>
                <w:lang w:val="en-US"/>
              </w:rPr>
            </w:pPr>
            <w:r w:rsidRPr="00B0072B">
              <w:rPr>
                <w:rFonts w:eastAsia="ＭＳ 明朝" w:hint="eastAsia"/>
                <w:sz w:val="22"/>
                <w:highlight w:val="yellow"/>
                <w:lang w:val="en-US"/>
              </w:rPr>
              <w:t>FFS: timing of the preemption indication.</w:t>
            </w:r>
          </w:p>
        </w:tc>
      </w:tr>
    </w:tbl>
    <w:p w14:paraId="52C28A01" w14:textId="77777777" w:rsidR="00657291" w:rsidRDefault="00657291" w:rsidP="00AB28A6">
      <w:pPr>
        <w:spacing w:afterLines="50" w:after="120"/>
        <w:jc w:val="both"/>
        <w:rPr>
          <w:rFonts w:eastAsia="ＭＳ 明朝"/>
          <w:sz w:val="22"/>
          <w:lang w:val="en-US"/>
        </w:rPr>
      </w:pPr>
    </w:p>
    <w:p w14:paraId="0E0AD8F3" w14:textId="5F54D172" w:rsidR="00AB28A6" w:rsidRPr="00657291" w:rsidRDefault="00B0072B" w:rsidP="00657291">
      <w:pPr>
        <w:spacing w:afterLines="50" w:after="120"/>
        <w:jc w:val="both"/>
        <w:rPr>
          <w:rFonts w:eastAsia="ＭＳ 明朝"/>
          <w:sz w:val="22"/>
          <w:lang w:val="en-US"/>
        </w:rPr>
      </w:pPr>
      <w:r>
        <w:rPr>
          <w:rFonts w:eastAsia="ＭＳ 明朝"/>
          <w:sz w:val="22"/>
          <w:lang w:val="en-US"/>
        </w:rPr>
        <w:t xml:space="preserve">It was agreed to support two mechanisms for </w:t>
      </w:r>
      <w:r w:rsidR="00114B6D">
        <w:rPr>
          <w:rFonts w:eastAsia="ＭＳ 明朝"/>
          <w:sz w:val="22"/>
          <w:lang w:val="en-US"/>
        </w:rPr>
        <w:t xml:space="preserve">handling the data being </w:t>
      </w:r>
      <w:r w:rsidR="00B07642">
        <w:rPr>
          <w:rFonts w:eastAsia="ＭＳ 明朝"/>
          <w:sz w:val="22"/>
          <w:lang w:val="en-US"/>
        </w:rPr>
        <w:t xml:space="preserve">pre-empted </w:t>
      </w:r>
      <w:r w:rsidR="00114B6D">
        <w:rPr>
          <w:rFonts w:eastAsia="ＭＳ 明朝"/>
          <w:sz w:val="22"/>
          <w:lang w:val="en-US"/>
        </w:rPr>
        <w:t>by other transmissions</w:t>
      </w:r>
      <w:r>
        <w:rPr>
          <w:rFonts w:eastAsia="ＭＳ 明朝"/>
          <w:sz w:val="22"/>
          <w:lang w:val="en-US"/>
        </w:rPr>
        <w:t xml:space="preserve">: one is to configure CBG-based (re)transmission together with different handling for soft-buffer/HARQ combining, and the other is to use preemption indication. </w:t>
      </w:r>
      <w:r w:rsidR="00AB28A6">
        <w:rPr>
          <w:rFonts w:eastAsia="ＭＳ 明朝" w:hint="eastAsia"/>
          <w:sz w:val="22"/>
          <w:lang w:val="en-US"/>
        </w:rPr>
        <w:t xml:space="preserve">In this contribution, </w:t>
      </w:r>
      <w:r w:rsidR="006326C0">
        <w:rPr>
          <w:rFonts w:eastAsia="ＭＳ 明朝"/>
          <w:sz w:val="22"/>
          <w:lang w:val="en-US"/>
        </w:rPr>
        <w:t xml:space="preserve">we discuss </w:t>
      </w:r>
      <w:r w:rsidR="00657291">
        <w:rPr>
          <w:rFonts w:eastAsia="ＭＳ 明朝"/>
          <w:sz w:val="22"/>
          <w:lang w:val="en-US"/>
        </w:rPr>
        <w:t xml:space="preserve">some more details on </w:t>
      </w:r>
      <w:r w:rsidR="00114B6D">
        <w:rPr>
          <w:rFonts w:eastAsia="ＭＳ 明朝"/>
          <w:sz w:val="22"/>
          <w:lang w:val="en-US"/>
        </w:rPr>
        <w:t xml:space="preserve">the </w:t>
      </w:r>
      <w:r w:rsidR="00657291">
        <w:rPr>
          <w:rFonts w:eastAsia="ＭＳ 明朝"/>
          <w:sz w:val="22"/>
          <w:lang w:val="en-US"/>
        </w:rPr>
        <w:t>pre</w:t>
      </w:r>
      <w:r>
        <w:rPr>
          <w:rFonts w:eastAsia="ＭＳ 明朝"/>
          <w:sz w:val="22"/>
          <w:lang w:val="en-US"/>
        </w:rPr>
        <w:t>-</w:t>
      </w:r>
      <w:r w:rsidR="00657291">
        <w:rPr>
          <w:rFonts w:eastAsia="ＭＳ 明朝"/>
          <w:sz w:val="22"/>
          <w:lang w:val="en-US"/>
        </w:rPr>
        <w:t>emption indication</w:t>
      </w:r>
      <w:r w:rsidR="00114B6D">
        <w:rPr>
          <w:rFonts w:eastAsia="ＭＳ 明朝"/>
          <w:sz w:val="22"/>
          <w:lang w:val="en-US"/>
        </w:rPr>
        <w:t xml:space="preserve"> agreed at the last RAN1 meeting</w:t>
      </w:r>
      <w:r w:rsidR="00657291">
        <w:rPr>
          <w:rFonts w:eastAsia="ＭＳ 明朝"/>
          <w:sz w:val="22"/>
          <w:lang w:val="en-US"/>
        </w:rPr>
        <w:t>.</w:t>
      </w:r>
      <w:r>
        <w:rPr>
          <w:rFonts w:eastAsia="ＭＳ 明朝"/>
          <w:sz w:val="22"/>
          <w:lang w:val="en-US"/>
        </w:rPr>
        <w:t xml:space="preserve"> Details of CBG-based (re)transmission is discussed in our companion contributions [2] - [4].</w:t>
      </w:r>
    </w:p>
    <w:p w14:paraId="408AFFCA" w14:textId="18B42258" w:rsidR="009B284C" w:rsidRPr="005D0A85" w:rsidRDefault="006A09A7" w:rsidP="00A65BF3">
      <w:pPr>
        <w:pStyle w:val="1"/>
        <w:numPr>
          <w:ilvl w:val="0"/>
          <w:numId w:val="5"/>
        </w:numPr>
        <w:spacing w:after="120"/>
        <w:jc w:val="both"/>
        <w:rPr>
          <w:b/>
          <w:lang w:val="en-US"/>
        </w:rPr>
      </w:pPr>
      <w:r>
        <w:rPr>
          <w:b/>
          <w:lang w:val="en-US"/>
        </w:rPr>
        <w:t>Signaling of pre-emption indication</w:t>
      </w:r>
    </w:p>
    <w:p w14:paraId="05865DDB" w14:textId="51125144" w:rsidR="00B0072B" w:rsidRDefault="006A09A7" w:rsidP="00CE6AFD">
      <w:pPr>
        <w:spacing w:afterLines="50" w:after="120"/>
        <w:jc w:val="both"/>
        <w:rPr>
          <w:rFonts w:eastAsia="ＭＳ 明朝"/>
          <w:sz w:val="22"/>
          <w:lang w:val="en-US"/>
        </w:rPr>
      </w:pPr>
      <w:r>
        <w:rPr>
          <w:rFonts w:eastAsia="ＭＳ 明朝"/>
          <w:sz w:val="22"/>
          <w:lang w:val="en-US"/>
        </w:rPr>
        <w:t xml:space="preserve">For </w:t>
      </w:r>
      <w:r w:rsidR="00114B6D">
        <w:rPr>
          <w:rFonts w:eastAsia="ＭＳ 明朝"/>
          <w:sz w:val="22"/>
          <w:lang w:val="en-US"/>
        </w:rPr>
        <w:t xml:space="preserve">the </w:t>
      </w:r>
      <w:r>
        <w:rPr>
          <w:rFonts w:eastAsia="ＭＳ 明朝"/>
          <w:sz w:val="22"/>
          <w:lang w:val="en-US"/>
        </w:rPr>
        <w:t>pre-emption indication, d</w:t>
      </w:r>
      <w:r w:rsidR="00B07642" w:rsidRPr="00B07642">
        <w:rPr>
          <w:rFonts w:eastAsia="ＭＳ 明朝"/>
          <w:sz w:val="22"/>
          <w:lang w:val="en-US"/>
        </w:rPr>
        <w:t xml:space="preserve">esigning a new control channel would introduce much standardization </w:t>
      </w:r>
      <w:r w:rsidR="00114B6D">
        <w:rPr>
          <w:rFonts w:eastAsia="ＭＳ 明朝"/>
          <w:sz w:val="22"/>
          <w:lang w:val="en-US"/>
        </w:rPr>
        <w:t>effort</w:t>
      </w:r>
      <w:r w:rsidR="00B07642" w:rsidRPr="00B07642">
        <w:rPr>
          <w:rFonts w:eastAsia="ＭＳ 明朝"/>
          <w:sz w:val="22"/>
          <w:lang w:val="en-US"/>
        </w:rPr>
        <w:t xml:space="preserve">. In addition, </w:t>
      </w:r>
      <w:r w:rsidR="00B07642">
        <w:rPr>
          <w:rFonts w:eastAsia="ＭＳ 明朝"/>
          <w:sz w:val="22"/>
          <w:lang w:val="en-US"/>
        </w:rPr>
        <w:t>the</w:t>
      </w:r>
      <w:r w:rsidR="00B07642" w:rsidRPr="00B07642">
        <w:rPr>
          <w:rFonts w:eastAsia="ＭＳ 明朝"/>
          <w:sz w:val="22"/>
          <w:lang w:val="en-US"/>
        </w:rPr>
        <w:t xml:space="preserve"> UE may have to keep monitoring the new control channel for </w:t>
      </w:r>
      <w:r w:rsidR="00114B6D">
        <w:rPr>
          <w:rFonts w:eastAsia="ＭＳ 明朝"/>
          <w:sz w:val="22"/>
          <w:lang w:val="en-US"/>
        </w:rPr>
        <w:t xml:space="preserve">the </w:t>
      </w:r>
      <w:r w:rsidR="00B07642" w:rsidRPr="00B07642">
        <w:rPr>
          <w:rFonts w:eastAsia="ＭＳ 明朝"/>
          <w:sz w:val="22"/>
          <w:lang w:val="en-US"/>
        </w:rPr>
        <w:t xml:space="preserve">preemption indication no matter whether </w:t>
      </w:r>
      <w:r w:rsidR="00B07642">
        <w:rPr>
          <w:rFonts w:eastAsia="ＭＳ 明朝"/>
          <w:sz w:val="22"/>
          <w:lang w:val="en-US"/>
        </w:rPr>
        <w:t xml:space="preserve">a </w:t>
      </w:r>
      <w:r w:rsidR="00B07642" w:rsidRPr="00B07642">
        <w:rPr>
          <w:rFonts w:eastAsia="ＭＳ 明朝"/>
          <w:sz w:val="22"/>
          <w:lang w:val="en-US"/>
        </w:rPr>
        <w:t xml:space="preserve">preemption happens or not. Therefore, </w:t>
      </w:r>
      <w:r w:rsidR="00B07642">
        <w:rPr>
          <w:rFonts w:eastAsia="ＭＳ 明朝"/>
          <w:sz w:val="22"/>
          <w:lang w:val="en-US"/>
        </w:rPr>
        <w:t>it is not reasonable</w:t>
      </w:r>
      <w:r w:rsidR="00B07642" w:rsidRPr="00B07642">
        <w:rPr>
          <w:rFonts w:eastAsia="ＭＳ 明朝"/>
          <w:sz w:val="22"/>
          <w:lang w:val="en-US"/>
        </w:rPr>
        <w:t xml:space="preserve"> to design a new control channel for </w:t>
      </w:r>
      <w:r w:rsidR="00114B6D">
        <w:rPr>
          <w:rFonts w:eastAsia="ＭＳ 明朝"/>
          <w:sz w:val="22"/>
          <w:lang w:val="en-US"/>
        </w:rPr>
        <w:t>this purpose</w:t>
      </w:r>
      <w:r w:rsidR="00B07642" w:rsidRPr="00B07642">
        <w:rPr>
          <w:rFonts w:eastAsia="ＭＳ 明朝"/>
          <w:sz w:val="22"/>
          <w:lang w:val="en-US"/>
        </w:rPr>
        <w:t xml:space="preserve">; </w:t>
      </w:r>
      <w:r w:rsidR="00B07642">
        <w:rPr>
          <w:rFonts w:eastAsia="ＭＳ 明朝"/>
          <w:sz w:val="22"/>
          <w:lang w:val="en-US"/>
        </w:rPr>
        <w:t xml:space="preserve">consider using control channels agreed so far; i.e., </w:t>
      </w:r>
      <w:r w:rsidR="00114B6D">
        <w:rPr>
          <w:rFonts w:eastAsia="ＭＳ 明朝"/>
          <w:sz w:val="22"/>
          <w:lang w:val="en-US"/>
        </w:rPr>
        <w:t xml:space="preserve">a </w:t>
      </w:r>
      <w:r w:rsidR="00B07642">
        <w:rPr>
          <w:rFonts w:eastAsia="ＭＳ 明朝"/>
          <w:sz w:val="22"/>
          <w:lang w:val="en-US"/>
        </w:rPr>
        <w:t xml:space="preserve">regular PDCCH or </w:t>
      </w:r>
      <w:r w:rsidR="00114B6D">
        <w:rPr>
          <w:rFonts w:eastAsia="ＭＳ 明朝"/>
          <w:sz w:val="22"/>
          <w:lang w:val="en-US"/>
        </w:rPr>
        <w:t xml:space="preserve">a </w:t>
      </w:r>
      <w:r w:rsidR="00B07642">
        <w:rPr>
          <w:rFonts w:eastAsia="ＭＳ 明朝"/>
          <w:sz w:val="22"/>
          <w:lang w:val="en-US"/>
        </w:rPr>
        <w:t>‘group-common PDCCH’</w:t>
      </w:r>
      <w:r w:rsidR="00B07642" w:rsidRPr="00B07642">
        <w:rPr>
          <w:rFonts w:eastAsia="ＭＳ 明朝"/>
          <w:sz w:val="22"/>
          <w:lang w:val="en-US"/>
        </w:rPr>
        <w:t>.</w:t>
      </w:r>
    </w:p>
    <w:p w14:paraId="18E64997" w14:textId="1345CCAF" w:rsidR="006A09A7" w:rsidRDefault="00B07642" w:rsidP="00CE6AFD">
      <w:pPr>
        <w:spacing w:afterLines="50" w:after="120"/>
        <w:jc w:val="both"/>
        <w:rPr>
          <w:rFonts w:eastAsia="ＭＳ 明朝"/>
          <w:sz w:val="22"/>
          <w:lang w:val="en-US"/>
        </w:rPr>
      </w:pPr>
      <w:r w:rsidRPr="006A09A7">
        <w:rPr>
          <w:rFonts w:eastAsia="ＭＳ 明朝"/>
          <w:sz w:val="22"/>
          <w:lang w:val="en-US"/>
        </w:rPr>
        <w:t xml:space="preserve">Since the URLLC puncturing may only have impact on a subset of UEs with </w:t>
      </w:r>
      <w:r w:rsidR="00114B6D">
        <w:rPr>
          <w:rFonts w:eastAsia="ＭＳ 明朝"/>
          <w:sz w:val="22"/>
          <w:lang w:val="en-US"/>
        </w:rPr>
        <w:t>the scheduled</w:t>
      </w:r>
      <w:r w:rsidRPr="006A09A7">
        <w:rPr>
          <w:rFonts w:eastAsia="ＭＳ 明朝"/>
          <w:sz w:val="22"/>
          <w:lang w:val="en-US"/>
        </w:rPr>
        <w:t xml:space="preserve"> data, the signaling can be UE</w:t>
      </w:r>
      <w:r w:rsidR="00114B6D">
        <w:rPr>
          <w:rFonts w:eastAsia="ＭＳ 明朝"/>
          <w:sz w:val="22"/>
          <w:lang w:val="en-US"/>
        </w:rPr>
        <w:t>-</w:t>
      </w:r>
      <w:r w:rsidRPr="006A09A7">
        <w:rPr>
          <w:rFonts w:eastAsia="ＭＳ 明朝"/>
          <w:sz w:val="22"/>
          <w:lang w:val="en-US"/>
        </w:rPr>
        <w:t>specific. On the other hand, the signaling can also be UE</w:t>
      </w:r>
      <w:r w:rsidR="00114B6D">
        <w:rPr>
          <w:rFonts w:eastAsia="ＭＳ 明朝"/>
          <w:sz w:val="22"/>
          <w:lang w:val="en-US"/>
        </w:rPr>
        <w:t>-</w:t>
      </w:r>
      <w:r w:rsidRPr="006A09A7">
        <w:rPr>
          <w:rFonts w:eastAsia="ＭＳ 明朝" w:hint="eastAsia"/>
          <w:sz w:val="22"/>
          <w:lang w:val="en-US"/>
        </w:rPr>
        <w:t>group</w:t>
      </w:r>
      <w:r w:rsidRPr="006A09A7">
        <w:rPr>
          <w:rFonts w:eastAsia="ＭＳ 明朝"/>
          <w:sz w:val="22"/>
          <w:lang w:val="en-US"/>
        </w:rPr>
        <w:t xml:space="preserve"> common</w:t>
      </w:r>
      <w:r w:rsidR="006A09A7" w:rsidRPr="006A09A7">
        <w:rPr>
          <w:rFonts w:eastAsia="ＭＳ 明朝"/>
          <w:sz w:val="22"/>
          <w:lang w:val="en-US"/>
        </w:rPr>
        <w:t>, and each</w:t>
      </w:r>
      <w:r w:rsidRPr="006A09A7">
        <w:rPr>
          <w:rFonts w:eastAsia="ＭＳ 明朝"/>
          <w:sz w:val="22"/>
          <w:lang w:val="en-US"/>
        </w:rPr>
        <w:t xml:space="preserve"> UE </w:t>
      </w:r>
      <w:r w:rsidR="006A09A7" w:rsidRPr="006A09A7">
        <w:rPr>
          <w:rFonts w:eastAsia="ＭＳ 明朝"/>
          <w:sz w:val="22"/>
          <w:lang w:val="en-US"/>
        </w:rPr>
        <w:t xml:space="preserve">monitoring the signaling </w:t>
      </w:r>
      <w:r w:rsidRPr="006A09A7">
        <w:rPr>
          <w:rFonts w:eastAsia="ＭＳ 明朝"/>
          <w:sz w:val="22"/>
          <w:lang w:val="en-US"/>
        </w:rPr>
        <w:t xml:space="preserve">can decide </w:t>
      </w:r>
      <w:r w:rsidR="006A09A7" w:rsidRPr="006A09A7">
        <w:rPr>
          <w:rFonts w:eastAsia="ＭＳ 明朝"/>
          <w:sz w:val="22"/>
          <w:lang w:val="en-US"/>
        </w:rPr>
        <w:t>by itself whether its own d</w:t>
      </w:r>
      <w:r w:rsidRPr="006A09A7">
        <w:rPr>
          <w:rFonts w:eastAsia="ＭＳ 明朝"/>
          <w:sz w:val="22"/>
          <w:lang w:val="en-US"/>
        </w:rPr>
        <w:t>ata is impact</w:t>
      </w:r>
      <w:r w:rsidR="006A09A7" w:rsidRPr="006A09A7">
        <w:rPr>
          <w:rFonts w:eastAsia="ＭＳ 明朝"/>
          <w:sz w:val="22"/>
          <w:lang w:val="en-US"/>
        </w:rPr>
        <w:t>ed or not. For example, the</w:t>
      </w:r>
      <w:r w:rsidRPr="006A09A7">
        <w:rPr>
          <w:rFonts w:eastAsia="ＭＳ 明朝"/>
          <w:sz w:val="22"/>
          <w:lang w:val="en-US"/>
        </w:rPr>
        <w:t xml:space="preserve"> UE can compare the occupied</w:t>
      </w:r>
      <w:r w:rsidR="006A09A7" w:rsidRPr="006A09A7">
        <w:rPr>
          <w:rFonts w:eastAsia="ＭＳ 明朝"/>
          <w:sz w:val="22"/>
          <w:lang w:val="en-US"/>
        </w:rPr>
        <w:t xml:space="preserve"> resource region of its own</w:t>
      </w:r>
      <w:r w:rsidRPr="006A09A7">
        <w:rPr>
          <w:rFonts w:eastAsia="ＭＳ 明朝"/>
          <w:sz w:val="22"/>
          <w:lang w:val="en-US"/>
        </w:rPr>
        <w:t xml:space="preserve"> data and the resource region signaled by preemption indication. If there is overlap between</w:t>
      </w:r>
      <w:r w:rsidR="006A09A7" w:rsidRPr="006A09A7">
        <w:rPr>
          <w:rFonts w:eastAsia="ＭＳ 明朝"/>
          <w:sz w:val="22"/>
          <w:lang w:val="en-US"/>
        </w:rPr>
        <w:t xml:space="preserve"> the resource regions, the </w:t>
      </w:r>
      <w:r w:rsidRPr="006A09A7">
        <w:rPr>
          <w:rFonts w:eastAsia="ＭＳ 明朝"/>
          <w:sz w:val="22"/>
          <w:lang w:val="en-US"/>
        </w:rPr>
        <w:t>UE can know</w:t>
      </w:r>
      <w:r w:rsidR="006A09A7" w:rsidRPr="006A09A7">
        <w:rPr>
          <w:rFonts w:eastAsia="ＭＳ 明朝"/>
          <w:sz w:val="22"/>
          <w:lang w:val="en-US"/>
        </w:rPr>
        <w:t xml:space="preserve"> that its own </w:t>
      </w:r>
      <w:r w:rsidRPr="006A09A7">
        <w:rPr>
          <w:rFonts w:eastAsia="ＭＳ 明朝"/>
          <w:sz w:val="22"/>
          <w:lang w:val="en-US"/>
        </w:rPr>
        <w:t>data transmi</w:t>
      </w:r>
      <w:r w:rsidR="006A09A7" w:rsidRPr="006A09A7">
        <w:rPr>
          <w:rFonts w:eastAsia="ＭＳ 明朝"/>
          <w:sz w:val="22"/>
          <w:lang w:val="en-US"/>
        </w:rPr>
        <w:t>ssion has been impacted by pre-emption</w:t>
      </w:r>
      <w:r w:rsidRPr="006A09A7">
        <w:rPr>
          <w:rFonts w:eastAsia="ＭＳ 明朝"/>
          <w:sz w:val="22"/>
          <w:lang w:val="en-US"/>
        </w:rPr>
        <w:t xml:space="preserve"> transmission.</w:t>
      </w:r>
    </w:p>
    <w:p w14:paraId="6FF1BFA2" w14:textId="416E9B24" w:rsidR="006A09A7" w:rsidRDefault="006A09A7" w:rsidP="00CE6AFD">
      <w:pPr>
        <w:spacing w:afterLines="50" w:after="120"/>
        <w:jc w:val="both"/>
        <w:rPr>
          <w:rFonts w:eastAsia="ＭＳ 明朝"/>
          <w:sz w:val="22"/>
          <w:lang w:val="en-US"/>
        </w:rPr>
      </w:pPr>
      <w:r>
        <w:rPr>
          <w:rFonts w:eastAsia="ＭＳ 明朝"/>
          <w:sz w:val="22"/>
          <w:lang w:val="en-US"/>
        </w:rPr>
        <w:t xml:space="preserve">Considering that the pre-emption indication is not included in the DCI scheduling data, it is also not feasible to include the pre-emption indication in the other DCI since in this case two separate DCIs are necessary for each of the UEs impacted by the pre-emption indication. </w:t>
      </w:r>
      <w:r w:rsidR="00114B6D">
        <w:rPr>
          <w:rFonts w:eastAsia="ＭＳ 明朝"/>
          <w:sz w:val="22"/>
          <w:lang w:val="en-US"/>
        </w:rPr>
        <w:t xml:space="preserve">As </w:t>
      </w:r>
      <w:r>
        <w:rPr>
          <w:rFonts w:eastAsia="ＭＳ 明朝"/>
          <w:sz w:val="22"/>
          <w:lang w:val="en-US"/>
        </w:rPr>
        <w:t>the bandwidth</w:t>
      </w:r>
      <w:r w:rsidR="00114B6D">
        <w:rPr>
          <w:rFonts w:eastAsia="ＭＳ 明朝"/>
          <w:sz w:val="22"/>
          <w:lang w:val="en-US"/>
        </w:rPr>
        <w:t>/duration</w:t>
      </w:r>
      <w:r>
        <w:rPr>
          <w:rFonts w:eastAsia="ＭＳ 明朝"/>
          <w:sz w:val="22"/>
          <w:lang w:val="en-US"/>
        </w:rPr>
        <w:t xml:space="preserve"> of the pre-empti</w:t>
      </w:r>
      <w:r w:rsidR="00114B6D">
        <w:rPr>
          <w:rFonts w:eastAsia="ＭＳ 明朝"/>
          <w:sz w:val="22"/>
          <w:lang w:val="en-US"/>
        </w:rPr>
        <w:t>ng</w:t>
      </w:r>
      <w:r>
        <w:rPr>
          <w:rFonts w:eastAsia="ＭＳ 明朝"/>
          <w:sz w:val="22"/>
          <w:lang w:val="en-US"/>
        </w:rPr>
        <w:t xml:space="preserve"> data</w:t>
      </w:r>
      <w:r w:rsidR="00114B6D">
        <w:rPr>
          <w:rFonts w:eastAsia="ＭＳ 明朝"/>
          <w:sz w:val="22"/>
          <w:lang w:val="en-US"/>
        </w:rPr>
        <w:t xml:space="preserve"> increases</w:t>
      </w:r>
      <w:r>
        <w:rPr>
          <w:rFonts w:eastAsia="ＭＳ 明朝"/>
          <w:sz w:val="22"/>
          <w:lang w:val="en-US"/>
        </w:rPr>
        <w:t xml:space="preserve">, the number of </w:t>
      </w:r>
      <w:r w:rsidR="00114B6D">
        <w:rPr>
          <w:rFonts w:eastAsia="ＭＳ 明朝"/>
          <w:sz w:val="22"/>
          <w:lang w:val="en-US"/>
        </w:rPr>
        <w:t xml:space="preserve">impacted UEs may increase, resulting in more number of </w:t>
      </w:r>
      <w:r>
        <w:rPr>
          <w:rFonts w:eastAsia="ＭＳ 明朝"/>
          <w:sz w:val="22"/>
          <w:lang w:val="en-US"/>
        </w:rPr>
        <w:t xml:space="preserve">DCIs </w:t>
      </w:r>
      <w:r w:rsidR="00114B6D">
        <w:rPr>
          <w:rFonts w:eastAsia="ＭＳ 明朝"/>
          <w:sz w:val="22"/>
          <w:lang w:val="en-US"/>
        </w:rPr>
        <w:t>to inform the pre-emption</w:t>
      </w:r>
      <w:r>
        <w:rPr>
          <w:rFonts w:eastAsia="ＭＳ 明朝"/>
          <w:sz w:val="22"/>
          <w:lang w:val="en-US"/>
        </w:rPr>
        <w:t>.</w:t>
      </w:r>
    </w:p>
    <w:p w14:paraId="6A6A2C56" w14:textId="5145D952" w:rsidR="006A09A7" w:rsidRDefault="006A09A7" w:rsidP="00CE6AFD">
      <w:pPr>
        <w:spacing w:afterLines="50" w:after="120"/>
        <w:jc w:val="both"/>
        <w:rPr>
          <w:rFonts w:eastAsia="ＭＳ 明朝"/>
          <w:sz w:val="22"/>
          <w:lang w:val="en-US"/>
        </w:rPr>
      </w:pPr>
      <w:r>
        <w:rPr>
          <w:rFonts w:eastAsia="ＭＳ 明朝"/>
          <w:sz w:val="22"/>
          <w:lang w:val="en-US"/>
        </w:rPr>
        <w:lastRenderedPageBreak/>
        <w:t xml:space="preserve">Therefore, we consider that for the pre-emption indication, use of ‘group-common PDCCH’ would be feasible. Monitoring </w:t>
      </w:r>
      <w:r w:rsidR="00114B6D">
        <w:rPr>
          <w:rFonts w:eastAsia="ＭＳ 明朝"/>
          <w:sz w:val="22"/>
          <w:lang w:val="en-US"/>
        </w:rPr>
        <w:t xml:space="preserve">a </w:t>
      </w:r>
      <w:r>
        <w:rPr>
          <w:rFonts w:eastAsia="ＭＳ 明朝"/>
          <w:sz w:val="22"/>
          <w:lang w:val="en-US"/>
        </w:rPr>
        <w:t>group-common PDCCH is configured by higher-layer and hence, the pre</w:t>
      </w:r>
      <w:r w:rsidR="00114B6D">
        <w:rPr>
          <w:rFonts w:eastAsia="ＭＳ 明朝"/>
          <w:sz w:val="22"/>
          <w:lang w:val="en-US"/>
        </w:rPr>
        <w:t>-</w:t>
      </w:r>
      <w:r>
        <w:rPr>
          <w:rFonts w:eastAsia="ＭＳ 明朝"/>
          <w:sz w:val="22"/>
          <w:lang w:val="en-US"/>
        </w:rPr>
        <w:t>emption indication can still be UE-specific, e.g., monitoring different group-common PDCCH having pre-emption indication can be configured for different UEs.</w:t>
      </w:r>
      <w:r w:rsidR="00F44620">
        <w:rPr>
          <w:rFonts w:eastAsia="ＭＳ 明朝"/>
          <w:sz w:val="22"/>
          <w:lang w:val="en-US"/>
        </w:rPr>
        <w:t xml:space="preserve"> This is also discussed in our companion contribution [</w:t>
      </w:r>
      <w:r w:rsidR="00B366DF">
        <w:rPr>
          <w:rFonts w:eastAsia="ＭＳ 明朝"/>
          <w:sz w:val="22"/>
          <w:lang w:val="en-US"/>
        </w:rPr>
        <w:t>5</w:t>
      </w:r>
      <w:r w:rsidR="00F44620">
        <w:rPr>
          <w:rFonts w:eastAsia="ＭＳ 明朝"/>
          <w:sz w:val="22"/>
          <w:lang w:val="en-US"/>
        </w:rPr>
        <w:t>].</w:t>
      </w:r>
    </w:p>
    <w:p w14:paraId="1AA32F98" w14:textId="77777777" w:rsidR="00F44620" w:rsidRPr="00D501B3" w:rsidRDefault="00F44620" w:rsidP="00F44620">
      <w:pPr>
        <w:spacing w:afterLines="50" w:after="120"/>
        <w:jc w:val="both"/>
        <w:rPr>
          <w:rFonts w:eastAsia="ＭＳ 明朝"/>
          <w:b/>
          <w:sz w:val="22"/>
          <w:u w:val="single"/>
          <w:lang w:val="en-US"/>
        </w:rPr>
      </w:pPr>
      <w:r w:rsidRPr="00D501B3">
        <w:rPr>
          <w:rFonts w:eastAsia="ＭＳ 明朝"/>
          <w:b/>
          <w:sz w:val="22"/>
          <w:u w:val="single"/>
          <w:lang w:val="en-US"/>
        </w:rPr>
        <w:t>Proposal 1:</w:t>
      </w:r>
    </w:p>
    <w:p w14:paraId="01658FB9" w14:textId="7122F4D8" w:rsidR="00F44620" w:rsidRDefault="007E0716" w:rsidP="00F44620">
      <w:pPr>
        <w:pStyle w:val="afc"/>
        <w:numPr>
          <w:ilvl w:val="0"/>
          <w:numId w:val="16"/>
        </w:numPr>
        <w:spacing w:afterLines="50" w:after="120"/>
        <w:ind w:leftChars="0"/>
        <w:jc w:val="both"/>
        <w:rPr>
          <w:rFonts w:eastAsia="ＭＳ 明朝"/>
          <w:i/>
          <w:sz w:val="22"/>
          <w:lang w:val="en-US"/>
        </w:rPr>
      </w:pPr>
      <w:r>
        <w:rPr>
          <w:rFonts w:eastAsia="ＭＳ 明朝"/>
          <w:i/>
          <w:sz w:val="22"/>
          <w:lang w:val="en-US"/>
        </w:rPr>
        <w:t>Pre-emption indication is included in a group-common PDCCH.</w:t>
      </w:r>
    </w:p>
    <w:p w14:paraId="6517F316" w14:textId="2234F162" w:rsidR="007E0716" w:rsidRDefault="007E0716" w:rsidP="00F44620">
      <w:pPr>
        <w:pStyle w:val="afc"/>
        <w:numPr>
          <w:ilvl w:val="0"/>
          <w:numId w:val="16"/>
        </w:numPr>
        <w:spacing w:afterLines="50" w:after="120"/>
        <w:ind w:leftChars="0"/>
        <w:jc w:val="both"/>
        <w:rPr>
          <w:rFonts w:eastAsia="ＭＳ 明朝"/>
          <w:i/>
          <w:sz w:val="22"/>
          <w:lang w:val="en-US"/>
        </w:rPr>
      </w:pPr>
      <w:r>
        <w:rPr>
          <w:rFonts w:eastAsia="ＭＳ 明朝"/>
          <w:i/>
          <w:sz w:val="22"/>
          <w:lang w:val="en-US"/>
        </w:rPr>
        <w:t>Monitoring a group-common PDCCH and the pre-emption indication in the group-common PDCCH is UE-specifically configured by higher-layer signaling.</w:t>
      </w:r>
    </w:p>
    <w:p w14:paraId="54BD5768" w14:textId="77777777" w:rsidR="006A09A7" w:rsidRPr="00F44620" w:rsidRDefault="006A09A7" w:rsidP="00CE6AFD">
      <w:pPr>
        <w:spacing w:afterLines="50" w:after="120"/>
        <w:jc w:val="both"/>
        <w:rPr>
          <w:rFonts w:eastAsia="ＭＳ 明朝"/>
          <w:sz w:val="22"/>
          <w:lang w:val="en-US"/>
        </w:rPr>
      </w:pPr>
    </w:p>
    <w:p w14:paraId="68E19078" w14:textId="04647B55" w:rsidR="006A09A7" w:rsidRPr="005D0A85" w:rsidRDefault="00F13D30" w:rsidP="006A09A7">
      <w:pPr>
        <w:pStyle w:val="1"/>
        <w:numPr>
          <w:ilvl w:val="0"/>
          <w:numId w:val="5"/>
        </w:numPr>
        <w:spacing w:after="120"/>
        <w:jc w:val="both"/>
        <w:rPr>
          <w:b/>
          <w:lang w:val="en-US"/>
        </w:rPr>
      </w:pPr>
      <w:r>
        <w:rPr>
          <w:b/>
          <w:lang w:val="en-US"/>
        </w:rPr>
        <w:t>Pre-emption indication g</w:t>
      </w:r>
      <w:r w:rsidR="006A09A7">
        <w:rPr>
          <w:b/>
          <w:lang w:val="en-US"/>
        </w:rPr>
        <w:t>ranula</w:t>
      </w:r>
      <w:r>
        <w:rPr>
          <w:b/>
          <w:lang w:val="en-US"/>
        </w:rPr>
        <w:t>rity for</w:t>
      </w:r>
      <w:r w:rsidR="006A09A7">
        <w:rPr>
          <w:b/>
          <w:lang w:val="en-US"/>
        </w:rPr>
        <w:t xml:space="preserve"> </w:t>
      </w:r>
      <w:r>
        <w:rPr>
          <w:b/>
          <w:lang w:val="en-US"/>
        </w:rPr>
        <w:t xml:space="preserve">time/frequency resources </w:t>
      </w:r>
    </w:p>
    <w:p w14:paraId="794BDB9F" w14:textId="3D60A222" w:rsidR="009A6110" w:rsidRDefault="009A6110" w:rsidP="00CE6AFD">
      <w:pPr>
        <w:spacing w:afterLines="50" w:after="120"/>
        <w:jc w:val="both"/>
        <w:rPr>
          <w:rFonts w:eastAsia="ＭＳ 明朝"/>
          <w:sz w:val="22"/>
          <w:lang w:val="en-US"/>
        </w:rPr>
      </w:pPr>
      <w:r>
        <w:rPr>
          <w:rFonts w:eastAsia="ＭＳ 明朝" w:hint="eastAsia"/>
          <w:sz w:val="22"/>
          <w:lang w:val="en-US"/>
        </w:rPr>
        <w:t xml:space="preserve">For </w:t>
      </w:r>
      <w:r>
        <w:rPr>
          <w:rFonts w:eastAsia="ＭＳ 明朝"/>
          <w:sz w:val="22"/>
          <w:lang w:val="en-US"/>
        </w:rPr>
        <w:t xml:space="preserve">a </w:t>
      </w:r>
      <w:r>
        <w:rPr>
          <w:rFonts w:eastAsia="ＭＳ 明朝" w:hint="eastAsia"/>
          <w:sz w:val="22"/>
          <w:lang w:val="en-US"/>
        </w:rPr>
        <w:t xml:space="preserve">data scheduling, </w:t>
      </w:r>
      <w:r>
        <w:rPr>
          <w:rFonts w:eastAsia="ＭＳ 明朝"/>
          <w:sz w:val="22"/>
          <w:lang w:val="en-US"/>
        </w:rPr>
        <w:t xml:space="preserve">the scheduling </w:t>
      </w:r>
      <w:r>
        <w:rPr>
          <w:rFonts w:eastAsia="ＭＳ 明朝" w:hint="eastAsia"/>
          <w:sz w:val="22"/>
          <w:lang w:val="en-US"/>
        </w:rPr>
        <w:t xml:space="preserve">DCI has time/frequency resource allocation field(s). </w:t>
      </w:r>
      <w:r>
        <w:rPr>
          <w:rFonts w:eastAsia="ＭＳ 明朝"/>
          <w:sz w:val="22"/>
          <w:lang w:val="en-US"/>
        </w:rPr>
        <w:t>Since pre-emption indication schedules “pre-empted resources” for the</w:t>
      </w:r>
      <w:r w:rsidR="00114B6D">
        <w:rPr>
          <w:rFonts w:eastAsia="ＭＳ 明朝"/>
          <w:sz w:val="22"/>
          <w:lang w:val="en-US"/>
        </w:rPr>
        <w:t xml:space="preserve"> monitoring</w:t>
      </w:r>
      <w:r>
        <w:rPr>
          <w:rFonts w:eastAsia="ＭＳ 明朝"/>
          <w:sz w:val="22"/>
          <w:lang w:val="en-US"/>
        </w:rPr>
        <w:t xml:space="preserve"> UE, it is possible to re-use resource allocation field(s) of the scheduling DCI for the pre-emption indication. </w:t>
      </w:r>
    </w:p>
    <w:p w14:paraId="4A39C748" w14:textId="185209D0" w:rsidR="008966B6" w:rsidRDefault="00BF0DC6" w:rsidP="00CE6AFD">
      <w:pPr>
        <w:spacing w:afterLines="50" w:after="120"/>
        <w:jc w:val="both"/>
        <w:rPr>
          <w:rFonts w:eastAsia="ＭＳ 明朝"/>
          <w:sz w:val="22"/>
          <w:lang w:val="en-US"/>
        </w:rPr>
      </w:pPr>
      <w:r>
        <w:rPr>
          <w:rFonts w:eastAsia="ＭＳ 明朝"/>
          <w:sz w:val="22"/>
          <w:lang w:val="en-US"/>
        </w:rPr>
        <w:t xml:space="preserve">For eMBB, a data </w:t>
      </w:r>
      <w:r w:rsidR="00316712">
        <w:rPr>
          <w:rFonts w:eastAsia="ＭＳ 明朝"/>
          <w:sz w:val="22"/>
          <w:lang w:val="en-US"/>
        </w:rPr>
        <w:t xml:space="preserve">is typically scheduled </w:t>
      </w:r>
      <w:r>
        <w:rPr>
          <w:rFonts w:eastAsia="ＭＳ 明朝"/>
          <w:sz w:val="22"/>
          <w:lang w:val="en-US"/>
        </w:rPr>
        <w:t xml:space="preserve">over a slot or slightly smaller than a slot. </w:t>
      </w:r>
      <w:r w:rsidR="000A4CED">
        <w:rPr>
          <w:rFonts w:eastAsia="ＭＳ 明朝"/>
          <w:sz w:val="22"/>
          <w:lang w:val="en-US"/>
        </w:rPr>
        <w:t>Therefore, the DCI for eMBB data should have resource allocation field</w:t>
      </w:r>
      <w:r w:rsidR="00114B6D">
        <w:rPr>
          <w:rFonts w:eastAsia="ＭＳ 明朝"/>
          <w:sz w:val="22"/>
          <w:lang w:val="en-US"/>
        </w:rPr>
        <w:t>(s)</w:t>
      </w:r>
      <w:r w:rsidR="000A4CED">
        <w:rPr>
          <w:rFonts w:eastAsia="ＭＳ 明朝"/>
          <w:sz w:val="22"/>
          <w:lang w:val="en-US"/>
        </w:rPr>
        <w:t xml:space="preserve"> with fine granularity for frequency-domain </w:t>
      </w:r>
      <w:r w:rsidR="006B5DF5">
        <w:rPr>
          <w:rFonts w:eastAsia="ＭＳ 明朝"/>
          <w:sz w:val="22"/>
          <w:lang w:val="en-US"/>
        </w:rPr>
        <w:t>(e.g., RBG-level bit-map [</w:t>
      </w:r>
      <w:r w:rsidR="00B366DF">
        <w:rPr>
          <w:rFonts w:eastAsia="ＭＳ 明朝"/>
          <w:sz w:val="22"/>
          <w:lang w:val="en-US"/>
        </w:rPr>
        <w:t>6</w:t>
      </w:r>
      <w:r w:rsidR="006B5DF5">
        <w:rPr>
          <w:rFonts w:eastAsia="ＭＳ 明朝"/>
          <w:sz w:val="22"/>
          <w:lang w:val="en-US"/>
        </w:rPr>
        <w:t xml:space="preserve">]) </w:t>
      </w:r>
      <w:r w:rsidR="000A4CED">
        <w:rPr>
          <w:rFonts w:eastAsia="ＭＳ 明朝"/>
          <w:sz w:val="22"/>
          <w:lang w:val="en-US"/>
        </w:rPr>
        <w:t>and coarse granularity for time-domain</w:t>
      </w:r>
      <w:r w:rsidR="006B5DF5">
        <w:rPr>
          <w:rFonts w:eastAsia="ＭＳ 明朝"/>
          <w:sz w:val="22"/>
          <w:lang w:val="en-US"/>
        </w:rPr>
        <w:t xml:space="preserve"> (e.g., </w:t>
      </w:r>
      <w:r w:rsidR="00114B6D">
        <w:rPr>
          <w:rFonts w:eastAsia="ＭＳ 明朝"/>
          <w:sz w:val="22"/>
          <w:lang w:val="en-US"/>
        </w:rPr>
        <w:t>a few bits</w:t>
      </w:r>
      <w:r w:rsidR="006B5DF5">
        <w:rPr>
          <w:rFonts w:eastAsia="ＭＳ 明朝"/>
          <w:sz w:val="22"/>
          <w:lang w:val="en-US"/>
        </w:rPr>
        <w:t xml:space="preserve"> indication of starting position/duration [</w:t>
      </w:r>
      <w:r w:rsidR="00B366DF">
        <w:rPr>
          <w:rFonts w:eastAsia="ＭＳ 明朝"/>
          <w:sz w:val="22"/>
          <w:lang w:val="en-US"/>
        </w:rPr>
        <w:t>7</w:t>
      </w:r>
      <w:r w:rsidR="006B5DF5">
        <w:rPr>
          <w:rFonts w:eastAsia="ＭＳ 明朝"/>
          <w:sz w:val="22"/>
          <w:lang w:val="en-US"/>
        </w:rPr>
        <w:t>])</w:t>
      </w:r>
      <w:r w:rsidR="000A4CED">
        <w:rPr>
          <w:rFonts w:eastAsia="ＭＳ 明朝"/>
          <w:sz w:val="22"/>
          <w:lang w:val="en-US"/>
        </w:rPr>
        <w:t xml:space="preserve">. </w:t>
      </w:r>
      <w:r>
        <w:rPr>
          <w:rFonts w:eastAsia="ＭＳ 明朝"/>
          <w:sz w:val="22"/>
          <w:lang w:val="en-US"/>
        </w:rPr>
        <w:t>For URLLC</w:t>
      </w:r>
      <w:r w:rsidR="00114B6D">
        <w:rPr>
          <w:rFonts w:eastAsia="ＭＳ 明朝"/>
          <w:sz w:val="22"/>
          <w:lang w:val="en-US"/>
        </w:rPr>
        <w:t xml:space="preserve"> or low-latency services</w:t>
      </w:r>
      <w:r>
        <w:rPr>
          <w:rFonts w:eastAsia="ＭＳ 明朝"/>
          <w:sz w:val="22"/>
          <w:lang w:val="en-US"/>
        </w:rPr>
        <w:t xml:space="preserve">, </w:t>
      </w:r>
      <w:r w:rsidR="009A6110">
        <w:rPr>
          <w:rFonts w:eastAsia="ＭＳ 明朝"/>
          <w:sz w:val="22"/>
          <w:lang w:val="en-US"/>
        </w:rPr>
        <w:t>DCI should have less payload (to achieve lower coding gain) and typically schedules a data at the same/similar timing, so that the delay between the DCI and the scheduled data is minimal</w:t>
      </w:r>
      <w:r w:rsidR="00B366DF">
        <w:rPr>
          <w:rFonts w:eastAsia="ＭＳ 明朝"/>
          <w:sz w:val="22"/>
          <w:lang w:val="en-US"/>
        </w:rPr>
        <w:t xml:space="preserve"> [8]</w:t>
      </w:r>
      <w:r w:rsidR="009A6110">
        <w:rPr>
          <w:rFonts w:eastAsia="ＭＳ 明朝"/>
          <w:sz w:val="22"/>
          <w:lang w:val="en-US"/>
        </w:rPr>
        <w:t xml:space="preserve">. </w:t>
      </w:r>
      <w:r w:rsidR="00316712">
        <w:rPr>
          <w:rFonts w:eastAsia="ＭＳ 明朝"/>
          <w:sz w:val="22"/>
          <w:lang w:val="en-US"/>
        </w:rPr>
        <w:t>Therefore</w:t>
      </w:r>
      <w:r w:rsidR="009A6110">
        <w:rPr>
          <w:rFonts w:eastAsia="ＭＳ 明朝"/>
          <w:sz w:val="22"/>
          <w:lang w:val="en-US"/>
        </w:rPr>
        <w:t xml:space="preserve">, </w:t>
      </w:r>
      <w:r w:rsidR="00316712">
        <w:rPr>
          <w:rFonts w:eastAsia="ＭＳ 明朝"/>
          <w:sz w:val="22"/>
          <w:lang w:val="en-US"/>
        </w:rPr>
        <w:t xml:space="preserve">the </w:t>
      </w:r>
      <w:r w:rsidR="009A6110">
        <w:rPr>
          <w:rFonts w:eastAsia="ＭＳ 明朝"/>
          <w:sz w:val="22"/>
          <w:lang w:val="en-US"/>
        </w:rPr>
        <w:t xml:space="preserve">DCI for URLLC data </w:t>
      </w:r>
      <w:r w:rsidR="00114B6D">
        <w:rPr>
          <w:rFonts w:eastAsia="ＭＳ 明朝"/>
          <w:sz w:val="22"/>
          <w:lang w:val="en-US"/>
        </w:rPr>
        <w:t xml:space="preserve">could have </w:t>
      </w:r>
      <w:r w:rsidR="009A6110">
        <w:rPr>
          <w:rFonts w:eastAsia="ＭＳ 明朝"/>
          <w:sz w:val="22"/>
          <w:lang w:val="en-US"/>
        </w:rPr>
        <w:t>resource allocation field</w:t>
      </w:r>
      <w:r w:rsidR="00114B6D">
        <w:rPr>
          <w:rFonts w:eastAsia="ＭＳ 明朝"/>
          <w:sz w:val="22"/>
          <w:lang w:val="en-US"/>
        </w:rPr>
        <w:t>(s)</w:t>
      </w:r>
      <w:r w:rsidR="009A6110">
        <w:rPr>
          <w:rFonts w:eastAsia="ＭＳ 明朝"/>
          <w:sz w:val="22"/>
          <w:lang w:val="en-US"/>
        </w:rPr>
        <w:t xml:space="preserve"> with coarse granularity in both frequency and time-domains. </w:t>
      </w:r>
      <w:r w:rsidR="00316712">
        <w:rPr>
          <w:rFonts w:eastAsia="ＭＳ 明朝"/>
          <w:sz w:val="22"/>
          <w:lang w:val="en-US"/>
        </w:rPr>
        <w:t xml:space="preserve">The desirable granularity of pre-emption indication for time/frequency resources is </w:t>
      </w:r>
      <w:r w:rsidR="00E8681F">
        <w:rPr>
          <w:rFonts w:eastAsia="ＭＳ 明朝"/>
          <w:sz w:val="22"/>
          <w:lang w:val="en-US"/>
        </w:rPr>
        <w:t>fine for time-domain</w:t>
      </w:r>
      <w:r w:rsidR="008966B6">
        <w:rPr>
          <w:rFonts w:eastAsia="ＭＳ 明朝"/>
          <w:sz w:val="22"/>
          <w:lang w:val="en-US"/>
        </w:rPr>
        <w:t xml:space="preserve"> and fine/coarse in frequency-domain</w:t>
      </w:r>
      <w:r w:rsidR="00FA11CA">
        <w:rPr>
          <w:rFonts w:eastAsia="ＭＳ 明朝"/>
          <w:sz w:val="22"/>
          <w:lang w:val="en-US"/>
        </w:rPr>
        <w:t>; which</w:t>
      </w:r>
      <w:r w:rsidR="008966B6">
        <w:rPr>
          <w:rFonts w:eastAsia="ＭＳ 明朝"/>
          <w:sz w:val="22"/>
          <w:lang w:val="en-US"/>
        </w:rPr>
        <w:t xml:space="preserve"> is </w:t>
      </w:r>
      <w:r w:rsidR="00FA11CA">
        <w:rPr>
          <w:rFonts w:eastAsia="ＭＳ 明朝"/>
          <w:sz w:val="22"/>
          <w:lang w:val="en-US"/>
        </w:rPr>
        <w:t xml:space="preserve">NOT </w:t>
      </w:r>
      <w:r w:rsidR="008966B6">
        <w:rPr>
          <w:rFonts w:eastAsia="ＭＳ 明朝"/>
          <w:sz w:val="22"/>
          <w:lang w:val="en-US"/>
        </w:rPr>
        <w:t xml:space="preserve">aligned either with </w:t>
      </w:r>
      <w:r w:rsidR="00FA11CA">
        <w:rPr>
          <w:rFonts w:eastAsia="ＭＳ 明朝"/>
          <w:sz w:val="22"/>
          <w:lang w:val="en-US"/>
        </w:rPr>
        <w:t xml:space="preserve">that for </w:t>
      </w:r>
      <w:r w:rsidR="008966B6">
        <w:rPr>
          <w:rFonts w:eastAsia="ＭＳ 明朝"/>
          <w:sz w:val="22"/>
          <w:lang w:val="en-US"/>
        </w:rPr>
        <w:t xml:space="preserve">eMBB data or </w:t>
      </w:r>
      <w:r w:rsidR="00FA11CA">
        <w:rPr>
          <w:rFonts w:eastAsia="ＭＳ 明朝"/>
          <w:sz w:val="22"/>
          <w:lang w:val="en-US"/>
        </w:rPr>
        <w:t xml:space="preserve">that for </w:t>
      </w:r>
      <w:r w:rsidR="008966B6">
        <w:rPr>
          <w:rFonts w:eastAsia="ＭＳ 明朝"/>
          <w:sz w:val="22"/>
          <w:lang w:val="en-US"/>
        </w:rPr>
        <w:t>URLLC data.</w:t>
      </w:r>
    </w:p>
    <w:p w14:paraId="7B220193" w14:textId="7FE703F7" w:rsidR="006B5DF5" w:rsidRDefault="006B5DF5" w:rsidP="00CE6AFD">
      <w:pPr>
        <w:spacing w:afterLines="50" w:after="120"/>
        <w:jc w:val="both"/>
        <w:rPr>
          <w:rFonts w:eastAsia="ＭＳ 明朝"/>
          <w:sz w:val="22"/>
          <w:lang w:val="en-US"/>
        </w:rPr>
      </w:pPr>
      <w:r>
        <w:rPr>
          <w:rFonts w:eastAsia="ＭＳ 明朝"/>
          <w:sz w:val="22"/>
          <w:lang w:val="en-US"/>
        </w:rPr>
        <w:t>The duration of pre-empted resource should be aligned with URLLC data. Therefore, the granularity of time/frequency resources for pre-emption indication should be discussed together with the resource allocation mechanism</w:t>
      </w:r>
      <w:r w:rsidR="00FA11CA">
        <w:rPr>
          <w:rFonts w:eastAsia="ＭＳ 明朝"/>
          <w:sz w:val="22"/>
          <w:lang w:val="en-US"/>
        </w:rPr>
        <w:t>/granularity</w:t>
      </w:r>
      <w:r>
        <w:rPr>
          <w:rFonts w:eastAsia="ＭＳ 明朝"/>
          <w:sz w:val="22"/>
          <w:lang w:val="en-US"/>
        </w:rPr>
        <w:t xml:space="preserve"> for URLLC data.</w:t>
      </w:r>
    </w:p>
    <w:p w14:paraId="45372724" w14:textId="2B8A2E52" w:rsidR="006B5DF5" w:rsidRPr="00D501B3" w:rsidRDefault="006B5DF5" w:rsidP="006B5DF5">
      <w:pPr>
        <w:spacing w:afterLines="50" w:after="120"/>
        <w:jc w:val="both"/>
        <w:rPr>
          <w:rFonts w:eastAsia="ＭＳ 明朝"/>
          <w:b/>
          <w:sz w:val="22"/>
          <w:u w:val="single"/>
          <w:lang w:val="en-US"/>
        </w:rPr>
      </w:pPr>
      <w:r>
        <w:rPr>
          <w:rFonts w:eastAsia="ＭＳ 明朝"/>
          <w:b/>
          <w:sz w:val="22"/>
          <w:u w:val="single"/>
          <w:lang w:val="en-US"/>
        </w:rPr>
        <w:t>Proposal 2</w:t>
      </w:r>
      <w:r w:rsidRPr="00D501B3">
        <w:rPr>
          <w:rFonts w:eastAsia="ＭＳ 明朝"/>
          <w:b/>
          <w:sz w:val="22"/>
          <w:u w:val="single"/>
          <w:lang w:val="en-US"/>
        </w:rPr>
        <w:t>:</w:t>
      </w:r>
    </w:p>
    <w:p w14:paraId="6FE56173" w14:textId="1C6A0D5F" w:rsidR="006B5DF5" w:rsidRDefault="006B5DF5" w:rsidP="006B5DF5">
      <w:pPr>
        <w:pStyle w:val="afc"/>
        <w:numPr>
          <w:ilvl w:val="0"/>
          <w:numId w:val="16"/>
        </w:numPr>
        <w:spacing w:afterLines="50" w:after="120"/>
        <w:ind w:leftChars="0"/>
        <w:jc w:val="both"/>
        <w:rPr>
          <w:rFonts w:eastAsia="ＭＳ 明朝"/>
          <w:i/>
          <w:sz w:val="22"/>
          <w:lang w:val="en-US"/>
        </w:rPr>
      </w:pPr>
      <w:r>
        <w:rPr>
          <w:rFonts w:eastAsia="ＭＳ 明朝"/>
          <w:i/>
          <w:sz w:val="22"/>
          <w:lang w:val="en-US"/>
        </w:rPr>
        <w:t>Granularity of time/frequency resources for pre-emption indication should be discussed together with the resource allocation mechanism</w:t>
      </w:r>
      <w:r w:rsidR="004F0E62">
        <w:rPr>
          <w:rFonts w:eastAsia="ＭＳ 明朝"/>
          <w:i/>
          <w:sz w:val="22"/>
          <w:lang w:val="en-US"/>
        </w:rPr>
        <w:t>/granularity</w:t>
      </w:r>
      <w:r>
        <w:rPr>
          <w:rFonts w:eastAsia="ＭＳ 明朝"/>
          <w:i/>
          <w:sz w:val="22"/>
          <w:lang w:val="en-US"/>
        </w:rPr>
        <w:t xml:space="preserve"> for URLLC data.</w:t>
      </w:r>
    </w:p>
    <w:p w14:paraId="43FED1B2" w14:textId="77777777" w:rsidR="00287F93" w:rsidRPr="00927ED1"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70F0261A" w:rsidR="00895E2D" w:rsidRDefault="00D501B3" w:rsidP="00386F11">
      <w:pPr>
        <w:widowControl w:val="0"/>
        <w:spacing w:after="120"/>
        <w:jc w:val="both"/>
        <w:rPr>
          <w:sz w:val="22"/>
          <w:szCs w:val="22"/>
          <w:lang w:val="en-US"/>
        </w:rPr>
      </w:pPr>
      <w:r>
        <w:rPr>
          <w:rFonts w:hint="eastAsia"/>
          <w:sz w:val="22"/>
          <w:szCs w:val="22"/>
          <w:lang w:val="en-US"/>
        </w:rPr>
        <w:t xml:space="preserve">In this contribution, we discussed </w:t>
      </w:r>
      <w:r w:rsidR="006B5DF5">
        <w:rPr>
          <w:sz w:val="22"/>
          <w:szCs w:val="22"/>
          <w:lang w:val="en-US"/>
        </w:rPr>
        <w:t>pre-emption indication for downlink and made following proposal</w:t>
      </w:r>
      <w:r>
        <w:rPr>
          <w:rFonts w:hint="eastAsia"/>
          <w:sz w:val="22"/>
          <w:szCs w:val="22"/>
          <w:lang w:val="en-US"/>
        </w:rPr>
        <w:t>s:</w:t>
      </w:r>
    </w:p>
    <w:p w14:paraId="01D287C6" w14:textId="77777777" w:rsidR="0070762E" w:rsidRPr="00D501B3" w:rsidRDefault="0070762E" w:rsidP="0070762E">
      <w:pPr>
        <w:spacing w:afterLines="50" w:after="120"/>
        <w:jc w:val="both"/>
        <w:rPr>
          <w:rFonts w:eastAsia="ＭＳ 明朝"/>
          <w:b/>
          <w:sz w:val="22"/>
          <w:u w:val="single"/>
          <w:lang w:val="en-US"/>
        </w:rPr>
      </w:pPr>
      <w:r w:rsidRPr="00D501B3">
        <w:rPr>
          <w:rFonts w:eastAsia="ＭＳ 明朝"/>
          <w:b/>
          <w:sz w:val="22"/>
          <w:u w:val="single"/>
          <w:lang w:val="en-US"/>
        </w:rPr>
        <w:t>Proposal 1:</w:t>
      </w:r>
    </w:p>
    <w:p w14:paraId="04AF7712" w14:textId="77777777" w:rsidR="0070762E" w:rsidRDefault="0070762E" w:rsidP="0070762E">
      <w:pPr>
        <w:pStyle w:val="afc"/>
        <w:numPr>
          <w:ilvl w:val="0"/>
          <w:numId w:val="16"/>
        </w:numPr>
        <w:spacing w:afterLines="50" w:after="120"/>
        <w:ind w:leftChars="0"/>
        <w:jc w:val="both"/>
        <w:rPr>
          <w:rFonts w:eastAsia="ＭＳ 明朝"/>
          <w:i/>
          <w:sz w:val="22"/>
          <w:lang w:val="en-US"/>
        </w:rPr>
      </w:pPr>
      <w:r>
        <w:rPr>
          <w:rFonts w:eastAsia="ＭＳ 明朝"/>
          <w:i/>
          <w:sz w:val="22"/>
          <w:lang w:val="en-US"/>
        </w:rPr>
        <w:t>Pre-emption indication is included in a group-common PDCCH.</w:t>
      </w:r>
    </w:p>
    <w:p w14:paraId="5A77B399" w14:textId="77777777" w:rsidR="0070762E" w:rsidRDefault="0070762E" w:rsidP="0070762E">
      <w:pPr>
        <w:pStyle w:val="afc"/>
        <w:numPr>
          <w:ilvl w:val="0"/>
          <w:numId w:val="16"/>
        </w:numPr>
        <w:spacing w:afterLines="50" w:after="120"/>
        <w:ind w:leftChars="0"/>
        <w:jc w:val="both"/>
        <w:rPr>
          <w:rFonts w:eastAsia="ＭＳ 明朝"/>
          <w:i/>
          <w:sz w:val="22"/>
          <w:lang w:val="en-US"/>
        </w:rPr>
      </w:pPr>
      <w:r>
        <w:rPr>
          <w:rFonts w:eastAsia="ＭＳ 明朝"/>
          <w:i/>
          <w:sz w:val="22"/>
          <w:lang w:val="en-US"/>
        </w:rPr>
        <w:t>Monitoring a group-common PDCCH and the pre-emption indication in the group-common PDCCH is UE-specifically configured by higher-layer signaling.</w:t>
      </w:r>
    </w:p>
    <w:p w14:paraId="24DCA8B4" w14:textId="77777777" w:rsidR="004F0E62" w:rsidRPr="00D501B3" w:rsidRDefault="004F0E62" w:rsidP="004F0E62">
      <w:pPr>
        <w:spacing w:afterLines="50" w:after="120"/>
        <w:jc w:val="both"/>
        <w:rPr>
          <w:rFonts w:eastAsia="ＭＳ 明朝"/>
          <w:b/>
          <w:sz w:val="22"/>
          <w:u w:val="single"/>
          <w:lang w:val="en-US"/>
        </w:rPr>
      </w:pPr>
      <w:r>
        <w:rPr>
          <w:rFonts w:eastAsia="ＭＳ 明朝"/>
          <w:b/>
          <w:sz w:val="22"/>
          <w:u w:val="single"/>
          <w:lang w:val="en-US"/>
        </w:rPr>
        <w:t>Proposal 2</w:t>
      </w:r>
      <w:r w:rsidRPr="00D501B3">
        <w:rPr>
          <w:rFonts w:eastAsia="ＭＳ 明朝"/>
          <w:b/>
          <w:sz w:val="22"/>
          <w:u w:val="single"/>
          <w:lang w:val="en-US"/>
        </w:rPr>
        <w:t>:</w:t>
      </w:r>
    </w:p>
    <w:p w14:paraId="4040D456" w14:textId="77777777" w:rsidR="004F0E62" w:rsidRDefault="004F0E62" w:rsidP="004F0E62">
      <w:pPr>
        <w:pStyle w:val="afc"/>
        <w:numPr>
          <w:ilvl w:val="0"/>
          <w:numId w:val="16"/>
        </w:numPr>
        <w:spacing w:afterLines="50" w:after="120"/>
        <w:ind w:leftChars="0"/>
        <w:jc w:val="both"/>
        <w:rPr>
          <w:rFonts w:eastAsia="ＭＳ 明朝"/>
          <w:i/>
          <w:sz w:val="22"/>
          <w:lang w:val="en-US"/>
        </w:rPr>
      </w:pPr>
      <w:r>
        <w:rPr>
          <w:rFonts w:eastAsia="ＭＳ 明朝"/>
          <w:i/>
          <w:sz w:val="22"/>
          <w:lang w:val="en-US"/>
        </w:rPr>
        <w:t>Granularity of time/frequency resources for pre-emption indication should be discussed together with the resource allocation mechanism/granularity for URLLC data.</w:t>
      </w:r>
    </w:p>
    <w:p w14:paraId="21DEBC37" w14:textId="77777777" w:rsidR="00D501B3" w:rsidRPr="004F0E62" w:rsidRDefault="00D501B3" w:rsidP="00386F11">
      <w:pPr>
        <w:widowControl w:val="0"/>
        <w:spacing w:after="120"/>
        <w:jc w:val="both"/>
        <w:rPr>
          <w:sz w:val="22"/>
          <w:szCs w:val="22"/>
          <w:lang w:val="en-US"/>
        </w:rPr>
      </w:pPr>
    </w:p>
    <w:p w14:paraId="6EB13424" w14:textId="77777777" w:rsidR="00D00A4F" w:rsidRPr="007B3BA0" w:rsidRDefault="00D00A4F" w:rsidP="00D00A4F">
      <w:pPr>
        <w:pStyle w:val="1"/>
        <w:spacing w:after="120"/>
        <w:jc w:val="both"/>
        <w:rPr>
          <w:b/>
          <w:lang w:val="en-US"/>
        </w:rPr>
      </w:pPr>
      <w:r w:rsidRPr="007B3BA0">
        <w:rPr>
          <w:b/>
          <w:lang w:val="en-US"/>
        </w:rPr>
        <w:t>References</w:t>
      </w:r>
    </w:p>
    <w:p w14:paraId="1F2A31E8" w14:textId="3BAF5456" w:rsidR="00D00A4F" w:rsidRDefault="00F44620" w:rsidP="00D00A4F">
      <w:pPr>
        <w:widowControl w:val="0"/>
        <w:numPr>
          <w:ilvl w:val="0"/>
          <w:numId w:val="18"/>
        </w:numPr>
        <w:spacing w:after="120"/>
        <w:jc w:val="both"/>
        <w:rPr>
          <w:sz w:val="22"/>
          <w:szCs w:val="22"/>
          <w:lang w:val="en-US"/>
        </w:rPr>
      </w:pPr>
      <w:r>
        <w:rPr>
          <w:sz w:val="22"/>
          <w:szCs w:val="22"/>
          <w:lang w:val="en-US"/>
        </w:rPr>
        <w:t>3GPP RAN1#89 Chairman’s note.</w:t>
      </w:r>
    </w:p>
    <w:p w14:paraId="527AC0C7" w14:textId="6A7DCD9D" w:rsidR="00781C9D" w:rsidRDefault="00781C9D" w:rsidP="00781C9D">
      <w:pPr>
        <w:widowControl w:val="0"/>
        <w:numPr>
          <w:ilvl w:val="0"/>
          <w:numId w:val="18"/>
        </w:numPr>
        <w:spacing w:after="120"/>
        <w:jc w:val="both"/>
        <w:rPr>
          <w:sz w:val="22"/>
          <w:szCs w:val="22"/>
          <w:lang w:val="en-US"/>
        </w:rPr>
      </w:pPr>
      <w:r>
        <w:rPr>
          <w:sz w:val="22"/>
          <w:szCs w:val="22"/>
          <w:lang w:val="en-US"/>
        </w:rPr>
        <w:t>R1-17</w:t>
      </w:r>
      <w:r w:rsidR="00E316EF">
        <w:rPr>
          <w:sz w:val="22"/>
          <w:szCs w:val="22"/>
          <w:lang w:val="en-US"/>
        </w:rPr>
        <w:t>111</w:t>
      </w:r>
      <w:bookmarkStart w:id="7" w:name="_GoBack"/>
      <w:bookmarkEnd w:id="7"/>
      <w:r w:rsidR="004F0E62">
        <w:rPr>
          <w:sz w:val="22"/>
          <w:szCs w:val="22"/>
          <w:lang w:val="en-US"/>
        </w:rPr>
        <w:t>12</w:t>
      </w:r>
      <w:r>
        <w:rPr>
          <w:sz w:val="22"/>
          <w:szCs w:val="22"/>
          <w:lang w:val="en-US"/>
        </w:rPr>
        <w:t>, ‘CBG construction’, NTT DOCOMO, INC.</w:t>
      </w:r>
    </w:p>
    <w:p w14:paraId="28074706" w14:textId="5CDDA294" w:rsidR="00781C9D" w:rsidRPr="00781C9D" w:rsidRDefault="00781C9D" w:rsidP="00781C9D">
      <w:pPr>
        <w:widowControl w:val="0"/>
        <w:numPr>
          <w:ilvl w:val="0"/>
          <w:numId w:val="18"/>
        </w:numPr>
        <w:spacing w:after="120"/>
        <w:jc w:val="both"/>
        <w:rPr>
          <w:sz w:val="22"/>
          <w:szCs w:val="22"/>
          <w:lang w:val="en-US"/>
        </w:rPr>
      </w:pPr>
      <w:r>
        <w:rPr>
          <w:sz w:val="22"/>
          <w:szCs w:val="22"/>
          <w:lang w:val="en-US"/>
        </w:rPr>
        <w:lastRenderedPageBreak/>
        <w:t>R1-17</w:t>
      </w:r>
      <w:r w:rsidR="00E316EF">
        <w:rPr>
          <w:sz w:val="22"/>
          <w:szCs w:val="22"/>
          <w:lang w:val="en-US"/>
        </w:rPr>
        <w:t>11</w:t>
      </w:r>
      <w:r w:rsidR="004F0E62">
        <w:rPr>
          <w:sz w:val="22"/>
          <w:szCs w:val="22"/>
          <w:lang w:val="en-US"/>
        </w:rPr>
        <w:t>113</w:t>
      </w:r>
      <w:r>
        <w:rPr>
          <w:sz w:val="22"/>
          <w:szCs w:val="22"/>
          <w:lang w:val="en-US"/>
        </w:rPr>
        <w:t>, ‘DL control signaling for CBG-based (re)transmission’, NTT DOCOMO, INC.</w:t>
      </w:r>
    </w:p>
    <w:p w14:paraId="383FA6C9" w14:textId="14F7ABEC" w:rsidR="00781C9D" w:rsidRPr="00781C9D" w:rsidRDefault="00781C9D" w:rsidP="00781C9D">
      <w:pPr>
        <w:widowControl w:val="0"/>
        <w:numPr>
          <w:ilvl w:val="0"/>
          <w:numId w:val="18"/>
        </w:numPr>
        <w:spacing w:after="120"/>
        <w:jc w:val="both"/>
        <w:rPr>
          <w:sz w:val="22"/>
          <w:szCs w:val="22"/>
          <w:lang w:val="en-US"/>
        </w:rPr>
      </w:pPr>
      <w:r>
        <w:rPr>
          <w:sz w:val="22"/>
          <w:szCs w:val="22"/>
          <w:lang w:val="en-US"/>
        </w:rPr>
        <w:t>R1-17</w:t>
      </w:r>
      <w:r w:rsidR="004F0E62">
        <w:rPr>
          <w:sz w:val="22"/>
          <w:szCs w:val="22"/>
          <w:lang w:val="en-US"/>
        </w:rPr>
        <w:t>11114</w:t>
      </w:r>
      <w:r>
        <w:rPr>
          <w:sz w:val="22"/>
          <w:szCs w:val="22"/>
          <w:lang w:val="en-US"/>
        </w:rPr>
        <w:t>, ‘UL control signaling for CBG-based (re)transmission’, NTT DOCOMO, INC.</w:t>
      </w:r>
    </w:p>
    <w:p w14:paraId="4BE4277A" w14:textId="1EB37386" w:rsidR="00D34136" w:rsidRDefault="00D34136" w:rsidP="00D00A4F">
      <w:pPr>
        <w:widowControl w:val="0"/>
        <w:numPr>
          <w:ilvl w:val="0"/>
          <w:numId w:val="18"/>
        </w:numPr>
        <w:spacing w:after="120"/>
        <w:jc w:val="both"/>
        <w:rPr>
          <w:sz w:val="22"/>
          <w:szCs w:val="22"/>
          <w:lang w:val="en-US"/>
        </w:rPr>
      </w:pPr>
      <w:r>
        <w:rPr>
          <w:sz w:val="22"/>
          <w:szCs w:val="22"/>
          <w:lang w:val="en-US"/>
        </w:rPr>
        <w:t>R1-17</w:t>
      </w:r>
      <w:r w:rsidR="00E316EF">
        <w:rPr>
          <w:sz w:val="22"/>
          <w:szCs w:val="22"/>
          <w:lang w:val="en-US"/>
        </w:rPr>
        <w:t>11</w:t>
      </w:r>
      <w:r w:rsidR="004F0E62">
        <w:rPr>
          <w:sz w:val="22"/>
          <w:szCs w:val="22"/>
          <w:lang w:val="en-US"/>
        </w:rPr>
        <w:t>095</w:t>
      </w:r>
      <w:r>
        <w:rPr>
          <w:sz w:val="22"/>
          <w:szCs w:val="22"/>
          <w:lang w:val="en-US"/>
        </w:rPr>
        <w:t>, ‘</w:t>
      </w:r>
      <w:r w:rsidR="00F44620">
        <w:rPr>
          <w:sz w:val="22"/>
          <w:szCs w:val="22"/>
          <w:lang w:val="en-US"/>
        </w:rPr>
        <w:t>Views on contents of group-common PDCCH</w:t>
      </w:r>
      <w:r>
        <w:rPr>
          <w:sz w:val="22"/>
          <w:szCs w:val="22"/>
          <w:lang w:val="en-US"/>
        </w:rPr>
        <w:t>’, NTT DOCOMO, INC.</w:t>
      </w:r>
    </w:p>
    <w:p w14:paraId="181D6B0F" w14:textId="5FFDE661" w:rsidR="00B366DF" w:rsidRDefault="00B366DF" w:rsidP="00B366DF">
      <w:pPr>
        <w:widowControl w:val="0"/>
        <w:numPr>
          <w:ilvl w:val="0"/>
          <w:numId w:val="18"/>
        </w:numPr>
        <w:spacing w:after="120"/>
        <w:jc w:val="both"/>
        <w:rPr>
          <w:sz w:val="22"/>
          <w:szCs w:val="22"/>
          <w:lang w:val="en-US"/>
        </w:rPr>
      </w:pPr>
      <w:r>
        <w:rPr>
          <w:sz w:val="22"/>
          <w:szCs w:val="22"/>
          <w:lang w:val="en-US"/>
        </w:rPr>
        <w:t>R1-17</w:t>
      </w:r>
      <w:r w:rsidR="00E316EF">
        <w:rPr>
          <w:sz w:val="22"/>
          <w:szCs w:val="22"/>
          <w:lang w:val="en-US"/>
        </w:rPr>
        <w:t>11</w:t>
      </w:r>
      <w:r w:rsidR="004F0E62">
        <w:rPr>
          <w:sz w:val="22"/>
          <w:szCs w:val="22"/>
          <w:lang w:val="en-US"/>
        </w:rPr>
        <w:t>107</w:t>
      </w:r>
      <w:r>
        <w:rPr>
          <w:sz w:val="22"/>
          <w:szCs w:val="22"/>
          <w:lang w:val="en-US"/>
        </w:rPr>
        <w:t>, ‘Frequency-domain resource allocation’, NTT DOCOMO, INC.</w:t>
      </w:r>
    </w:p>
    <w:p w14:paraId="77665A70" w14:textId="45AF2E36" w:rsidR="00B366DF" w:rsidRDefault="00B366DF" w:rsidP="00B366DF">
      <w:pPr>
        <w:widowControl w:val="0"/>
        <w:numPr>
          <w:ilvl w:val="0"/>
          <w:numId w:val="18"/>
        </w:numPr>
        <w:spacing w:after="120"/>
        <w:jc w:val="both"/>
        <w:rPr>
          <w:sz w:val="22"/>
          <w:szCs w:val="22"/>
          <w:lang w:val="en-US"/>
        </w:rPr>
      </w:pPr>
      <w:r>
        <w:rPr>
          <w:sz w:val="22"/>
          <w:szCs w:val="22"/>
          <w:lang w:val="en-US"/>
        </w:rPr>
        <w:t>R1-17</w:t>
      </w:r>
      <w:r w:rsidR="004F0E62">
        <w:rPr>
          <w:sz w:val="22"/>
          <w:szCs w:val="22"/>
          <w:lang w:val="en-US"/>
        </w:rPr>
        <w:t>11108</w:t>
      </w:r>
      <w:r>
        <w:rPr>
          <w:sz w:val="22"/>
          <w:szCs w:val="22"/>
          <w:lang w:val="en-US"/>
        </w:rPr>
        <w:t>, ‘Time-domain resource allocation’, NTT DOCOMO, INC.</w:t>
      </w:r>
    </w:p>
    <w:p w14:paraId="610CA1B4" w14:textId="7005DAF0" w:rsidR="00B366DF" w:rsidRDefault="00B366DF" w:rsidP="00B366DF">
      <w:pPr>
        <w:widowControl w:val="0"/>
        <w:numPr>
          <w:ilvl w:val="0"/>
          <w:numId w:val="18"/>
        </w:numPr>
        <w:spacing w:after="120"/>
        <w:jc w:val="both"/>
        <w:rPr>
          <w:sz w:val="22"/>
          <w:szCs w:val="22"/>
          <w:lang w:val="en-US"/>
        </w:rPr>
      </w:pPr>
      <w:r>
        <w:rPr>
          <w:sz w:val="22"/>
          <w:szCs w:val="22"/>
          <w:lang w:val="en-US"/>
        </w:rPr>
        <w:t>R1-17</w:t>
      </w:r>
      <w:r w:rsidR="004F0E62">
        <w:rPr>
          <w:sz w:val="22"/>
          <w:szCs w:val="22"/>
          <w:lang w:val="en-US"/>
        </w:rPr>
        <w:t>11097</w:t>
      </w:r>
      <w:r>
        <w:rPr>
          <w:sz w:val="22"/>
          <w:szCs w:val="22"/>
          <w:lang w:val="en-US"/>
        </w:rPr>
        <w:t>, ‘DL control channel for URLLC’, NTT DOCOMO, INC.</w:t>
      </w:r>
    </w:p>
    <w:p w14:paraId="19376196" w14:textId="77777777" w:rsidR="00895E2D" w:rsidRPr="00B366DF"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0AD8E" w14:textId="77777777" w:rsidR="00640DED" w:rsidRDefault="00640DED">
      <w:r>
        <w:separator/>
      </w:r>
    </w:p>
  </w:endnote>
  <w:endnote w:type="continuationSeparator" w:id="0">
    <w:p w14:paraId="24636808" w14:textId="77777777" w:rsidR="00640DED" w:rsidRDefault="00640DED">
      <w:r>
        <w:continuationSeparator/>
      </w:r>
    </w:p>
  </w:endnote>
  <w:endnote w:type="continuationNotice" w:id="1">
    <w:p w14:paraId="0F797C3F" w14:textId="77777777" w:rsidR="00640DED" w:rsidRDefault="00640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35A36DB" w:rsidR="00992C1D" w:rsidRPr="00000924" w:rsidRDefault="00992C1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316E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316EF">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C1570" w14:textId="77777777" w:rsidR="00640DED" w:rsidRDefault="00640DED">
      <w:r>
        <w:separator/>
      </w:r>
    </w:p>
  </w:footnote>
  <w:footnote w:type="continuationSeparator" w:id="0">
    <w:p w14:paraId="03CBB3AF" w14:textId="77777777" w:rsidR="00640DED" w:rsidRDefault="00640DED">
      <w:r>
        <w:continuationSeparator/>
      </w:r>
    </w:p>
  </w:footnote>
  <w:footnote w:type="continuationNotice" w:id="1">
    <w:p w14:paraId="2BAAFA8F" w14:textId="77777777" w:rsidR="00640DED" w:rsidRDefault="00640D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D20B34"/>
    <w:multiLevelType w:val="hybridMultilevel"/>
    <w:tmpl w:val="44503064"/>
    <w:lvl w:ilvl="0" w:tplc="06E4C6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38A6AEB"/>
    <w:multiLevelType w:val="hybridMultilevel"/>
    <w:tmpl w:val="6C684D5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51658ED"/>
    <w:multiLevelType w:val="hybridMultilevel"/>
    <w:tmpl w:val="EC5E88FC"/>
    <w:lvl w:ilvl="0" w:tplc="423EA47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D7331AA"/>
    <w:multiLevelType w:val="hybridMultilevel"/>
    <w:tmpl w:val="B958D9A2"/>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D9900282">
      <w:start w:val="3"/>
      <w:numFmt w:val="bullet"/>
      <w:lvlText w:val="-"/>
      <w:lvlJc w:val="left"/>
      <w:pPr>
        <w:ind w:left="3600" w:hanging="360"/>
      </w:pPr>
      <w:rPr>
        <w:rFonts w:ascii="Times New Roman" w:eastAsia="ＭＳ 明朝" w:hAnsi="Times New Roman" w:cs="Times New Roman"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DD02BF"/>
    <w:multiLevelType w:val="hybridMultilevel"/>
    <w:tmpl w:val="7FF69C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7"/>
  </w:num>
  <w:num w:numId="4">
    <w:abstractNumId w:val="18"/>
  </w:num>
  <w:num w:numId="5">
    <w:abstractNumId w:val="10"/>
  </w:num>
  <w:num w:numId="6">
    <w:abstractNumId w:val="5"/>
  </w:num>
  <w:num w:numId="7">
    <w:abstractNumId w:val="1"/>
  </w:num>
  <w:num w:numId="8">
    <w:abstractNumId w:val="11"/>
  </w:num>
  <w:num w:numId="9">
    <w:abstractNumId w:val="14"/>
  </w:num>
  <w:num w:numId="10">
    <w:abstractNumId w:val="9"/>
  </w:num>
  <w:num w:numId="11">
    <w:abstractNumId w:val="16"/>
  </w:num>
  <w:num w:numId="12">
    <w:abstractNumId w:val="2"/>
  </w:num>
  <w:num w:numId="13">
    <w:abstractNumId w:val="15"/>
  </w:num>
  <w:num w:numId="14">
    <w:abstractNumId w:val="3"/>
  </w:num>
  <w:num w:numId="15">
    <w:abstractNumId w:val="13"/>
  </w:num>
  <w:num w:numId="16">
    <w:abstractNumId w:val="6"/>
  </w:num>
  <w:num w:numId="17">
    <w:abstractNumId w:val="17"/>
  </w:num>
  <w:num w:numId="18">
    <w:abstractNumId w:val="4"/>
  </w:num>
  <w:num w:numId="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425"/>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CED"/>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96C"/>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B6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E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ED7"/>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32A"/>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AA8"/>
    <w:rsid w:val="00313B61"/>
    <w:rsid w:val="003145CA"/>
    <w:rsid w:val="00314A5F"/>
    <w:rsid w:val="00314FA9"/>
    <w:rsid w:val="00314FC2"/>
    <w:rsid w:val="00315CBB"/>
    <w:rsid w:val="00315E4B"/>
    <w:rsid w:val="00315E54"/>
    <w:rsid w:val="00316448"/>
    <w:rsid w:val="00316712"/>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09"/>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4DB"/>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11D"/>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0E6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12"/>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C61"/>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A4D"/>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6C0"/>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0DED"/>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291"/>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9A7"/>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DF5"/>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62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D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1C9D"/>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716"/>
    <w:rsid w:val="007E0EF6"/>
    <w:rsid w:val="007E1868"/>
    <w:rsid w:val="007E1B0B"/>
    <w:rsid w:val="007E21A0"/>
    <w:rsid w:val="007E24C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018"/>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D3C"/>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6B6"/>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473"/>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11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8A6"/>
    <w:rsid w:val="00AB2F38"/>
    <w:rsid w:val="00AB3145"/>
    <w:rsid w:val="00AB3709"/>
    <w:rsid w:val="00AB3A84"/>
    <w:rsid w:val="00AB45BF"/>
    <w:rsid w:val="00AB4DCD"/>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72B"/>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642"/>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66DF"/>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AB"/>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4FDB"/>
    <w:rsid w:val="00BC657B"/>
    <w:rsid w:val="00BC72F0"/>
    <w:rsid w:val="00BC77CB"/>
    <w:rsid w:val="00BC787F"/>
    <w:rsid w:val="00BC78BE"/>
    <w:rsid w:val="00BC7B23"/>
    <w:rsid w:val="00BC7D42"/>
    <w:rsid w:val="00BC7F14"/>
    <w:rsid w:val="00BD0B22"/>
    <w:rsid w:val="00BD0E12"/>
    <w:rsid w:val="00BD1179"/>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0DC6"/>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523"/>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C3E"/>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0C5A"/>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C5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FD"/>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0A4F"/>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36"/>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1B3"/>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2FCA"/>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E9D"/>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55C"/>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0AC"/>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6EF"/>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81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C7E0D"/>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D3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620"/>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440"/>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1CA"/>
    <w:rsid w:val="00FA2260"/>
    <w:rsid w:val="00FA26D2"/>
    <w:rsid w:val="00FA2833"/>
    <w:rsid w:val="00FA29F6"/>
    <w:rsid w:val="00FA2B64"/>
    <w:rsid w:val="00FA3059"/>
    <w:rsid w:val="00FA3395"/>
    <w:rsid w:val="00FA3731"/>
    <w:rsid w:val="00FA3B98"/>
    <w:rsid w:val="00FA41C2"/>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6009">
      <w:bodyDiv w:val="1"/>
      <w:marLeft w:val="0"/>
      <w:marRight w:val="0"/>
      <w:marTop w:val="0"/>
      <w:marBottom w:val="0"/>
      <w:divBdr>
        <w:top w:val="none" w:sz="0" w:space="0" w:color="auto"/>
        <w:left w:val="none" w:sz="0" w:space="0" w:color="auto"/>
        <w:bottom w:val="none" w:sz="0" w:space="0" w:color="auto"/>
        <w:right w:val="none" w:sz="0" w:space="0" w:color="auto"/>
      </w:divBdr>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432849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FBB7D-ED25-4065-93FB-40399A64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954</Words>
  <Characters>5444</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2017-06-17T04:00:00Z</dcterms:created>
  <dcterms:modified xsi:type="dcterms:W3CDTF">2017-06-17T04:00:00Z</dcterms:modified>
</cp:coreProperties>
</file>