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19FED02D"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71680B" w:rsidRPr="0071680B">
        <w:rPr>
          <w:sz w:val="24"/>
          <w:lang w:val="en-US" w:eastAsia="ja-JP"/>
        </w:rPr>
        <w:t>NR Ad-Hoc#2</w:t>
      </w:r>
      <w:bookmarkStart w:id="1" w:name="_GoBack"/>
      <w:bookmarkEnd w:id="1"/>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405C28">
        <w:rPr>
          <w:sz w:val="24"/>
          <w:lang w:val="en-US"/>
        </w:rPr>
        <w:t>11118</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CF211F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3C4F09">
        <w:rPr>
          <w:sz w:val="24"/>
          <w:lang w:val="en-US" w:eastAsia="ja-JP"/>
        </w:rPr>
        <w:t xml:space="preserve">Soft-buffer </w:t>
      </w:r>
      <w:r w:rsidR="00506712">
        <w:rPr>
          <w:sz w:val="24"/>
          <w:lang w:val="en-US" w:eastAsia="ja-JP"/>
        </w:rPr>
        <w:t xml:space="preserve">size and </w:t>
      </w:r>
      <w:r w:rsidR="003C4F09">
        <w:rPr>
          <w:sz w:val="24"/>
          <w:lang w:val="en-US" w:eastAsia="ja-JP"/>
        </w:rPr>
        <w:t>management</w:t>
      </w:r>
    </w:p>
    <w:bookmarkEnd w:id="2"/>
    <w:bookmarkEnd w:id="3"/>
    <w:bookmarkEnd w:id="4"/>
    <w:bookmarkEnd w:id="5"/>
    <w:p w14:paraId="02FF14B3" w14:textId="536A210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35FCD">
        <w:rPr>
          <w:sz w:val="24"/>
          <w:lang w:val="en-US" w:eastAsia="ja-JP"/>
        </w:rPr>
        <w:t>5</w:t>
      </w:r>
      <w:r w:rsidR="00866245">
        <w:rPr>
          <w:sz w:val="24"/>
          <w:lang w:val="en-US" w:eastAsia="ja-JP"/>
        </w:rPr>
        <w:t>.1.3.</w:t>
      </w:r>
      <w:r w:rsidR="00887D3C">
        <w:rPr>
          <w:sz w:val="24"/>
          <w:lang w:val="en-US" w:eastAsia="ja-JP"/>
        </w:rPr>
        <w:t>3.6</w:t>
      </w:r>
      <w:r w:rsidR="003C4F09">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6985050B" w14:textId="77777777" w:rsidR="006326C0" w:rsidRDefault="00AB28A6" w:rsidP="00AB28A6">
      <w:pPr>
        <w:spacing w:afterLines="50" w:after="120"/>
        <w:jc w:val="both"/>
        <w:rPr>
          <w:rFonts w:eastAsia="ＭＳ 明朝"/>
          <w:sz w:val="22"/>
          <w:lang w:val="en-US"/>
        </w:rPr>
      </w:pPr>
      <w:r>
        <w:rPr>
          <w:rFonts w:eastAsia="ＭＳ 明朝" w:hint="eastAsia"/>
          <w:sz w:val="22"/>
          <w:lang w:val="en-US"/>
        </w:rPr>
        <w:t xml:space="preserve">In this contribution, </w:t>
      </w:r>
      <w:r w:rsidR="006326C0">
        <w:rPr>
          <w:rFonts w:eastAsia="ＭＳ 明朝"/>
          <w:sz w:val="22"/>
          <w:lang w:val="en-US"/>
        </w:rPr>
        <w:t>we discuss soft-buffer management in terms of the following two aspects:</w:t>
      </w:r>
    </w:p>
    <w:p w14:paraId="5A010C9F" w14:textId="51EF22A0" w:rsidR="00BD1179" w:rsidRDefault="00BD1179" w:rsidP="006326C0">
      <w:pPr>
        <w:pStyle w:val="afc"/>
        <w:numPr>
          <w:ilvl w:val="0"/>
          <w:numId w:val="15"/>
        </w:numPr>
        <w:spacing w:afterLines="50" w:after="120"/>
        <w:ind w:leftChars="0"/>
        <w:jc w:val="both"/>
        <w:rPr>
          <w:rFonts w:eastAsia="ＭＳ 明朝"/>
          <w:sz w:val="22"/>
          <w:lang w:val="en-US"/>
        </w:rPr>
      </w:pPr>
      <w:r>
        <w:rPr>
          <w:rFonts w:eastAsia="ＭＳ 明朝"/>
          <w:sz w:val="22"/>
          <w:lang w:val="en-US"/>
        </w:rPr>
        <w:t xml:space="preserve">Soft-buffer </w:t>
      </w:r>
      <w:r w:rsidR="00405C28">
        <w:rPr>
          <w:rFonts w:eastAsia="ＭＳ 明朝"/>
          <w:sz w:val="22"/>
          <w:lang w:val="en-US"/>
        </w:rPr>
        <w:t xml:space="preserve">management </w:t>
      </w:r>
      <w:r>
        <w:rPr>
          <w:rFonts w:eastAsia="ＭＳ 明朝"/>
          <w:sz w:val="22"/>
          <w:lang w:val="en-US"/>
        </w:rPr>
        <w:t>for a NR carrier</w:t>
      </w:r>
    </w:p>
    <w:p w14:paraId="1585097E" w14:textId="6B4F3DC1" w:rsidR="00AB28A6" w:rsidRDefault="006326C0" w:rsidP="00BD1179">
      <w:pPr>
        <w:pStyle w:val="afc"/>
        <w:numPr>
          <w:ilvl w:val="1"/>
          <w:numId w:val="15"/>
        </w:numPr>
        <w:spacing w:afterLines="50" w:after="120"/>
        <w:ind w:leftChars="0"/>
        <w:jc w:val="both"/>
        <w:rPr>
          <w:rFonts w:eastAsia="ＭＳ 明朝"/>
          <w:sz w:val="22"/>
          <w:lang w:val="en-US"/>
        </w:rPr>
      </w:pPr>
      <w:r>
        <w:rPr>
          <w:rFonts w:eastAsia="ＭＳ 明朝"/>
          <w:sz w:val="22"/>
          <w:lang w:val="en-US"/>
        </w:rPr>
        <w:t xml:space="preserve">Whether the soft-buffer size should be determined so that all soft bits for all HARQ processes </w:t>
      </w:r>
      <w:r w:rsidR="00712EDF">
        <w:rPr>
          <w:rFonts w:eastAsia="ＭＳ 明朝"/>
          <w:sz w:val="22"/>
          <w:lang w:val="en-US"/>
        </w:rPr>
        <w:t xml:space="preserve">for a carrier </w:t>
      </w:r>
      <w:r>
        <w:rPr>
          <w:rFonts w:eastAsia="ＭＳ 明朝"/>
          <w:sz w:val="22"/>
          <w:lang w:val="en-US"/>
        </w:rPr>
        <w:t>are able to be stored.</w:t>
      </w:r>
      <w:r w:rsidR="00AB28A6" w:rsidRPr="006326C0">
        <w:rPr>
          <w:rFonts w:eastAsia="ＭＳ 明朝"/>
          <w:sz w:val="22"/>
          <w:lang w:val="en-US"/>
        </w:rPr>
        <w:t xml:space="preserve"> </w:t>
      </w:r>
    </w:p>
    <w:p w14:paraId="55721CA0" w14:textId="5E1047F6" w:rsidR="00BD1179" w:rsidRDefault="00BD1179" w:rsidP="006326C0">
      <w:pPr>
        <w:pStyle w:val="afc"/>
        <w:numPr>
          <w:ilvl w:val="0"/>
          <w:numId w:val="15"/>
        </w:numPr>
        <w:spacing w:afterLines="50" w:after="120"/>
        <w:ind w:leftChars="0"/>
        <w:jc w:val="both"/>
        <w:rPr>
          <w:rFonts w:eastAsia="ＭＳ 明朝"/>
          <w:sz w:val="22"/>
          <w:lang w:val="en-US"/>
        </w:rPr>
      </w:pPr>
      <w:r>
        <w:rPr>
          <w:rFonts w:eastAsia="ＭＳ 明朝"/>
          <w:sz w:val="22"/>
          <w:lang w:val="en-US"/>
        </w:rPr>
        <w:t xml:space="preserve">Soft-buffer </w:t>
      </w:r>
      <w:r w:rsidR="00405C28">
        <w:rPr>
          <w:rFonts w:eastAsia="ＭＳ 明朝"/>
          <w:sz w:val="22"/>
          <w:lang w:val="en-US"/>
        </w:rPr>
        <w:t xml:space="preserve">management </w:t>
      </w:r>
      <w:r>
        <w:rPr>
          <w:rFonts w:eastAsia="ＭＳ 明朝"/>
          <w:sz w:val="22"/>
          <w:lang w:val="en-US"/>
        </w:rPr>
        <w:t>across NR and LTE carriers</w:t>
      </w:r>
    </w:p>
    <w:p w14:paraId="4A336192" w14:textId="678431A9" w:rsidR="006326C0" w:rsidRPr="006326C0" w:rsidRDefault="006326C0" w:rsidP="00BD1179">
      <w:pPr>
        <w:pStyle w:val="afc"/>
        <w:numPr>
          <w:ilvl w:val="1"/>
          <w:numId w:val="15"/>
        </w:numPr>
        <w:spacing w:afterLines="50" w:after="120"/>
        <w:ind w:leftChars="0"/>
        <w:jc w:val="both"/>
        <w:rPr>
          <w:rFonts w:eastAsia="ＭＳ 明朝"/>
          <w:sz w:val="22"/>
          <w:lang w:val="en-US"/>
        </w:rPr>
      </w:pPr>
      <w:r>
        <w:rPr>
          <w:rFonts w:eastAsia="ＭＳ 明朝"/>
          <w:sz w:val="22"/>
          <w:lang w:val="en-US"/>
        </w:rPr>
        <w:t>How the soft-buffer size is defined for LTE-NR dual connectivity</w:t>
      </w:r>
    </w:p>
    <w:p w14:paraId="0E0AD8F3" w14:textId="77777777" w:rsidR="00AB28A6" w:rsidRPr="006326C0" w:rsidRDefault="00AB28A6" w:rsidP="00D52C8D">
      <w:pPr>
        <w:spacing w:beforeLines="50" w:before="120" w:afterLines="50" w:after="120"/>
        <w:jc w:val="both"/>
        <w:rPr>
          <w:rFonts w:eastAsia="ＭＳ 明朝"/>
          <w:sz w:val="22"/>
          <w:lang w:val="en-US"/>
        </w:rPr>
      </w:pPr>
    </w:p>
    <w:p w14:paraId="408AFFCA" w14:textId="31A5A187" w:rsidR="009B284C" w:rsidRPr="005D0A85" w:rsidRDefault="006326C0" w:rsidP="00A65BF3">
      <w:pPr>
        <w:pStyle w:val="1"/>
        <w:numPr>
          <w:ilvl w:val="0"/>
          <w:numId w:val="5"/>
        </w:numPr>
        <w:spacing w:after="120"/>
        <w:jc w:val="both"/>
        <w:rPr>
          <w:b/>
          <w:lang w:val="en-US"/>
        </w:rPr>
      </w:pPr>
      <w:r>
        <w:rPr>
          <w:b/>
          <w:lang w:val="en-US"/>
        </w:rPr>
        <w:t xml:space="preserve">Soft-buffer </w:t>
      </w:r>
      <w:r w:rsidR="00405C28">
        <w:rPr>
          <w:b/>
          <w:lang w:val="en-US"/>
        </w:rPr>
        <w:t xml:space="preserve">management </w:t>
      </w:r>
      <w:r>
        <w:rPr>
          <w:b/>
          <w:lang w:val="en-US"/>
        </w:rPr>
        <w:t xml:space="preserve">for a </w:t>
      </w:r>
      <w:r w:rsidR="00991473">
        <w:rPr>
          <w:b/>
          <w:lang w:val="en-US"/>
        </w:rPr>
        <w:t xml:space="preserve">NR </w:t>
      </w:r>
      <w:r>
        <w:rPr>
          <w:b/>
          <w:lang w:val="en-US"/>
        </w:rPr>
        <w:t>carrier</w:t>
      </w:r>
    </w:p>
    <w:p w14:paraId="25615055" w14:textId="601D7F92" w:rsidR="004774DB" w:rsidRDefault="004774DB" w:rsidP="00CE6AFD">
      <w:pPr>
        <w:spacing w:afterLines="50" w:after="120"/>
        <w:jc w:val="both"/>
        <w:rPr>
          <w:rFonts w:eastAsia="ＭＳ 明朝"/>
          <w:sz w:val="22"/>
          <w:lang w:val="en-US"/>
        </w:rPr>
      </w:pPr>
      <w:r>
        <w:rPr>
          <w:rFonts w:eastAsia="ＭＳ 明朝"/>
          <w:sz w:val="22"/>
          <w:lang w:val="en-US"/>
        </w:rPr>
        <w:t>LTE adopt</w:t>
      </w:r>
      <w:r w:rsidR="00CE6AFD" w:rsidRPr="00D50FB5">
        <w:rPr>
          <w:rFonts w:eastAsia="ＭＳ 明朝"/>
          <w:sz w:val="22"/>
          <w:lang w:val="en-US"/>
        </w:rPr>
        <w:t>s multiple stop-and-wait</w:t>
      </w:r>
      <w:r w:rsidR="00CE6AFD" w:rsidRPr="00D50FB5">
        <w:rPr>
          <w:rFonts w:eastAsia="ＭＳ 明朝" w:hint="eastAsia"/>
          <w:sz w:val="22"/>
          <w:lang w:val="en-US"/>
        </w:rPr>
        <w:t xml:space="preserve"> </w:t>
      </w:r>
      <w:r w:rsidR="00CE6AFD" w:rsidRPr="00D50FB5">
        <w:rPr>
          <w:rFonts w:eastAsia="ＭＳ 明朝"/>
          <w:sz w:val="22"/>
          <w:lang w:val="en-US"/>
        </w:rPr>
        <w:t>HARQ processes operating in parallel to make sure that one UE can achieve peak data rate of the given carrier</w:t>
      </w:r>
      <w:r w:rsidR="00570C61">
        <w:rPr>
          <w:rFonts w:eastAsia="ＭＳ 明朝"/>
          <w:sz w:val="22"/>
          <w:lang w:val="en-US"/>
        </w:rPr>
        <w:t xml:space="preserve"> with </w:t>
      </w:r>
      <w:r w:rsidR="00405C28">
        <w:rPr>
          <w:rFonts w:eastAsia="ＭＳ 明朝"/>
          <w:sz w:val="22"/>
          <w:lang w:val="en-US"/>
        </w:rPr>
        <w:t xml:space="preserve">allowing </w:t>
      </w:r>
      <w:r w:rsidR="00570C61">
        <w:rPr>
          <w:rFonts w:eastAsia="ＭＳ 明朝"/>
          <w:sz w:val="22"/>
          <w:lang w:val="en-US"/>
        </w:rPr>
        <w:t>reasonable processing time at BS and UE</w:t>
      </w:r>
      <w:r w:rsidR="00CE6AFD" w:rsidRPr="00D50FB5">
        <w:rPr>
          <w:rFonts w:eastAsia="ＭＳ 明朝"/>
          <w:sz w:val="22"/>
          <w:lang w:val="en-US"/>
        </w:rPr>
        <w:t>. The number of the parallel DL/UL HARQ processes is determined by the DL</w:t>
      </w:r>
      <w:r w:rsidR="00CE6AFD">
        <w:rPr>
          <w:rFonts w:eastAsia="ＭＳ 明朝"/>
          <w:sz w:val="22"/>
          <w:lang w:val="en-US"/>
        </w:rPr>
        <w:t>/UL</w:t>
      </w:r>
      <w:r w:rsidR="00CE6AFD" w:rsidRPr="00D50FB5">
        <w:rPr>
          <w:rFonts w:eastAsia="ＭＳ 明朝"/>
          <w:sz w:val="22"/>
          <w:lang w:val="en-US"/>
        </w:rPr>
        <w:t xml:space="preserve"> HARQ RTT which equals to </w:t>
      </w:r>
      <w:r w:rsidR="00CE6AFD">
        <w:rPr>
          <w:rFonts w:eastAsia="ＭＳ 明朝"/>
          <w:sz w:val="22"/>
          <w:lang w:val="en-US"/>
        </w:rPr>
        <w:t xml:space="preserve">the </w:t>
      </w:r>
      <w:r w:rsidR="00CE6AFD" w:rsidRPr="00D50FB5">
        <w:rPr>
          <w:rFonts w:eastAsia="ＭＳ 明朝"/>
          <w:sz w:val="22"/>
          <w:lang w:val="en-US"/>
        </w:rPr>
        <w:t>sum of four parts: DL</w:t>
      </w:r>
      <w:r w:rsidR="00CE6AFD">
        <w:rPr>
          <w:rFonts w:eastAsia="ＭＳ 明朝"/>
          <w:sz w:val="22"/>
          <w:lang w:val="en-US"/>
        </w:rPr>
        <w:t>/UL</w:t>
      </w:r>
      <w:r w:rsidR="00CE6AFD" w:rsidRPr="00D50FB5">
        <w:rPr>
          <w:rFonts w:eastAsia="ＭＳ 明朝"/>
          <w:sz w:val="22"/>
          <w:lang w:val="en-US"/>
        </w:rPr>
        <w:t xml:space="preserve"> data transmission time interval (TTI), processing time at UE</w:t>
      </w:r>
      <w:r w:rsidR="00CE6AFD">
        <w:rPr>
          <w:rFonts w:eastAsia="ＭＳ 明朝"/>
          <w:sz w:val="22"/>
          <w:lang w:val="en-US"/>
        </w:rPr>
        <w:t>/BS</w:t>
      </w:r>
      <w:r w:rsidR="00CE6AFD" w:rsidRPr="00D50FB5">
        <w:rPr>
          <w:rFonts w:eastAsia="ＭＳ 明朝"/>
          <w:sz w:val="22"/>
          <w:lang w:val="en-US"/>
        </w:rPr>
        <w:t xml:space="preserve"> side, TTI of HARQ acknowledgement in the uplink</w:t>
      </w:r>
      <w:r w:rsidR="00CE6AFD">
        <w:rPr>
          <w:rFonts w:eastAsia="ＭＳ 明朝"/>
          <w:sz w:val="22"/>
          <w:lang w:val="en-US"/>
        </w:rPr>
        <w:t>/downlink</w:t>
      </w:r>
      <w:r w:rsidR="00CE6AFD" w:rsidRPr="00D50FB5">
        <w:rPr>
          <w:rFonts w:eastAsia="ＭＳ 明朝"/>
          <w:sz w:val="22"/>
          <w:lang w:val="en-US"/>
        </w:rPr>
        <w:t xml:space="preserve"> and processing time at BS</w:t>
      </w:r>
      <w:r w:rsidR="00CE6AFD">
        <w:rPr>
          <w:rFonts w:eastAsia="ＭＳ 明朝"/>
          <w:sz w:val="22"/>
          <w:lang w:val="en-US"/>
        </w:rPr>
        <w:t>/UE</w:t>
      </w:r>
      <w:r w:rsidR="00CE6AFD" w:rsidRPr="00D50FB5">
        <w:rPr>
          <w:rFonts w:eastAsia="ＭＳ 明朝"/>
          <w:sz w:val="22"/>
          <w:lang w:val="en-US"/>
        </w:rPr>
        <w:t xml:space="preserve"> side. </w:t>
      </w:r>
    </w:p>
    <w:p w14:paraId="4DA102FA" w14:textId="3F6CCFC9" w:rsidR="004774DB" w:rsidRDefault="004774DB" w:rsidP="00CE6AFD">
      <w:pPr>
        <w:spacing w:afterLines="50" w:after="120"/>
        <w:jc w:val="both"/>
        <w:rPr>
          <w:rFonts w:eastAsia="ＭＳ 明朝"/>
          <w:sz w:val="22"/>
          <w:lang w:val="en-US"/>
        </w:rPr>
      </w:pPr>
      <w:r>
        <w:rPr>
          <w:rFonts w:eastAsia="ＭＳ 明朝" w:hint="eastAsia"/>
          <w:sz w:val="22"/>
          <w:lang w:val="en-US"/>
        </w:rPr>
        <w:t xml:space="preserve">At the </w:t>
      </w:r>
      <w:r w:rsidR="00405C28">
        <w:rPr>
          <w:rFonts w:eastAsia="ＭＳ 明朝"/>
          <w:sz w:val="22"/>
          <w:lang w:val="en-US"/>
        </w:rPr>
        <w:t>last</w:t>
      </w:r>
      <w:r w:rsidR="00405C28">
        <w:rPr>
          <w:rFonts w:eastAsia="ＭＳ 明朝" w:hint="eastAsia"/>
          <w:sz w:val="22"/>
          <w:lang w:val="en-US"/>
        </w:rPr>
        <w:t xml:space="preserve"> </w:t>
      </w:r>
      <w:r>
        <w:rPr>
          <w:rFonts w:eastAsia="ＭＳ 明朝" w:hint="eastAsia"/>
          <w:sz w:val="22"/>
          <w:lang w:val="en-US"/>
        </w:rPr>
        <w:t xml:space="preserve">RAN1 meeting, </w:t>
      </w:r>
      <w:r>
        <w:rPr>
          <w:rFonts w:eastAsia="ＭＳ 明朝"/>
          <w:sz w:val="22"/>
          <w:lang w:val="en-US"/>
        </w:rPr>
        <w:t xml:space="preserve">it was agreed that the maximum number of HARQ processes for a carrier is 8 or 16. </w:t>
      </w:r>
      <w:r w:rsidR="00991473">
        <w:rPr>
          <w:rFonts w:eastAsia="ＭＳ 明朝"/>
          <w:sz w:val="22"/>
          <w:lang w:val="en-US"/>
        </w:rPr>
        <w:t>Considering the necessary processing time at either or both of BS and UE</w:t>
      </w:r>
      <w:r w:rsidR="00405C28">
        <w:rPr>
          <w:rFonts w:eastAsia="ＭＳ 明朝"/>
          <w:sz w:val="22"/>
          <w:lang w:val="en-US"/>
        </w:rPr>
        <w:t xml:space="preserve"> and various operational scenarios</w:t>
      </w:r>
      <w:r w:rsidR="00991473">
        <w:rPr>
          <w:rFonts w:eastAsia="ＭＳ 明朝"/>
          <w:sz w:val="22"/>
          <w:lang w:val="en-US"/>
        </w:rPr>
        <w:t>, w</w:t>
      </w:r>
      <w:r w:rsidR="00835018">
        <w:rPr>
          <w:rFonts w:eastAsia="ＭＳ 明朝"/>
          <w:sz w:val="22"/>
          <w:lang w:val="en-US"/>
        </w:rPr>
        <w:t xml:space="preserve">e consider the value should be </w:t>
      </w:r>
      <w:r w:rsidR="00991473">
        <w:rPr>
          <w:rFonts w:eastAsia="ＭＳ 明朝"/>
          <w:sz w:val="22"/>
          <w:lang w:val="en-US"/>
        </w:rPr>
        <w:t>16</w:t>
      </w:r>
      <w:r w:rsidR="00D34136">
        <w:rPr>
          <w:rFonts w:eastAsia="ＭＳ 明朝"/>
          <w:sz w:val="22"/>
          <w:lang w:val="en-US"/>
        </w:rPr>
        <w:t xml:space="preserve"> [2]</w:t>
      </w:r>
      <w:r w:rsidR="00991473">
        <w:rPr>
          <w:rFonts w:eastAsia="ＭＳ 明朝"/>
          <w:sz w:val="22"/>
          <w:lang w:val="en-US"/>
        </w:rPr>
        <w:t>. However, there was a concern raised at the last RAN1 meeting: maximum HARQ processes of 16 requires too large soft-buffer for a NR carrier.</w:t>
      </w:r>
    </w:p>
    <w:p w14:paraId="1DD6CC9F" w14:textId="0B33AAF8" w:rsidR="00991473" w:rsidRDefault="00991473" w:rsidP="00CE6AFD">
      <w:pPr>
        <w:spacing w:afterLines="50" w:after="120"/>
        <w:jc w:val="both"/>
        <w:rPr>
          <w:rFonts w:eastAsia="ＭＳ 明朝"/>
          <w:sz w:val="22"/>
          <w:lang w:val="en-US"/>
        </w:rPr>
      </w:pPr>
      <w:r>
        <w:rPr>
          <w:rFonts w:eastAsia="ＭＳ 明朝"/>
          <w:sz w:val="22"/>
          <w:lang w:val="en-US"/>
        </w:rPr>
        <w:t xml:space="preserve">In general, the soft-buffer stores the soft bits of a code block upon decoding failure, so that the soft bits can be utilized for HARQ combining when the code block is re-transmitted. </w:t>
      </w:r>
      <w:r w:rsidR="00BC4FDB">
        <w:rPr>
          <w:rFonts w:eastAsia="ＭＳ 明朝"/>
          <w:sz w:val="22"/>
          <w:lang w:val="en-US"/>
        </w:rPr>
        <w:t>Note that there must be an instantaneous buffer for decoding</w:t>
      </w:r>
      <w:r w:rsidR="00405C28">
        <w:rPr>
          <w:rFonts w:eastAsia="ＭＳ 明朝"/>
          <w:sz w:val="22"/>
          <w:lang w:val="en-US"/>
        </w:rPr>
        <w:t>,</w:t>
      </w:r>
      <w:r w:rsidR="00BC4FDB">
        <w:rPr>
          <w:rFonts w:eastAsia="ＭＳ 明朝"/>
          <w:sz w:val="22"/>
          <w:lang w:val="en-US"/>
        </w:rPr>
        <w:t xml:space="preserve"> separately from the soft-buffer</w:t>
      </w:r>
      <w:r w:rsidR="00405C28">
        <w:rPr>
          <w:rFonts w:eastAsia="ＭＳ 明朝"/>
          <w:sz w:val="22"/>
          <w:lang w:val="en-US"/>
        </w:rPr>
        <w:t xml:space="preserve"> storing the soft bits upon decoding failure.</w:t>
      </w:r>
      <w:r w:rsidR="00BC4FDB">
        <w:rPr>
          <w:rFonts w:eastAsia="ＭＳ 明朝"/>
          <w:sz w:val="22"/>
          <w:lang w:val="en-US"/>
        </w:rPr>
        <w:t xml:space="preserve"> </w:t>
      </w:r>
      <w:r w:rsidR="00405C28">
        <w:rPr>
          <w:rFonts w:eastAsia="ＭＳ 明朝"/>
          <w:sz w:val="22"/>
          <w:lang w:val="en-US"/>
        </w:rPr>
        <w:t>H</w:t>
      </w:r>
      <w:r w:rsidR="00BC4FDB">
        <w:rPr>
          <w:rFonts w:eastAsia="ＭＳ 明朝"/>
          <w:sz w:val="22"/>
          <w:lang w:val="en-US"/>
        </w:rPr>
        <w:t>ence, decoding process itself can be carried out even without soft-buffer. As the soft-buffer size becomes larger, the HARQ combining gain improves. On the other hand, limited soft-buffer size can still offer HARQ com</w:t>
      </w:r>
      <w:r w:rsidR="00D501B3">
        <w:rPr>
          <w:rFonts w:eastAsia="ＭＳ 明朝"/>
          <w:sz w:val="22"/>
          <w:lang w:val="en-US"/>
        </w:rPr>
        <w:t xml:space="preserve">bining gain especially when Chase combining is performed. It is not clear yet how much performance degradation is observed if only limited part of </w:t>
      </w:r>
      <w:r w:rsidR="00405C28">
        <w:rPr>
          <w:rFonts w:eastAsia="ＭＳ 明朝"/>
          <w:sz w:val="22"/>
          <w:lang w:val="en-US"/>
        </w:rPr>
        <w:t xml:space="preserve">a </w:t>
      </w:r>
      <w:r w:rsidR="00D501B3">
        <w:rPr>
          <w:rFonts w:eastAsia="ＭＳ 明朝"/>
          <w:sz w:val="22"/>
          <w:lang w:val="en-US"/>
        </w:rPr>
        <w:t>code block is able to be stored in the soft-buffer. As long as performance degradation is negligible, soft-buffer size can be smaller compared to full size; for example, it may be feasible to define soft-buffer size for 8 HARQ processes, while the actual maximum number of HARQ processes could be 16.</w:t>
      </w:r>
    </w:p>
    <w:p w14:paraId="50E89047" w14:textId="2B420542" w:rsidR="00D501B3" w:rsidRPr="00D501B3" w:rsidRDefault="00D501B3" w:rsidP="00CE6AFD">
      <w:pPr>
        <w:spacing w:afterLines="50" w:after="120"/>
        <w:jc w:val="both"/>
        <w:rPr>
          <w:rFonts w:eastAsia="ＭＳ 明朝"/>
          <w:b/>
          <w:sz w:val="22"/>
          <w:u w:val="single"/>
          <w:lang w:val="en-US"/>
        </w:rPr>
      </w:pPr>
      <w:r w:rsidRPr="00D501B3">
        <w:rPr>
          <w:rFonts w:eastAsia="ＭＳ 明朝"/>
          <w:b/>
          <w:sz w:val="22"/>
          <w:u w:val="single"/>
          <w:lang w:val="en-US"/>
        </w:rPr>
        <w:t>Proposal 1:</w:t>
      </w:r>
    </w:p>
    <w:p w14:paraId="1ED06CA7" w14:textId="7D6D7169" w:rsidR="00D501B3" w:rsidRDefault="00D501B3" w:rsidP="00D501B3">
      <w:pPr>
        <w:pStyle w:val="afc"/>
        <w:numPr>
          <w:ilvl w:val="0"/>
          <w:numId w:val="16"/>
        </w:numPr>
        <w:spacing w:afterLines="50" w:after="120"/>
        <w:ind w:leftChars="0"/>
        <w:jc w:val="both"/>
        <w:rPr>
          <w:rFonts w:eastAsia="ＭＳ 明朝"/>
          <w:i/>
          <w:sz w:val="22"/>
          <w:lang w:val="en-US"/>
        </w:rPr>
      </w:pPr>
      <w:r w:rsidRPr="00D501B3">
        <w:rPr>
          <w:rFonts w:eastAsia="ＭＳ 明朝" w:hint="eastAsia"/>
          <w:i/>
          <w:sz w:val="22"/>
          <w:lang w:val="en-US"/>
        </w:rPr>
        <w:t>Investigate and evaluate the impact of limiting</w:t>
      </w:r>
      <w:r w:rsidRPr="00D501B3">
        <w:rPr>
          <w:rFonts w:eastAsia="ＭＳ 明朝"/>
          <w:i/>
          <w:sz w:val="22"/>
          <w:lang w:val="en-US"/>
        </w:rPr>
        <w:t>/smaller</w:t>
      </w:r>
      <w:r w:rsidRPr="00D501B3">
        <w:rPr>
          <w:rFonts w:eastAsia="ＭＳ 明朝" w:hint="eastAsia"/>
          <w:i/>
          <w:sz w:val="22"/>
          <w:lang w:val="en-US"/>
        </w:rPr>
        <w:t xml:space="preserve"> soft-buffer size</w:t>
      </w:r>
      <w:r w:rsidRPr="00D501B3">
        <w:rPr>
          <w:rFonts w:eastAsia="ＭＳ 明朝"/>
          <w:i/>
          <w:sz w:val="22"/>
          <w:lang w:val="en-US"/>
        </w:rPr>
        <w:t>.</w:t>
      </w:r>
      <w:r w:rsidRPr="00D501B3">
        <w:rPr>
          <w:rFonts w:eastAsia="ＭＳ 明朝" w:hint="eastAsia"/>
          <w:i/>
          <w:sz w:val="22"/>
          <w:lang w:val="en-US"/>
        </w:rPr>
        <w:t xml:space="preserve"> </w:t>
      </w:r>
    </w:p>
    <w:p w14:paraId="6AA4B3EA" w14:textId="74066699" w:rsidR="00D501B3" w:rsidRPr="00D501B3" w:rsidRDefault="00D501B3" w:rsidP="00D501B3">
      <w:pPr>
        <w:pStyle w:val="afc"/>
        <w:numPr>
          <w:ilvl w:val="1"/>
          <w:numId w:val="16"/>
        </w:numPr>
        <w:spacing w:afterLines="50" w:after="120"/>
        <w:ind w:leftChars="0"/>
        <w:jc w:val="both"/>
        <w:rPr>
          <w:rFonts w:eastAsia="ＭＳ 明朝"/>
          <w:i/>
          <w:sz w:val="22"/>
          <w:lang w:val="en-US"/>
        </w:rPr>
      </w:pPr>
      <w:r>
        <w:rPr>
          <w:rFonts w:eastAsia="ＭＳ 明朝"/>
          <w:i/>
          <w:sz w:val="22"/>
          <w:lang w:val="en-US"/>
        </w:rPr>
        <w:t xml:space="preserve">Especially for </w:t>
      </w:r>
      <w:r w:rsidR="00405C28">
        <w:rPr>
          <w:rFonts w:eastAsia="ＭＳ 明朝"/>
          <w:i/>
          <w:sz w:val="22"/>
          <w:lang w:val="en-US"/>
        </w:rPr>
        <w:t xml:space="preserve">focusing on </w:t>
      </w:r>
      <w:r>
        <w:rPr>
          <w:rFonts w:eastAsia="ＭＳ 明朝"/>
          <w:i/>
          <w:sz w:val="22"/>
          <w:lang w:val="en-US"/>
        </w:rPr>
        <w:t xml:space="preserve">the case where </w:t>
      </w:r>
      <w:r w:rsidR="00405C28">
        <w:rPr>
          <w:rFonts w:eastAsia="ＭＳ 明朝"/>
          <w:i/>
          <w:sz w:val="22"/>
          <w:lang w:val="en-US"/>
        </w:rPr>
        <w:t xml:space="preserve">the </w:t>
      </w:r>
      <w:r>
        <w:rPr>
          <w:rFonts w:eastAsia="ＭＳ 明朝"/>
          <w:i/>
          <w:sz w:val="22"/>
          <w:lang w:val="en-US"/>
        </w:rPr>
        <w:t>soft-buffer size is defined for up to 8 HARQ processes, while the actual number of HARQ processes of the carrier is 16.</w:t>
      </w:r>
    </w:p>
    <w:p w14:paraId="3E035829" w14:textId="1D93851A" w:rsidR="00E010AC" w:rsidRDefault="00E010AC" w:rsidP="00CE6AFD">
      <w:pPr>
        <w:spacing w:afterLines="50" w:after="120"/>
        <w:jc w:val="both"/>
        <w:rPr>
          <w:rFonts w:eastAsia="ＭＳ 明朝"/>
          <w:sz w:val="22"/>
          <w:lang w:val="en-US"/>
        </w:rPr>
      </w:pPr>
    </w:p>
    <w:p w14:paraId="1D90AA89" w14:textId="58328FFC" w:rsidR="00D501B3" w:rsidRPr="005D0A85" w:rsidRDefault="00D501B3" w:rsidP="00D501B3">
      <w:pPr>
        <w:pStyle w:val="1"/>
        <w:numPr>
          <w:ilvl w:val="0"/>
          <w:numId w:val="5"/>
        </w:numPr>
        <w:spacing w:after="120"/>
        <w:jc w:val="both"/>
        <w:rPr>
          <w:b/>
          <w:lang w:val="en-US"/>
        </w:rPr>
      </w:pPr>
      <w:r>
        <w:rPr>
          <w:b/>
          <w:lang w:val="en-US"/>
        </w:rPr>
        <w:t xml:space="preserve">Soft-buffer </w:t>
      </w:r>
      <w:r w:rsidR="00405C28">
        <w:rPr>
          <w:b/>
          <w:lang w:val="en-US"/>
        </w:rPr>
        <w:t xml:space="preserve">management </w:t>
      </w:r>
      <w:r>
        <w:rPr>
          <w:b/>
          <w:lang w:val="en-US"/>
        </w:rPr>
        <w:t>across NR and LTE carriers</w:t>
      </w:r>
    </w:p>
    <w:p w14:paraId="77080E99" w14:textId="77777777" w:rsidR="00D501B3" w:rsidRDefault="00D501B3" w:rsidP="00D501B3">
      <w:pPr>
        <w:spacing w:afterLines="50" w:after="120"/>
        <w:jc w:val="both"/>
        <w:rPr>
          <w:rFonts w:eastAsia="ＭＳ 明朝"/>
          <w:sz w:val="22"/>
          <w:lang w:val="en-US"/>
        </w:rPr>
      </w:pPr>
      <w:r>
        <w:rPr>
          <w:rFonts w:eastAsia="ＭＳ 明朝" w:hint="eastAsia"/>
          <w:sz w:val="22"/>
          <w:lang w:val="en-US"/>
        </w:rPr>
        <w:t xml:space="preserve">For LTE, the UE category is defined for the RAT only. </w:t>
      </w:r>
      <w:r>
        <w:rPr>
          <w:rFonts w:eastAsia="ＭＳ 明朝"/>
          <w:sz w:val="22"/>
          <w:lang w:val="en-US"/>
        </w:rPr>
        <w:t>Introduction of carrier aggregation or dual connectivity does not change the structure of UE categor</w:t>
      </w:r>
      <w:r>
        <w:rPr>
          <w:rFonts w:eastAsia="ＭＳ 明朝" w:hint="eastAsia"/>
          <w:sz w:val="22"/>
          <w:lang w:val="en-US"/>
        </w:rPr>
        <w:t>izatio</w:t>
      </w:r>
      <w:r>
        <w:rPr>
          <w:rFonts w:eastAsia="ＭＳ 明朝"/>
          <w:sz w:val="22"/>
          <w:lang w:val="en-US"/>
        </w:rPr>
        <w:t xml:space="preserve">n framework. For CA, just adding new UE categories to support the newly identified peak data rate(s). For DC, existing UE categories are used, while eNBs exchange </w:t>
      </w:r>
      <w:r>
        <w:rPr>
          <w:rFonts w:eastAsia="ＭＳ 明朝"/>
          <w:sz w:val="22"/>
          <w:lang w:val="en-US"/>
        </w:rPr>
        <w:lastRenderedPageBreak/>
        <w:t>the information of the UE category for the given UE, and split the total number of DL/UL-SCH transport block bits transmitted/received within a TTI over the two cell-groups, so that the UE capability is not exceeded.</w:t>
      </w:r>
    </w:p>
    <w:p w14:paraId="0B24FAA6" w14:textId="77777777" w:rsidR="00D501B3" w:rsidRDefault="00D501B3" w:rsidP="00D501B3">
      <w:pPr>
        <w:spacing w:afterLines="50" w:after="120"/>
        <w:jc w:val="both"/>
        <w:rPr>
          <w:rFonts w:eastAsia="ＭＳ 明朝"/>
          <w:sz w:val="22"/>
          <w:lang w:val="en-US"/>
        </w:rPr>
      </w:pPr>
      <w:r>
        <w:rPr>
          <w:rFonts w:eastAsia="ＭＳ 明朝"/>
          <w:sz w:val="22"/>
          <w:lang w:val="en-US"/>
        </w:rPr>
        <w:t>For NR initial phase, LTE-NR dual connectivity will be supported. For this case, it is not clear whether a UE category will be defined across two RATs, or a UE category will be defined per RAT. Same as RAN1 did at LTE DC specification work in Rel.12, RAN1 should give some feedback on this issue to RAN2, especially in terms of “t</w:t>
      </w:r>
      <w:r w:rsidRPr="00F14E82">
        <w:rPr>
          <w:rFonts w:eastAsia="ＭＳ 明朝"/>
          <w:sz w:val="22"/>
          <w:lang w:val="en-US"/>
        </w:rPr>
        <w:t>otal number of soft channel bits</w:t>
      </w:r>
      <w:r>
        <w:rPr>
          <w:rFonts w:eastAsia="ＭＳ 明朝"/>
          <w:sz w:val="22"/>
          <w:lang w:val="en-US"/>
        </w:rPr>
        <w:t>”. The total number of soft channel bits is defined by the necessary soft buffer size derived from the maximum number of HARQ processes, TB size, and the coding rate. Following two options are found:</w:t>
      </w:r>
    </w:p>
    <w:p w14:paraId="24B0578C" w14:textId="77777777" w:rsidR="00D501B3" w:rsidRPr="00AA61F6" w:rsidRDefault="00D501B3" w:rsidP="00D501B3">
      <w:pPr>
        <w:spacing w:afterLines="50" w:after="120"/>
        <w:jc w:val="both"/>
        <w:rPr>
          <w:rFonts w:eastAsia="ＭＳ 明朝"/>
          <w:sz w:val="22"/>
          <w:u w:val="single"/>
          <w:lang w:val="en-US"/>
        </w:rPr>
      </w:pPr>
      <w:r w:rsidRPr="00AA61F6">
        <w:rPr>
          <w:rFonts w:eastAsia="ＭＳ 明朝"/>
          <w:sz w:val="22"/>
          <w:u w:val="single"/>
          <w:lang w:val="en-US"/>
        </w:rPr>
        <w:t>Option 1: Soft-buffer sizes are defined for LTE operation and NR operation, respectively.</w:t>
      </w:r>
    </w:p>
    <w:p w14:paraId="1C1B53E7" w14:textId="77777777" w:rsidR="00D501B3" w:rsidRPr="00AA61F6" w:rsidRDefault="00D501B3" w:rsidP="00D501B3">
      <w:pPr>
        <w:spacing w:afterLines="50" w:after="120"/>
        <w:jc w:val="both"/>
        <w:rPr>
          <w:rFonts w:eastAsia="ＭＳ 明朝"/>
          <w:sz w:val="22"/>
          <w:u w:val="single"/>
          <w:lang w:val="en-US"/>
        </w:rPr>
      </w:pPr>
      <w:r w:rsidRPr="00AA61F6">
        <w:rPr>
          <w:rFonts w:eastAsia="ＭＳ 明朝"/>
          <w:sz w:val="22"/>
          <w:u w:val="single"/>
          <w:lang w:val="en-US"/>
        </w:rPr>
        <w:t>Option 2: Soft-buffer size is defined as the sum of LTE and NR, and the soft-buffer is shared by LTE and NR in semi-static or dynamic manner.</w:t>
      </w:r>
    </w:p>
    <w:p w14:paraId="5F6E87AD" w14:textId="77777777" w:rsidR="00D501B3" w:rsidRDefault="00D501B3" w:rsidP="00D501B3">
      <w:pPr>
        <w:spacing w:afterLines="50" w:after="120"/>
        <w:jc w:val="both"/>
        <w:rPr>
          <w:rFonts w:eastAsia="ＭＳ 明朝"/>
          <w:sz w:val="22"/>
          <w:lang w:val="en-US"/>
        </w:rPr>
      </w:pPr>
    </w:p>
    <w:p w14:paraId="2E57F1FB" w14:textId="77777777" w:rsidR="00D501B3" w:rsidRDefault="00D501B3" w:rsidP="00D501B3">
      <w:pPr>
        <w:spacing w:afterLines="50" w:after="120"/>
        <w:jc w:val="both"/>
        <w:rPr>
          <w:rFonts w:eastAsia="ＭＳ 明朝"/>
          <w:sz w:val="22"/>
          <w:lang w:val="en-US"/>
        </w:rPr>
      </w:pPr>
      <w:r>
        <w:rPr>
          <w:rFonts w:eastAsia="ＭＳ 明朝" w:hint="eastAsia"/>
          <w:sz w:val="22"/>
          <w:lang w:val="en-US"/>
        </w:rPr>
        <w:t xml:space="preserve">Note that during </w:t>
      </w:r>
      <w:r>
        <w:rPr>
          <w:rFonts w:eastAsia="ＭＳ 明朝"/>
          <w:sz w:val="22"/>
          <w:lang w:val="en-US"/>
        </w:rPr>
        <w:t>study item phase, RAN1 shared preliminary thoughts with RAN2 in the LS reply [] as following. It is time to identify details of soft-buffer sharing/split.</w:t>
      </w:r>
    </w:p>
    <w:tbl>
      <w:tblPr>
        <w:tblStyle w:val="afa"/>
        <w:tblW w:w="0" w:type="auto"/>
        <w:tblLook w:val="04A0" w:firstRow="1" w:lastRow="0" w:firstColumn="1" w:lastColumn="0" w:noHBand="0" w:noVBand="1"/>
      </w:tblPr>
      <w:tblGrid>
        <w:gridCol w:w="10170"/>
      </w:tblGrid>
      <w:tr w:rsidR="00D501B3" w14:paraId="7B40DB6D" w14:textId="77777777" w:rsidTr="00AA61F6">
        <w:tc>
          <w:tcPr>
            <w:tcW w:w="10170" w:type="dxa"/>
          </w:tcPr>
          <w:p w14:paraId="7EEB06DE" w14:textId="77777777" w:rsidR="00D501B3" w:rsidRPr="002B250A" w:rsidRDefault="00D501B3" w:rsidP="00AA61F6">
            <w:pPr>
              <w:spacing w:afterLines="50" w:after="120"/>
              <w:jc w:val="both"/>
              <w:rPr>
                <w:rFonts w:eastAsia="ＭＳ 明朝"/>
                <w:i/>
                <w:sz w:val="22"/>
              </w:rPr>
            </w:pPr>
            <w:r w:rsidRPr="002B250A">
              <w:rPr>
                <w:rFonts w:eastAsia="ＭＳ 明朝"/>
                <w:i/>
                <w:sz w:val="22"/>
              </w:rPr>
              <w:t>Q2: Is dynamic sharing of HARQ soft buffer feasible between LTE and NR or will the total number of soft-channel bits be semi-statically split between LTE and NR?</w:t>
            </w:r>
          </w:p>
          <w:p w14:paraId="197366F1" w14:textId="77777777" w:rsidR="00D501B3" w:rsidRPr="00AA61F6" w:rsidRDefault="00D501B3" w:rsidP="00AA61F6">
            <w:pPr>
              <w:spacing w:afterLines="50" w:after="120"/>
              <w:jc w:val="both"/>
              <w:rPr>
                <w:rFonts w:eastAsia="ＭＳ 明朝"/>
                <w:sz w:val="22"/>
              </w:rPr>
            </w:pPr>
            <w:r w:rsidRPr="002B250A">
              <w:rPr>
                <w:rFonts w:eastAsia="ＭＳ 明朝"/>
                <w:sz w:val="22"/>
              </w:rPr>
              <w:t>A2: Semi-static sharing of the HARQ soft buffer (As opposed to fixed allocation of soft memory between LTE and NR) may be feasible in some UE architectures. RAN1 has not investigated the feasibility of fully dynamic HARQ soft buffer sharing.</w:t>
            </w:r>
          </w:p>
        </w:tc>
      </w:tr>
    </w:tbl>
    <w:p w14:paraId="022EE76D" w14:textId="77777777" w:rsidR="00D501B3" w:rsidRDefault="00D501B3" w:rsidP="00D501B3">
      <w:pPr>
        <w:spacing w:afterLines="50" w:after="120"/>
        <w:jc w:val="both"/>
        <w:rPr>
          <w:rFonts w:eastAsia="ＭＳ 明朝"/>
          <w:sz w:val="22"/>
          <w:lang w:val="en-US"/>
        </w:rPr>
      </w:pPr>
    </w:p>
    <w:p w14:paraId="5C70F9C4" w14:textId="77777777" w:rsidR="00D501B3" w:rsidRPr="002D4363" w:rsidRDefault="00D501B3" w:rsidP="00D501B3">
      <w:pPr>
        <w:spacing w:afterLines="50" w:after="120"/>
        <w:jc w:val="both"/>
        <w:rPr>
          <w:rFonts w:eastAsia="ＭＳ 明朝"/>
          <w:b/>
          <w:sz w:val="22"/>
          <w:u w:val="single"/>
          <w:lang w:val="en-US"/>
        </w:rPr>
      </w:pPr>
      <w:r>
        <w:rPr>
          <w:rFonts w:eastAsia="ＭＳ 明朝"/>
          <w:b/>
          <w:sz w:val="22"/>
          <w:u w:val="single"/>
          <w:lang w:val="en-US"/>
        </w:rPr>
        <w:t>Proposal 2</w:t>
      </w:r>
      <w:r w:rsidRPr="002D4363">
        <w:rPr>
          <w:rFonts w:eastAsia="ＭＳ 明朝"/>
          <w:b/>
          <w:sz w:val="22"/>
          <w:u w:val="single"/>
          <w:lang w:val="en-US"/>
        </w:rPr>
        <w:t>:</w:t>
      </w:r>
    </w:p>
    <w:p w14:paraId="752AC4BF" w14:textId="77777777" w:rsidR="00D501B3" w:rsidRDefault="00D501B3" w:rsidP="00D501B3">
      <w:pPr>
        <w:pStyle w:val="afc"/>
        <w:numPr>
          <w:ilvl w:val="0"/>
          <w:numId w:val="17"/>
        </w:numPr>
        <w:spacing w:afterLines="50" w:after="120"/>
        <w:ind w:leftChars="0"/>
        <w:jc w:val="both"/>
        <w:rPr>
          <w:rFonts w:eastAsia="ＭＳ 明朝"/>
          <w:i/>
          <w:sz w:val="22"/>
          <w:lang w:val="en-US"/>
        </w:rPr>
      </w:pPr>
      <w:r>
        <w:rPr>
          <w:rFonts w:eastAsia="ＭＳ 明朝"/>
          <w:i/>
          <w:sz w:val="22"/>
          <w:lang w:val="en-US"/>
        </w:rPr>
        <w:t>Identify soft-buffer definition for the LTE-NR dual connectivity, and inform RAN1’s understanding to RAN2.</w:t>
      </w:r>
    </w:p>
    <w:p w14:paraId="04CABD7D" w14:textId="77777777" w:rsidR="00D501B3" w:rsidRPr="00F14E82" w:rsidRDefault="00D501B3" w:rsidP="00D501B3">
      <w:pPr>
        <w:pStyle w:val="afc"/>
        <w:numPr>
          <w:ilvl w:val="1"/>
          <w:numId w:val="17"/>
        </w:numPr>
        <w:spacing w:afterLines="50" w:after="120"/>
        <w:ind w:leftChars="0"/>
        <w:jc w:val="both"/>
        <w:rPr>
          <w:rFonts w:eastAsia="ＭＳ 明朝"/>
          <w:i/>
          <w:sz w:val="22"/>
          <w:lang w:val="en-US"/>
        </w:rPr>
      </w:pPr>
      <w:r w:rsidRPr="00F14E82">
        <w:rPr>
          <w:rFonts w:eastAsia="ＭＳ 明朝"/>
          <w:i/>
          <w:sz w:val="22"/>
          <w:lang w:val="en-US"/>
        </w:rPr>
        <w:t>Option 1: Soft-buffer sizes are defined for LTE operation and NR operation, respectively.</w:t>
      </w:r>
    </w:p>
    <w:p w14:paraId="70D41FAD" w14:textId="77777777" w:rsidR="00D501B3" w:rsidRPr="002D4363" w:rsidRDefault="00D501B3" w:rsidP="00D501B3">
      <w:pPr>
        <w:pStyle w:val="afc"/>
        <w:numPr>
          <w:ilvl w:val="1"/>
          <w:numId w:val="17"/>
        </w:numPr>
        <w:spacing w:afterLines="50" w:after="120"/>
        <w:ind w:leftChars="0"/>
        <w:jc w:val="both"/>
        <w:rPr>
          <w:rFonts w:eastAsia="ＭＳ 明朝"/>
          <w:i/>
          <w:sz w:val="22"/>
          <w:lang w:val="en-US"/>
        </w:rPr>
      </w:pPr>
      <w:r w:rsidRPr="00F14E82">
        <w:rPr>
          <w:rFonts w:eastAsia="ＭＳ 明朝"/>
          <w:i/>
          <w:sz w:val="22"/>
          <w:lang w:val="en-US"/>
        </w:rPr>
        <w:t>Option 2: Soft-buffer size is defined as the sum of LTE and NR, and the soft-buffer is shared by LTE and NR in semi-static or dynamic manner.</w:t>
      </w:r>
    </w:p>
    <w:p w14:paraId="11AA46F4" w14:textId="77777777" w:rsidR="00F76440" w:rsidRPr="00D501B3" w:rsidRDefault="00F76440" w:rsidP="00D26EB1">
      <w:pPr>
        <w:spacing w:afterLines="50" w:after="120"/>
        <w:jc w:val="both"/>
        <w:rPr>
          <w:rFonts w:eastAsia="ＭＳ 明朝"/>
          <w:sz w:val="22"/>
          <w:lang w:val="en-US"/>
        </w:rPr>
      </w:pPr>
    </w:p>
    <w:p w14:paraId="43FED1B2" w14:textId="77777777" w:rsidR="00287F93" w:rsidRPr="00927ED1" w:rsidRDefault="00287F93"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73A1D113" w:rsidR="00895E2D" w:rsidRDefault="00D501B3" w:rsidP="00386F11">
      <w:pPr>
        <w:widowControl w:val="0"/>
        <w:spacing w:after="120"/>
        <w:jc w:val="both"/>
        <w:rPr>
          <w:sz w:val="22"/>
          <w:szCs w:val="22"/>
          <w:lang w:val="en-US"/>
        </w:rPr>
      </w:pPr>
      <w:r>
        <w:rPr>
          <w:rFonts w:hint="eastAsia"/>
          <w:sz w:val="22"/>
          <w:szCs w:val="22"/>
          <w:lang w:val="en-US"/>
        </w:rPr>
        <w:t>In this contribution, we discussed soft-buffer aspects and made following proposals:</w:t>
      </w:r>
    </w:p>
    <w:p w14:paraId="469A540F" w14:textId="77777777" w:rsidR="00D501B3" w:rsidRPr="00D501B3" w:rsidRDefault="00D501B3" w:rsidP="00D501B3">
      <w:pPr>
        <w:spacing w:afterLines="50" w:after="120"/>
        <w:jc w:val="both"/>
        <w:rPr>
          <w:rFonts w:eastAsia="ＭＳ 明朝"/>
          <w:b/>
          <w:sz w:val="22"/>
          <w:u w:val="single"/>
          <w:lang w:val="en-US"/>
        </w:rPr>
      </w:pPr>
      <w:r w:rsidRPr="00D501B3">
        <w:rPr>
          <w:rFonts w:eastAsia="ＭＳ 明朝"/>
          <w:b/>
          <w:sz w:val="22"/>
          <w:u w:val="single"/>
          <w:lang w:val="en-US"/>
        </w:rPr>
        <w:t>Proposal 1:</w:t>
      </w:r>
    </w:p>
    <w:p w14:paraId="29979E7D" w14:textId="77777777" w:rsidR="00D501B3" w:rsidRDefault="00D501B3" w:rsidP="00D501B3">
      <w:pPr>
        <w:pStyle w:val="afc"/>
        <w:numPr>
          <w:ilvl w:val="0"/>
          <w:numId w:val="16"/>
        </w:numPr>
        <w:spacing w:afterLines="50" w:after="120"/>
        <w:ind w:leftChars="0"/>
        <w:jc w:val="both"/>
        <w:rPr>
          <w:rFonts w:eastAsia="ＭＳ 明朝"/>
          <w:i/>
          <w:sz w:val="22"/>
          <w:lang w:val="en-US"/>
        </w:rPr>
      </w:pPr>
      <w:r w:rsidRPr="00D501B3">
        <w:rPr>
          <w:rFonts w:eastAsia="ＭＳ 明朝" w:hint="eastAsia"/>
          <w:i/>
          <w:sz w:val="22"/>
          <w:lang w:val="en-US"/>
        </w:rPr>
        <w:t>Investigate and evaluate the impact of limiting</w:t>
      </w:r>
      <w:r w:rsidRPr="00D501B3">
        <w:rPr>
          <w:rFonts w:eastAsia="ＭＳ 明朝"/>
          <w:i/>
          <w:sz w:val="22"/>
          <w:lang w:val="en-US"/>
        </w:rPr>
        <w:t>/smaller</w:t>
      </w:r>
      <w:r w:rsidRPr="00D501B3">
        <w:rPr>
          <w:rFonts w:eastAsia="ＭＳ 明朝" w:hint="eastAsia"/>
          <w:i/>
          <w:sz w:val="22"/>
          <w:lang w:val="en-US"/>
        </w:rPr>
        <w:t xml:space="preserve"> soft-buffer size</w:t>
      </w:r>
      <w:r w:rsidRPr="00D501B3">
        <w:rPr>
          <w:rFonts w:eastAsia="ＭＳ 明朝"/>
          <w:i/>
          <w:sz w:val="22"/>
          <w:lang w:val="en-US"/>
        </w:rPr>
        <w:t>.</w:t>
      </w:r>
      <w:r w:rsidRPr="00D501B3">
        <w:rPr>
          <w:rFonts w:eastAsia="ＭＳ 明朝" w:hint="eastAsia"/>
          <w:i/>
          <w:sz w:val="22"/>
          <w:lang w:val="en-US"/>
        </w:rPr>
        <w:t xml:space="preserve"> </w:t>
      </w:r>
    </w:p>
    <w:p w14:paraId="38A7EF7C" w14:textId="77777777" w:rsidR="00D501B3" w:rsidRPr="00D501B3" w:rsidRDefault="00D501B3" w:rsidP="00D501B3">
      <w:pPr>
        <w:pStyle w:val="afc"/>
        <w:numPr>
          <w:ilvl w:val="1"/>
          <w:numId w:val="16"/>
        </w:numPr>
        <w:spacing w:afterLines="50" w:after="120"/>
        <w:ind w:leftChars="0"/>
        <w:jc w:val="both"/>
        <w:rPr>
          <w:rFonts w:eastAsia="ＭＳ 明朝"/>
          <w:i/>
          <w:sz w:val="22"/>
          <w:lang w:val="en-US"/>
        </w:rPr>
      </w:pPr>
      <w:r>
        <w:rPr>
          <w:rFonts w:eastAsia="ＭＳ 明朝"/>
          <w:i/>
          <w:sz w:val="22"/>
          <w:lang w:val="en-US"/>
        </w:rPr>
        <w:t>Especially for the case where soft-buffer size is defined for up to 8 HARQ processes, while the actual number of HARQ processes of the carrier is 16.</w:t>
      </w:r>
    </w:p>
    <w:p w14:paraId="323DE7F3" w14:textId="77777777" w:rsidR="00D501B3" w:rsidRPr="002D4363" w:rsidRDefault="00D501B3" w:rsidP="00D501B3">
      <w:pPr>
        <w:spacing w:afterLines="50" w:after="120"/>
        <w:jc w:val="both"/>
        <w:rPr>
          <w:rFonts w:eastAsia="ＭＳ 明朝"/>
          <w:b/>
          <w:sz w:val="22"/>
          <w:u w:val="single"/>
          <w:lang w:val="en-US"/>
        </w:rPr>
      </w:pPr>
      <w:r>
        <w:rPr>
          <w:rFonts w:eastAsia="ＭＳ 明朝"/>
          <w:b/>
          <w:sz w:val="22"/>
          <w:u w:val="single"/>
          <w:lang w:val="en-US"/>
        </w:rPr>
        <w:t>Proposal 2</w:t>
      </w:r>
      <w:r w:rsidRPr="002D4363">
        <w:rPr>
          <w:rFonts w:eastAsia="ＭＳ 明朝"/>
          <w:b/>
          <w:sz w:val="22"/>
          <w:u w:val="single"/>
          <w:lang w:val="en-US"/>
        </w:rPr>
        <w:t>:</w:t>
      </w:r>
    </w:p>
    <w:p w14:paraId="0BF82AA0" w14:textId="77777777" w:rsidR="00D501B3" w:rsidRDefault="00D501B3" w:rsidP="00D501B3">
      <w:pPr>
        <w:pStyle w:val="afc"/>
        <w:numPr>
          <w:ilvl w:val="0"/>
          <w:numId w:val="17"/>
        </w:numPr>
        <w:spacing w:afterLines="50" w:after="120"/>
        <w:ind w:leftChars="0"/>
        <w:jc w:val="both"/>
        <w:rPr>
          <w:rFonts w:eastAsia="ＭＳ 明朝"/>
          <w:i/>
          <w:sz w:val="22"/>
          <w:lang w:val="en-US"/>
        </w:rPr>
      </w:pPr>
      <w:r>
        <w:rPr>
          <w:rFonts w:eastAsia="ＭＳ 明朝"/>
          <w:i/>
          <w:sz w:val="22"/>
          <w:lang w:val="en-US"/>
        </w:rPr>
        <w:t>Identify soft-buffer definition for the LTE-NR dual connectivity, and inform RAN1’s understanding to RAN2.</w:t>
      </w:r>
    </w:p>
    <w:p w14:paraId="4A87EB54" w14:textId="77777777" w:rsidR="00D501B3" w:rsidRPr="00F14E82" w:rsidRDefault="00D501B3" w:rsidP="00D501B3">
      <w:pPr>
        <w:pStyle w:val="afc"/>
        <w:numPr>
          <w:ilvl w:val="1"/>
          <w:numId w:val="17"/>
        </w:numPr>
        <w:spacing w:afterLines="50" w:after="120"/>
        <w:ind w:leftChars="0"/>
        <w:jc w:val="both"/>
        <w:rPr>
          <w:rFonts w:eastAsia="ＭＳ 明朝"/>
          <w:i/>
          <w:sz w:val="22"/>
          <w:lang w:val="en-US"/>
        </w:rPr>
      </w:pPr>
      <w:r w:rsidRPr="00F14E82">
        <w:rPr>
          <w:rFonts w:eastAsia="ＭＳ 明朝"/>
          <w:i/>
          <w:sz w:val="22"/>
          <w:lang w:val="en-US"/>
        </w:rPr>
        <w:t>Option 1: Soft-buffer sizes are defined for LTE operation and NR operation, respectively.</w:t>
      </w:r>
    </w:p>
    <w:p w14:paraId="5B5BDFFD" w14:textId="77777777" w:rsidR="00D501B3" w:rsidRPr="002D4363" w:rsidRDefault="00D501B3" w:rsidP="00D501B3">
      <w:pPr>
        <w:pStyle w:val="afc"/>
        <w:numPr>
          <w:ilvl w:val="1"/>
          <w:numId w:val="17"/>
        </w:numPr>
        <w:spacing w:afterLines="50" w:after="120"/>
        <w:ind w:leftChars="0"/>
        <w:jc w:val="both"/>
        <w:rPr>
          <w:rFonts w:eastAsia="ＭＳ 明朝"/>
          <w:i/>
          <w:sz w:val="22"/>
          <w:lang w:val="en-US"/>
        </w:rPr>
      </w:pPr>
      <w:r w:rsidRPr="00F14E82">
        <w:rPr>
          <w:rFonts w:eastAsia="ＭＳ 明朝"/>
          <w:i/>
          <w:sz w:val="22"/>
          <w:lang w:val="en-US"/>
        </w:rPr>
        <w:t>Option 2: Soft-buffer size is defined as the sum of LTE and NR, and the soft-buffer is shared by LTE and NR in semi-static or dynamic manner.</w:t>
      </w:r>
    </w:p>
    <w:p w14:paraId="21DEBC37" w14:textId="77777777" w:rsidR="00D501B3" w:rsidRPr="00D501B3" w:rsidRDefault="00D501B3" w:rsidP="00386F11">
      <w:pPr>
        <w:widowControl w:val="0"/>
        <w:spacing w:after="120"/>
        <w:jc w:val="both"/>
        <w:rPr>
          <w:sz w:val="22"/>
          <w:szCs w:val="22"/>
          <w:lang w:val="en-US"/>
        </w:rPr>
      </w:pPr>
    </w:p>
    <w:p w14:paraId="6EB13424" w14:textId="77777777" w:rsidR="00D00A4F" w:rsidRPr="007B3BA0" w:rsidRDefault="00D00A4F" w:rsidP="00D00A4F">
      <w:pPr>
        <w:pStyle w:val="1"/>
        <w:spacing w:after="120"/>
        <w:jc w:val="both"/>
        <w:rPr>
          <w:b/>
          <w:lang w:val="en-US"/>
        </w:rPr>
      </w:pPr>
      <w:r w:rsidRPr="007B3BA0">
        <w:rPr>
          <w:b/>
          <w:lang w:val="en-US"/>
        </w:rPr>
        <w:t>References</w:t>
      </w:r>
    </w:p>
    <w:p w14:paraId="1F2A31E8" w14:textId="66C26D33" w:rsidR="00D00A4F" w:rsidRDefault="00D00A4F" w:rsidP="00D00A4F">
      <w:pPr>
        <w:widowControl w:val="0"/>
        <w:numPr>
          <w:ilvl w:val="0"/>
          <w:numId w:val="18"/>
        </w:numPr>
        <w:spacing w:after="120"/>
        <w:jc w:val="both"/>
        <w:rPr>
          <w:sz w:val="22"/>
          <w:szCs w:val="22"/>
          <w:lang w:val="en-US"/>
        </w:rPr>
      </w:pPr>
      <w:r>
        <w:rPr>
          <w:rFonts w:hint="eastAsia"/>
          <w:sz w:val="22"/>
          <w:szCs w:val="22"/>
          <w:lang w:val="en-US"/>
        </w:rPr>
        <w:t xml:space="preserve">R1-1701487, </w:t>
      </w:r>
      <w:r>
        <w:rPr>
          <w:sz w:val="22"/>
          <w:szCs w:val="22"/>
          <w:lang w:val="en-US"/>
        </w:rPr>
        <w:t>‘Response LS on UE capability aspects for LTE/NR tight interworking,’ RAN1.</w:t>
      </w:r>
    </w:p>
    <w:p w14:paraId="4BE4277A" w14:textId="26CA909D" w:rsidR="00D34136" w:rsidRDefault="00D34136" w:rsidP="00D00A4F">
      <w:pPr>
        <w:widowControl w:val="0"/>
        <w:numPr>
          <w:ilvl w:val="0"/>
          <w:numId w:val="18"/>
        </w:numPr>
        <w:spacing w:after="120"/>
        <w:jc w:val="both"/>
        <w:rPr>
          <w:sz w:val="22"/>
          <w:szCs w:val="22"/>
          <w:lang w:val="en-US"/>
        </w:rPr>
      </w:pPr>
      <w:r>
        <w:rPr>
          <w:sz w:val="22"/>
          <w:szCs w:val="22"/>
          <w:lang w:val="en-US"/>
        </w:rPr>
        <w:lastRenderedPageBreak/>
        <w:t>R1-17</w:t>
      </w:r>
      <w:r w:rsidR="00405C28">
        <w:rPr>
          <w:sz w:val="22"/>
          <w:szCs w:val="22"/>
          <w:lang w:val="en-US"/>
        </w:rPr>
        <w:t>11117</w:t>
      </w:r>
      <w:r>
        <w:rPr>
          <w:sz w:val="22"/>
          <w:szCs w:val="22"/>
          <w:lang w:val="en-US"/>
        </w:rPr>
        <w:t>, ‘</w:t>
      </w:r>
      <w:r w:rsidR="00405C28">
        <w:rPr>
          <w:sz w:val="22"/>
          <w:szCs w:val="22"/>
          <w:lang w:val="en-US"/>
        </w:rPr>
        <w:t>Processing time and HARQ process number for NR</w:t>
      </w:r>
      <w:r>
        <w:rPr>
          <w:sz w:val="22"/>
          <w:szCs w:val="22"/>
          <w:lang w:val="en-US"/>
        </w:rPr>
        <w:t>’, NTT DOCOMO, INC.</w:t>
      </w:r>
    </w:p>
    <w:p w14:paraId="19376196" w14:textId="77777777" w:rsidR="00895E2D" w:rsidRPr="00D00A4F"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362A9" w14:textId="77777777" w:rsidR="00553F70" w:rsidRDefault="00553F70">
      <w:r>
        <w:separator/>
      </w:r>
    </w:p>
  </w:endnote>
  <w:endnote w:type="continuationSeparator" w:id="0">
    <w:p w14:paraId="2086E589" w14:textId="77777777" w:rsidR="00553F70" w:rsidRDefault="00553F70">
      <w:r>
        <w:continuationSeparator/>
      </w:r>
    </w:p>
  </w:endnote>
  <w:endnote w:type="continuationNotice" w:id="1">
    <w:p w14:paraId="6543AC40" w14:textId="77777777" w:rsidR="00553F70" w:rsidRDefault="00553F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EAABF3F" w:rsidR="00992C1D" w:rsidRPr="00000924" w:rsidRDefault="00992C1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1680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1680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E0E51" w14:textId="77777777" w:rsidR="00553F70" w:rsidRDefault="00553F70">
      <w:r>
        <w:separator/>
      </w:r>
    </w:p>
  </w:footnote>
  <w:footnote w:type="continuationSeparator" w:id="0">
    <w:p w14:paraId="500AB29D" w14:textId="77777777" w:rsidR="00553F70" w:rsidRDefault="00553F70">
      <w:r>
        <w:continuationSeparator/>
      </w:r>
    </w:p>
  </w:footnote>
  <w:footnote w:type="continuationNotice" w:id="1">
    <w:p w14:paraId="6D09FBCA" w14:textId="77777777" w:rsidR="00553F70" w:rsidRDefault="00553F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D20B34"/>
    <w:multiLevelType w:val="hybridMultilevel"/>
    <w:tmpl w:val="44503064"/>
    <w:lvl w:ilvl="0" w:tplc="06E4C6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38A6AEB"/>
    <w:multiLevelType w:val="hybridMultilevel"/>
    <w:tmpl w:val="6C684D5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51658ED"/>
    <w:multiLevelType w:val="hybridMultilevel"/>
    <w:tmpl w:val="EC5E88FC"/>
    <w:lvl w:ilvl="0" w:tplc="423EA47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D7331AA"/>
    <w:multiLevelType w:val="hybridMultilevel"/>
    <w:tmpl w:val="B958D9A2"/>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D9900282">
      <w:start w:val="3"/>
      <w:numFmt w:val="bullet"/>
      <w:lvlText w:val="-"/>
      <w:lvlJc w:val="left"/>
      <w:pPr>
        <w:ind w:left="3600" w:hanging="360"/>
      </w:pPr>
      <w:rPr>
        <w:rFonts w:ascii="Times New Roman" w:eastAsia="ＭＳ 明朝" w:hAnsi="Times New Roman" w:cs="Times New Roman"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DD02BF"/>
    <w:multiLevelType w:val="hybridMultilevel"/>
    <w:tmpl w:val="7FF69C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17"/>
  </w:num>
  <w:num w:numId="5">
    <w:abstractNumId w:val="9"/>
  </w:num>
  <w:num w:numId="6">
    <w:abstractNumId w:val="5"/>
  </w:num>
  <w:num w:numId="7">
    <w:abstractNumId w:val="1"/>
  </w:num>
  <w:num w:numId="8">
    <w:abstractNumId w:val="10"/>
  </w:num>
  <w:num w:numId="9">
    <w:abstractNumId w:val="13"/>
  </w:num>
  <w:num w:numId="10">
    <w:abstractNumId w:val="8"/>
  </w:num>
  <w:num w:numId="11">
    <w:abstractNumId w:val="15"/>
  </w:num>
  <w:num w:numId="12">
    <w:abstractNumId w:val="2"/>
  </w:num>
  <w:num w:numId="13">
    <w:abstractNumId w:val="14"/>
  </w:num>
  <w:num w:numId="14">
    <w:abstractNumId w:val="3"/>
  </w:num>
  <w:num w:numId="15">
    <w:abstractNumId w:val="12"/>
  </w:num>
  <w:num w:numId="16">
    <w:abstractNumId w:val="6"/>
  </w:num>
  <w:num w:numId="17">
    <w:abstractNumId w:val="16"/>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425"/>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96C"/>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E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ED7"/>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32A"/>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AA8"/>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09"/>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28"/>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4DB"/>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11D"/>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12"/>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3F70"/>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C61"/>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6C0"/>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DF"/>
    <w:rsid w:val="00713767"/>
    <w:rsid w:val="00713D53"/>
    <w:rsid w:val="00713DA7"/>
    <w:rsid w:val="00713E3C"/>
    <w:rsid w:val="00713EBC"/>
    <w:rsid w:val="00713ECC"/>
    <w:rsid w:val="0071531E"/>
    <w:rsid w:val="00715620"/>
    <w:rsid w:val="0071581D"/>
    <w:rsid w:val="0071583F"/>
    <w:rsid w:val="00715AC1"/>
    <w:rsid w:val="0071672E"/>
    <w:rsid w:val="0071680B"/>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C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018"/>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42"/>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D3C"/>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473"/>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8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556"/>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4FDB"/>
    <w:rsid w:val="00BC657B"/>
    <w:rsid w:val="00BC72F0"/>
    <w:rsid w:val="00BC77CB"/>
    <w:rsid w:val="00BC787F"/>
    <w:rsid w:val="00BC78BE"/>
    <w:rsid w:val="00BC7B23"/>
    <w:rsid w:val="00BC7D42"/>
    <w:rsid w:val="00BC7F14"/>
    <w:rsid w:val="00BD0B22"/>
    <w:rsid w:val="00BD0E12"/>
    <w:rsid w:val="00BD1179"/>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523"/>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C3E"/>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0C5A"/>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C5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FD"/>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0A4F"/>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36"/>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1B3"/>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2FCA"/>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55C"/>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0AC"/>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440"/>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B98"/>
    <w:rsid w:val="00FA41C2"/>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6009">
      <w:bodyDiv w:val="1"/>
      <w:marLeft w:val="0"/>
      <w:marRight w:val="0"/>
      <w:marTop w:val="0"/>
      <w:marBottom w:val="0"/>
      <w:divBdr>
        <w:top w:val="none" w:sz="0" w:space="0" w:color="auto"/>
        <w:left w:val="none" w:sz="0" w:space="0" w:color="auto"/>
        <w:bottom w:val="none" w:sz="0" w:space="0" w:color="auto"/>
        <w:right w:val="none" w:sz="0" w:space="0" w:color="auto"/>
      </w:divBdr>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432849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3224A-7E22-465F-A66A-A5208952D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889</Words>
  <Characters>5072</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2017-06-17T03:58:00Z</dcterms:created>
  <dcterms:modified xsi:type="dcterms:W3CDTF">2017-06-17T03:58:00Z</dcterms:modified>
</cp:coreProperties>
</file>