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D0D69" w14:textId="1090E7B0" w:rsidR="00A100B1" w:rsidRPr="008E27E1" w:rsidRDefault="003965CA" w:rsidP="00A100B1">
      <w:pPr>
        <w:pStyle w:val="a7"/>
        <w:rPr>
          <w:color w:val="000000" w:themeColor="text1"/>
          <w:sz w:val="24"/>
        </w:rPr>
      </w:pPr>
      <w:bookmarkStart w:id="0" w:name="_Hlk481683341"/>
      <w:bookmarkStart w:id="1" w:name="OLE_LINK3"/>
      <w:bookmarkStart w:id="2" w:name="_GoBack"/>
      <w:bookmarkEnd w:id="0"/>
      <w:bookmarkEnd w:id="2"/>
      <w:r>
        <w:rPr>
          <w:color w:val="000000" w:themeColor="text1"/>
          <w:sz w:val="24"/>
        </w:rPr>
        <w:t>3GPP TSG RAN WG1</w:t>
      </w:r>
      <w:r w:rsidR="00110C3D">
        <w:rPr>
          <w:color w:val="000000" w:themeColor="text1"/>
          <w:sz w:val="24"/>
        </w:rPr>
        <w:t>NR Ad-Hoc#2</w:t>
      </w:r>
      <w:r w:rsidR="00A100B1" w:rsidRPr="008E27E1">
        <w:rPr>
          <w:color w:val="000000" w:themeColor="text1"/>
          <w:sz w:val="24"/>
        </w:rPr>
        <w:tab/>
      </w:r>
      <w:r w:rsidR="00A100B1" w:rsidRPr="008E27E1">
        <w:rPr>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A100B1" w:rsidRPr="008E27E1">
        <w:rPr>
          <w:rFonts w:hint="eastAsia"/>
          <w:color w:val="000000" w:themeColor="text1"/>
          <w:sz w:val="24"/>
        </w:rPr>
        <w:tab/>
      </w:r>
      <w:r w:rsidR="00826051">
        <w:rPr>
          <w:color w:val="000000" w:themeColor="text1"/>
          <w:sz w:val="24"/>
        </w:rPr>
        <w:t>R1-17</w:t>
      </w:r>
      <w:r w:rsidR="00860182">
        <w:rPr>
          <w:color w:val="000000" w:themeColor="text1"/>
          <w:sz w:val="24"/>
        </w:rPr>
        <w:t>11095</w:t>
      </w:r>
    </w:p>
    <w:p w14:paraId="740843D1" w14:textId="5C4AF9A6" w:rsidR="003965CA" w:rsidRPr="009513AC" w:rsidRDefault="003A77DB" w:rsidP="003965CA">
      <w:pPr>
        <w:tabs>
          <w:tab w:val="center" w:pos="4536"/>
          <w:tab w:val="right" w:pos="9072"/>
        </w:tabs>
        <w:rPr>
          <w:rFonts w:ascii="Arial" w:eastAsia="ＭＳ 明朝" w:hAnsi="Arial" w:cs="Arial"/>
          <w:b/>
          <w:bCs/>
          <w:sz w:val="28"/>
        </w:rPr>
      </w:pPr>
      <w:bookmarkStart w:id="3" w:name="OLE_LINK1"/>
      <w:r>
        <w:rPr>
          <w:rFonts w:ascii="Arial" w:eastAsia="ＭＳ 明朝" w:hAnsi="Arial"/>
          <w:b/>
          <w:color w:val="000000" w:themeColor="text1"/>
        </w:rPr>
        <w:t>Qingdao</w:t>
      </w:r>
      <w:r w:rsidR="003965CA" w:rsidRPr="00D210BD">
        <w:rPr>
          <w:rFonts w:ascii="Arial" w:eastAsia="ＭＳ 明朝" w:hAnsi="Arial"/>
          <w:b/>
          <w:color w:val="000000" w:themeColor="text1"/>
        </w:rPr>
        <w:t xml:space="preserve">, </w:t>
      </w:r>
      <w:r w:rsidR="003965CA" w:rsidRPr="00D210BD">
        <w:rPr>
          <w:rFonts w:ascii="Arial" w:eastAsia="ＭＳ 明朝" w:hAnsi="Arial" w:hint="eastAsia"/>
          <w:b/>
          <w:color w:val="000000" w:themeColor="text1"/>
        </w:rPr>
        <w:t>P.R. China</w:t>
      </w:r>
      <w:r w:rsidR="003965CA" w:rsidRPr="00D210BD">
        <w:rPr>
          <w:rFonts w:ascii="Arial" w:eastAsia="ＭＳ 明朝" w:hAnsi="Arial"/>
          <w:b/>
          <w:color w:val="000000" w:themeColor="text1"/>
        </w:rPr>
        <w:t xml:space="preserve"> </w:t>
      </w:r>
      <w:r>
        <w:rPr>
          <w:rFonts w:ascii="Arial" w:eastAsia="ＭＳ 明朝" w:hAnsi="Arial"/>
          <w:b/>
          <w:color w:val="000000" w:themeColor="text1"/>
        </w:rPr>
        <w:t>27</w:t>
      </w:r>
      <w:r w:rsidR="003965CA" w:rsidRPr="00D210BD">
        <w:rPr>
          <w:rFonts w:ascii="Arial" w:eastAsia="ＭＳ 明朝" w:hAnsi="Arial" w:hint="eastAsia"/>
          <w:b/>
          <w:color w:val="000000" w:themeColor="text1"/>
        </w:rPr>
        <w:t xml:space="preserve">th </w:t>
      </w:r>
      <w:r w:rsidR="003965CA" w:rsidRPr="00D210BD">
        <w:rPr>
          <w:rFonts w:ascii="Arial" w:eastAsia="ＭＳ 明朝" w:hAnsi="Arial"/>
          <w:b/>
          <w:color w:val="000000" w:themeColor="text1"/>
        </w:rPr>
        <w:t xml:space="preserve">– </w:t>
      </w:r>
      <w:r>
        <w:rPr>
          <w:rFonts w:ascii="Arial" w:eastAsia="ＭＳ 明朝" w:hAnsi="Arial"/>
          <w:b/>
          <w:color w:val="000000" w:themeColor="text1"/>
        </w:rPr>
        <w:t>30</w:t>
      </w:r>
      <w:r w:rsidR="003965CA" w:rsidRPr="00D210BD">
        <w:rPr>
          <w:rFonts w:ascii="Arial" w:eastAsia="ＭＳ 明朝" w:hAnsi="Arial" w:hint="eastAsia"/>
          <w:b/>
          <w:color w:val="000000" w:themeColor="text1"/>
        </w:rPr>
        <w:t>th</w:t>
      </w:r>
      <w:r w:rsidR="003965CA" w:rsidRPr="00D210BD">
        <w:rPr>
          <w:rFonts w:ascii="Arial" w:eastAsia="ＭＳ 明朝" w:hAnsi="Arial"/>
          <w:b/>
          <w:color w:val="000000" w:themeColor="text1"/>
        </w:rPr>
        <w:t xml:space="preserve"> </w:t>
      </w:r>
      <w:r>
        <w:rPr>
          <w:rFonts w:ascii="Arial" w:eastAsia="ＭＳ 明朝" w:hAnsi="Arial"/>
          <w:b/>
          <w:color w:val="000000" w:themeColor="text1"/>
        </w:rPr>
        <w:t>June</w:t>
      </w:r>
      <w:r w:rsidR="003965CA" w:rsidRPr="00D210BD">
        <w:rPr>
          <w:rFonts w:ascii="Arial" w:eastAsia="ＭＳ 明朝" w:hAnsi="Arial"/>
          <w:b/>
          <w:color w:val="000000" w:themeColor="text1"/>
        </w:rPr>
        <w:t xml:space="preserve"> 201</w:t>
      </w:r>
      <w:r w:rsidR="003965CA" w:rsidRPr="00D210BD">
        <w:rPr>
          <w:rFonts w:ascii="Arial" w:eastAsia="ＭＳ 明朝" w:hAnsi="Arial" w:hint="eastAsia"/>
          <w:b/>
          <w:color w:val="000000" w:themeColor="text1"/>
        </w:rPr>
        <w:t>7</w:t>
      </w:r>
    </w:p>
    <w:bookmarkEnd w:id="3"/>
    <w:p w14:paraId="7C1E9E7C" w14:textId="77777777" w:rsidR="00A100B1" w:rsidRPr="003965CA" w:rsidRDefault="00A100B1" w:rsidP="00A100B1">
      <w:pPr>
        <w:pStyle w:val="a7"/>
        <w:rPr>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77777777"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4" w:name="OLE_LINK8"/>
      <w:bookmarkStart w:id="5" w:name="OLE_LINK9"/>
      <w:bookmarkStart w:id="6" w:name="OLE_LINK21"/>
      <w:bookmarkStart w:id="7" w:name="OLE_LINK22"/>
      <w:r w:rsidRPr="008E27E1">
        <w:rPr>
          <w:color w:val="000000" w:themeColor="text1"/>
          <w:sz w:val="24"/>
          <w:lang w:val="en-US"/>
        </w:rPr>
        <w:t xml:space="preserve">Views on </w:t>
      </w:r>
      <w:r w:rsidR="00E9477F" w:rsidRPr="008E27E1">
        <w:rPr>
          <w:rFonts w:hint="eastAsia"/>
          <w:color w:val="000000" w:themeColor="text1"/>
          <w:sz w:val="24"/>
          <w:lang w:val="en-US"/>
        </w:rPr>
        <w:t>contents</w:t>
      </w:r>
      <w:r w:rsidRPr="008E27E1">
        <w:rPr>
          <w:rFonts w:hint="eastAsia"/>
          <w:color w:val="000000" w:themeColor="text1"/>
          <w:sz w:val="24"/>
          <w:lang w:val="en-US"/>
        </w:rPr>
        <w:t xml:space="preserve"> </w:t>
      </w:r>
      <w:r w:rsidRPr="008E27E1">
        <w:rPr>
          <w:color w:val="000000" w:themeColor="text1"/>
          <w:sz w:val="24"/>
          <w:lang w:val="en-US"/>
        </w:rPr>
        <w:t>of group-common PDCCH</w:t>
      </w:r>
    </w:p>
    <w:bookmarkEnd w:id="4"/>
    <w:bookmarkEnd w:id="5"/>
    <w:bookmarkEnd w:id="6"/>
    <w:bookmarkEnd w:id="7"/>
    <w:p w14:paraId="43101E37" w14:textId="0ABABFBB"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8" w:name="Source"/>
      <w:bookmarkEnd w:id="8"/>
      <w:r w:rsidR="003A77DB">
        <w:rPr>
          <w:color w:val="000000" w:themeColor="text1"/>
          <w:sz w:val="24"/>
          <w:lang w:val="en-US"/>
        </w:rPr>
        <w:tab/>
        <w:t>5.1.3.1.4.2</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9" w:name="DocumentFor"/>
      <w:bookmarkEnd w:id="9"/>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0094CF6B" w14:textId="77777777" w:rsidR="008E3FC0" w:rsidRDefault="001D2A61" w:rsidP="008E3FC0">
      <w:pPr>
        <w:pStyle w:val="1"/>
        <w:numPr>
          <w:ilvl w:val="0"/>
          <w:numId w:val="6"/>
        </w:numPr>
        <w:spacing w:after="120"/>
        <w:jc w:val="both"/>
        <w:rPr>
          <w:b/>
          <w:color w:val="000000" w:themeColor="text1"/>
          <w:lang w:val="en-US"/>
        </w:rPr>
      </w:pPr>
      <w:r w:rsidRPr="008E27E1">
        <w:rPr>
          <w:rFonts w:hint="eastAsia"/>
          <w:b/>
          <w:color w:val="000000" w:themeColor="text1"/>
          <w:lang w:val="en-US"/>
        </w:rPr>
        <w:t>Introduction</w:t>
      </w:r>
    </w:p>
    <w:p w14:paraId="67E5E0CF" w14:textId="4FB16E0F" w:rsidR="005A3FBB" w:rsidRPr="00947B40" w:rsidRDefault="005A3FBB" w:rsidP="00947B40">
      <w:pPr>
        <w:spacing w:afterLines="50" w:after="120"/>
        <w:jc w:val="both"/>
        <w:rPr>
          <w:rFonts w:eastAsia="ＭＳ 明朝"/>
          <w:color w:val="000000" w:themeColor="text1"/>
          <w:sz w:val="22"/>
          <w:lang w:val="en-US"/>
        </w:rPr>
      </w:pPr>
      <w:r w:rsidRPr="00947B40">
        <w:rPr>
          <w:rFonts w:eastAsia="ＭＳ 明朝"/>
          <w:color w:val="000000" w:themeColor="text1"/>
          <w:sz w:val="22"/>
          <w:lang w:val="en-US"/>
        </w:rPr>
        <w:t>At the RAN1#Jan Ad-hoc meeting</w:t>
      </w:r>
      <w:r w:rsidR="00373F1C">
        <w:rPr>
          <w:rFonts w:eastAsia="ＭＳ 明朝"/>
          <w:color w:val="000000" w:themeColor="text1"/>
          <w:sz w:val="22"/>
          <w:lang w:val="en-US"/>
        </w:rPr>
        <w:t xml:space="preserve"> and RAN#89 meeting</w:t>
      </w:r>
      <w:r w:rsidRPr="00947B40">
        <w:rPr>
          <w:rFonts w:eastAsia="ＭＳ 明朝"/>
          <w:color w:val="000000" w:themeColor="text1"/>
          <w:sz w:val="22"/>
          <w:lang w:val="en-US"/>
        </w:rPr>
        <w:t xml:space="preserve">, the following agreements were achieved for </w:t>
      </w:r>
      <w:r w:rsidR="00F9671B" w:rsidRPr="00947B40">
        <w:rPr>
          <w:rFonts w:eastAsia="ＭＳ 明朝"/>
          <w:color w:val="000000" w:themeColor="text1"/>
          <w:sz w:val="22"/>
          <w:lang w:val="en-US"/>
        </w:rPr>
        <w:t>‘</w:t>
      </w:r>
      <w:r w:rsidRPr="00947B40">
        <w:rPr>
          <w:rFonts w:eastAsia="ＭＳ 明朝"/>
          <w:color w:val="000000" w:themeColor="text1"/>
          <w:sz w:val="22"/>
          <w:lang w:val="en-US"/>
        </w:rPr>
        <w:t>group common PDCCH</w:t>
      </w:r>
      <w:r w:rsidR="00F9671B" w:rsidRPr="00947B40">
        <w:rPr>
          <w:rFonts w:eastAsia="ＭＳ 明朝"/>
          <w:color w:val="000000" w:themeColor="text1"/>
          <w:sz w:val="22"/>
          <w:lang w:val="en-US"/>
        </w:rPr>
        <w:t>’</w:t>
      </w:r>
      <w:r w:rsidRPr="00D52E3B">
        <w:rPr>
          <w:rFonts w:eastAsia="ＭＳ 明朝"/>
          <w:sz w:val="22"/>
          <w:lang w:val="en-US"/>
        </w:rPr>
        <w:t xml:space="preserve"> [1]</w:t>
      </w:r>
      <w:r w:rsidR="00373F1C">
        <w:rPr>
          <w:rFonts w:eastAsia="ＭＳ 明朝"/>
          <w:sz w:val="22"/>
          <w:lang w:val="en-US"/>
        </w:rPr>
        <w:t>[2]</w:t>
      </w:r>
      <w:r w:rsidRPr="00947B40">
        <w:rPr>
          <w:rFonts w:eastAsia="ＭＳ 明朝"/>
          <w:color w:val="000000" w:themeColor="text1"/>
          <w:sz w:val="22"/>
          <w:lang w:val="en-US"/>
        </w:rPr>
        <w:t>:</w:t>
      </w:r>
    </w:p>
    <w:tbl>
      <w:tblPr>
        <w:tblStyle w:val="afa"/>
        <w:tblW w:w="0" w:type="auto"/>
        <w:tblLook w:val="04A0" w:firstRow="1" w:lastRow="0" w:firstColumn="1" w:lastColumn="0" w:noHBand="0" w:noVBand="1"/>
      </w:tblPr>
      <w:tblGrid>
        <w:gridCol w:w="10188"/>
      </w:tblGrid>
      <w:tr w:rsidR="00463C28" w:rsidRPr="00463C28" w14:paraId="5553253D" w14:textId="77777777" w:rsidTr="00463C28">
        <w:tc>
          <w:tcPr>
            <w:tcW w:w="10188" w:type="dxa"/>
          </w:tcPr>
          <w:p w14:paraId="6A1CFB6D" w14:textId="77777777" w:rsidR="00463C28" w:rsidRPr="00947B40" w:rsidRDefault="00463C28" w:rsidP="00463C28">
            <w:pPr>
              <w:ind w:leftChars="12" w:left="869" w:hanging="840"/>
              <w:rPr>
                <w:rFonts w:ascii="Times" w:eastAsia="Yu Gothic" w:hAnsi="Times" w:cs="Times"/>
                <w:sz w:val="22"/>
                <w:szCs w:val="22"/>
              </w:rPr>
            </w:pPr>
            <w:r w:rsidRPr="00947B40">
              <w:rPr>
                <w:rFonts w:ascii="Times" w:hAnsi="Times" w:cs="Times"/>
                <w:b/>
                <w:bCs/>
                <w:sz w:val="22"/>
                <w:szCs w:val="22"/>
                <w:highlight w:val="green"/>
                <w:u w:val="single"/>
              </w:rPr>
              <w:t>Agreements</w:t>
            </w:r>
            <w:r w:rsidR="00872438">
              <w:rPr>
                <w:rFonts w:ascii="Times" w:hAnsi="Times" w:cs="Times"/>
                <w:b/>
                <w:bCs/>
                <w:sz w:val="22"/>
                <w:szCs w:val="22"/>
                <w:highlight w:val="green"/>
                <w:u w:val="single"/>
              </w:rPr>
              <w:t xml:space="preserve"> at RAN1 #NR AH meeting</w:t>
            </w:r>
            <w:r w:rsidRPr="00947B40">
              <w:rPr>
                <w:rFonts w:ascii="Times" w:hAnsi="Times" w:cs="Times"/>
                <w:b/>
                <w:bCs/>
                <w:sz w:val="22"/>
                <w:szCs w:val="22"/>
                <w:highlight w:val="green"/>
                <w:u w:val="single"/>
              </w:rPr>
              <w:t>:</w:t>
            </w:r>
          </w:p>
          <w:p w14:paraId="63647208" w14:textId="77777777" w:rsidR="00463C28" w:rsidRPr="00947B40" w:rsidRDefault="00463C28" w:rsidP="00947B40">
            <w:pPr>
              <w:numPr>
                <w:ilvl w:val="0"/>
                <w:numId w:val="17"/>
              </w:numPr>
              <w:spacing w:after="0"/>
              <w:ind w:left="357" w:hanging="357"/>
              <w:rPr>
                <w:rFonts w:ascii="Times" w:hAnsi="Times" w:cs="Times"/>
                <w:sz w:val="22"/>
                <w:szCs w:val="22"/>
              </w:rPr>
            </w:pPr>
            <w:r w:rsidRPr="00947B40">
              <w:rPr>
                <w:rFonts w:ascii="Times" w:hAnsi="Times" w:cs="Times"/>
                <w:sz w:val="22"/>
                <w:szCs w:val="22"/>
              </w:rPr>
              <w:t>The staring position of downlink data in a slot can be explicitly and dynamically indicated to the UE.</w:t>
            </w:r>
            <w:r w:rsidRPr="00947B40">
              <w:rPr>
                <w:sz w:val="22"/>
                <w:szCs w:val="22"/>
              </w:rPr>
              <w:t xml:space="preserve"> </w:t>
            </w:r>
          </w:p>
          <w:p w14:paraId="1F778403" w14:textId="039EFD19" w:rsidR="00463C28" w:rsidRPr="00947B40" w:rsidRDefault="00463C28" w:rsidP="00947B40">
            <w:pPr>
              <w:numPr>
                <w:ilvl w:val="1"/>
                <w:numId w:val="16"/>
              </w:numPr>
              <w:spacing w:after="0"/>
              <w:rPr>
                <w:rFonts w:ascii="Times" w:hAnsi="Times" w:cs="Times"/>
                <w:sz w:val="22"/>
                <w:szCs w:val="22"/>
              </w:rPr>
            </w:pPr>
            <w:r w:rsidRPr="00947B40">
              <w:rPr>
                <w:rFonts w:ascii="Times" w:hAnsi="Times" w:cs="Times"/>
                <w:sz w:val="22"/>
                <w:szCs w:val="22"/>
              </w:rPr>
              <w:t>FFS: signa</w:t>
            </w:r>
            <w:r w:rsidR="00FD0A13">
              <w:rPr>
                <w:rFonts w:ascii="Times" w:hAnsi="Times" w:cs="Times"/>
                <w:sz w:val="22"/>
                <w:szCs w:val="22"/>
              </w:rPr>
              <w:t>l</w:t>
            </w:r>
            <w:r w:rsidRPr="00947B40">
              <w:rPr>
                <w:rFonts w:ascii="Times" w:hAnsi="Times" w:cs="Times"/>
                <w:sz w:val="22"/>
                <w:szCs w:val="22"/>
              </w:rPr>
              <w:t>led in the UE-specific DCI and/or a ‘group-common PDCCH’</w:t>
            </w:r>
          </w:p>
          <w:p w14:paraId="46053C81" w14:textId="232B1863" w:rsidR="00A27997" w:rsidRDefault="00463C28" w:rsidP="00FD0A13">
            <w:pPr>
              <w:numPr>
                <w:ilvl w:val="1"/>
                <w:numId w:val="16"/>
              </w:numPr>
              <w:spacing w:after="0"/>
              <w:rPr>
                <w:rFonts w:ascii="Times" w:hAnsi="Times" w:cs="Times"/>
                <w:sz w:val="22"/>
                <w:szCs w:val="22"/>
              </w:rPr>
            </w:pPr>
            <w:r w:rsidRPr="00947B40">
              <w:rPr>
                <w:rFonts w:ascii="Times" w:hAnsi="Times" w:cs="Times"/>
                <w:sz w:val="22"/>
                <w:szCs w:val="22"/>
              </w:rPr>
              <w:t>FFS: how and with what granularity the unused control resource set(s) can be used for data</w:t>
            </w:r>
          </w:p>
          <w:p w14:paraId="51EEEBDE" w14:textId="610C929F" w:rsidR="00463C28" w:rsidRPr="00947B40" w:rsidRDefault="00463C28" w:rsidP="00947B40">
            <w:pPr>
              <w:numPr>
                <w:ilvl w:val="0"/>
                <w:numId w:val="19"/>
              </w:numPr>
              <w:spacing w:after="0"/>
              <w:ind w:hanging="357"/>
              <w:jc w:val="both"/>
              <w:rPr>
                <w:rFonts w:ascii="Times" w:hAnsi="Times" w:cs="Times"/>
                <w:sz w:val="22"/>
                <w:szCs w:val="22"/>
              </w:rPr>
            </w:pPr>
            <w:r w:rsidRPr="00947B40">
              <w:rPr>
                <w:rFonts w:ascii="Times" w:hAnsi="Times" w:cs="Times"/>
                <w:sz w:val="22"/>
                <w:szCs w:val="22"/>
              </w:rPr>
              <w:t>‘Slot format related information’</w:t>
            </w:r>
            <w:r w:rsidRPr="00947B40">
              <w:rPr>
                <w:sz w:val="22"/>
                <w:szCs w:val="22"/>
              </w:rPr>
              <w:t xml:space="preserve"> </w:t>
            </w:r>
          </w:p>
          <w:p w14:paraId="55DB76AB" w14:textId="77777777" w:rsidR="00463C28" w:rsidRPr="00947B40" w:rsidRDefault="00463C28" w:rsidP="00947B40">
            <w:pPr>
              <w:numPr>
                <w:ilvl w:val="1"/>
                <w:numId w:val="19"/>
              </w:numPr>
              <w:spacing w:after="0"/>
              <w:ind w:hanging="357"/>
              <w:jc w:val="both"/>
              <w:rPr>
                <w:rFonts w:ascii="Times" w:hAnsi="Times" w:cs="Times"/>
                <w:sz w:val="22"/>
                <w:szCs w:val="22"/>
              </w:rPr>
            </w:pPr>
            <w:r w:rsidRPr="00947B40">
              <w:rPr>
                <w:rFonts w:ascii="Times" w:hAnsi="Times" w:cs="Times"/>
                <w:sz w:val="22"/>
                <w:szCs w:val="22"/>
              </w:rPr>
              <w:t>Information from which the UE can derive at least which symbols in a slot that are ‘DL’, ‘UL’ (for Rel-15), and ‘other’, respectively</w:t>
            </w:r>
          </w:p>
          <w:p w14:paraId="233C32F6" w14:textId="0F100026" w:rsidR="00A91E1D" w:rsidRPr="00327943" w:rsidRDefault="00463C28" w:rsidP="00327943">
            <w:pPr>
              <w:numPr>
                <w:ilvl w:val="1"/>
                <w:numId w:val="19"/>
              </w:numPr>
              <w:spacing w:after="0"/>
              <w:ind w:hanging="357"/>
              <w:jc w:val="both"/>
              <w:rPr>
                <w:rFonts w:ascii="Times" w:hAnsi="Times" w:cs="Times"/>
                <w:sz w:val="22"/>
                <w:szCs w:val="22"/>
              </w:rPr>
            </w:pPr>
            <w:r w:rsidRPr="00947B40">
              <w:rPr>
                <w:rFonts w:ascii="Times" w:hAnsi="Times" w:cs="Times"/>
                <w:sz w:val="22"/>
                <w:szCs w:val="22"/>
              </w:rPr>
              <w:t>FFS: if ‘other’ can be subdivided into ‘blank’, ‘sidelink’, etc</w:t>
            </w:r>
          </w:p>
          <w:p w14:paraId="369A0A17" w14:textId="1F2D2DA1" w:rsidR="00FD0A13" w:rsidRPr="00FD0A13" w:rsidRDefault="00FD0A13" w:rsidP="00327943">
            <w:pPr>
              <w:spacing w:before="240"/>
              <w:rPr>
                <w:rFonts w:ascii="Times" w:hAnsi="Times" w:cs="Times"/>
                <w:b/>
                <w:bCs/>
                <w:sz w:val="22"/>
                <w:szCs w:val="22"/>
                <w:highlight w:val="green"/>
                <w:u w:val="single"/>
              </w:rPr>
            </w:pPr>
            <w:r w:rsidRPr="00FD0A13">
              <w:rPr>
                <w:rFonts w:ascii="Times" w:hAnsi="Times" w:cs="Times" w:hint="eastAsia"/>
                <w:b/>
                <w:bCs/>
                <w:sz w:val="22"/>
                <w:szCs w:val="22"/>
                <w:highlight w:val="green"/>
                <w:u w:val="single"/>
              </w:rPr>
              <w:t>Agreements</w:t>
            </w:r>
            <w:r w:rsidRPr="00FD0A13">
              <w:rPr>
                <w:rFonts w:ascii="Times" w:hAnsi="Times" w:cs="Times"/>
                <w:b/>
                <w:bCs/>
                <w:sz w:val="22"/>
                <w:szCs w:val="22"/>
                <w:highlight w:val="green"/>
                <w:u w:val="single"/>
              </w:rPr>
              <w:t xml:space="preserve"> at RAN1#89 meeting</w:t>
            </w:r>
            <w:r w:rsidRPr="00FD0A13">
              <w:rPr>
                <w:rFonts w:ascii="Times" w:hAnsi="Times" w:cs="Times" w:hint="eastAsia"/>
                <w:b/>
                <w:bCs/>
                <w:sz w:val="22"/>
                <w:szCs w:val="22"/>
                <w:highlight w:val="green"/>
                <w:u w:val="single"/>
              </w:rPr>
              <w:t>:</w:t>
            </w:r>
          </w:p>
          <w:p w14:paraId="4E81EEB8" w14:textId="77777777" w:rsidR="00FD0A13" w:rsidRPr="00FD0A13" w:rsidRDefault="00FD0A13" w:rsidP="00FD0A13">
            <w:pPr>
              <w:numPr>
                <w:ilvl w:val="0"/>
                <w:numId w:val="31"/>
              </w:numPr>
              <w:spacing w:after="0"/>
              <w:ind w:hanging="357"/>
              <w:rPr>
                <w:rFonts w:ascii="Times" w:hAnsi="Times" w:cs="Times"/>
                <w:sz w:val="22"/>
                <w:szCs w:val="22"/>
              </w:rPr>
            </w:pPr>
            <w:r w:rsidRPr="00FD0A13">
              <w:rPr>
                <w:rFonts w:ascii="Times" w:hAnsi="Times" w:cs="Times"/>
                <w:sz w:val="22"/>
                <w:szCs w:val="22"/>
              </w:rPr>
              <w:t>The SFI transmitted in a group-common PDCCH can indicate the slot format related information for one or more slots</w:t>
            </w:r>
          </w:p>
          <w:p w14:paraId="69AFE4EE" w14:textId="77777777" w:rsidR="00FD0A13" w:rsidRPr="00FD0A13" w:rsidRDefault="00FD0A13" w:rsidP="00FD0A13">
            <w:pPr>
              <w:numPr>
                <w:ilvl w:val="1"/>
                <w:numId w:val="19"/>
              </w:numPr>
              <w:spacing w:after="0"/>
              <w:ind w:hanging="357"/>
              <w:jc w:val="both"/>
              <w:rPr>
                <w:rFonts w:ascii="Times" w:hAnsi="Times" w:cs="Times"/>
                <w:sz w:val="22"/>
                <w:szCs w:val="22"/>
              </w:rPr>
            </w:pPr>
            <w:r w:rsidRPr="00FD0A13">
              <w:rPr>
                <w:rFonts w:ascii="Times" w:hAnsi="Times" w:cs="Times"/>
                <w:sz w:val="22"/>
                <w:szCs w:val="22"/>
              </w:rPr>
              <w:t>The slot format related information informs the UEs of the number of slots and the slot format(s) related information of those slots</w:t>
            </w:r>
          </w:p>
          <w:p w14:paraId="1BEE615E" w14:textId="77777777" w:rsidR="00FD0A13" w:rsidRPr="00FD0A13" w:rsidRDefault="00FD0A13" w:rsidP="00FD0A13">
            <w:pPr>
              <w:numPr>
                <w:ilvl w:val="1"/>
                <w:numId w:val="19"/>
              </w:numPr>
              <w:spacing w:after="0"/>
              <w:ind w:hanging="357"/>
              <w:jc w:val="both"/>
              <w:rPr>
                <w:rFonts w:ascii="Times" w:hAnsi="Times" w:cs="Times"/>
                <w:sz w:val="22"/>
                <w:szCs w:val="22"/>
              </w:rPr>
            </w:pPr>
            <w:r w:rsidRPr="00FD0A13">
              <w:rPr>
                <w:rFonts w:ascii="Times" w:hAnsi="Times" w:cs="Times"/>
                <w:sz w:val="22"/>
                <w:szCs w:val="22"/>
              </w:rPr>
              <w:t>FFS: how to interpret the SFI when the UE is configured with multiple bandwidth parts</w:t>
            </w:r>
          </w:p>
          <w:p w14:paraId="231A2400" w14:textId="77777777" w:rsidR="00FD0A13" w:rsidRPr="00FD0A13" w:rsidRDefault="00FD0A13" w:rsidP="00FD0A13">
            <w:pPr>
              <w:numPr>
                <w:ilvl w:val="1"/>
                <w:numId w:val="19"/>
              </w:numPr>
              <w:spacing w:after="0"/>
              <w:ind w:hanging="357"/>
              <w:jc w:val="both"/>
              <w:rPr>
                <w:rFonts w:ascii="Times" w:hAnsi="Times" w:cs="Times"/>
                <w:sz w:val="22"/>
                <w:szCs w:val="22"/>
              </w:rPr>
            </w:pPr>
            <w:r w:rsidRPr="00FD0A13">
              <w:rPr>
                <w:rFonts w:ascii="Times" w:hAnsi="Times" w:cs="Times"/>
                <w:sz w:val="22"/>
                <w:szCs w:val="22"/>
              </w:rPr>
              <w:t>FFS: details for UE behaviour</w:t>
            </w:r>
          </w:p>
          <w:p w14:paraId="3CE3C71A" w14:textId="77777777" w:rsidR="00FD0A13" w:rsidRPr="00FD0A13" w:rsidRDefault="00FD0A13" w:rsidP="00FD0A13">
            <w:pPr>
              <w:numPr>
                <w:ilvl w:val="0"/>
                <w:numId w:val="31"/>
              </w:numPr>
              <w:ind w:hanging="357"/>
              <w:rPr>
                <w:rFonts w:ascii="Times" w:hAnsi="Times" w:cs="Times"/>
                <w:sz w:val="22"/>
                <w:szCs w:val="22"/>
              </w:rPr>
            </w:pPr>
            <w:r w:rsidRPr="00FD0A13">
              <w:rPr>
                <w:rFonts w:ascii="Times" w:hAnsi="Times" w:cs="Times"/>
                <w:sz w:val="22"/>
                <w:szCs w:val="22"/>
              </w:rPr>
              <w:t>FFS: A UE may be configured to monitor for at most one group-common PDCCH carrying slot format related information (SFI) in a slot</w:t>
            </w:r>
          </w:p>
          <w:p w14:paraId="20D95118" w14:textId="77777777" w:rsidR="00FD0A13" w:rsidRPr="00FD0A13" w:rsidRDefault="00FD0A13" w:rsidP="00FD0A13">
            <w:pPr>
              <w:numPr>
                <w:ilvl w:val="0"/>
                <w:numId w:val="32"/>
              </w:numPr>
              <w:spacing w:after="0"/>
              <w:ind w:hanging="357"/>
              <w:rPr>
                <w:rFonts w:ascii="Times" w:hAnsi="Times" w:cs="Times"/>
                <w:sz w:val="22"/>
                <w:szCs w:val="22"/>
              </w:rPr>
            </w:pPr>
            <w:r w:rsidRPr="00FD0A13">
              <w:rPr>
                <w:rFonts w:ascii="Times" w:hAnsi="Times" w:cs="Times"/>
                <w:sz w:val="22"/>
                <w:szCs w:val="22"/>
              </w:rPr>
              <w:t>In ‘Slot format related information’, ‘other’ is at least:</w:t>
            </w:r>
          </w:p>
          <w:p w14:paraId="4C08C2A3" w14:textId="77777777" w:rsidR="00FD0A13" w:rsidRPr="00FD0A13" w:rsidRDefault="00FD0A13" w:rsidP="00FD0A13">
            <w:pPr>
              <w:numPr>
                <w:ilvl w:val="1"/>
                <w:numId w:val="19"/>
              </w:numPr>
              <w:spacing w:after="0"/>
              <w:ind w:hanging="357"/>
              <w:jc w:val="both"/>
              <w:rPr>
                <w:rFonts w:ascii="Times" w:hAnsi="Times" w:cs="Times"/>
                <w:sz w:val="22"/>
                <w:szCs w:val="22"/>
              </w:rPr>
            </w:pPr>
            <w:r w:rsidRPr="00FD0A13">
              <w:rPr>
                <w:rFonts w:ascii="Times" w:hAnsi="Times" w:cs="Times"/>
                <w:sz w:val="22"/>
                <w:szCs w:val="22"/>
              </w:rPr>
              <w:t>‘Unknown’</w:t>
            </w:r>
          </w:p>
          <w:p w14:paraId="071FB48B" w14:textId="77777777" w:rsidR="00FD0A13" w:rsidRPr="00FD0A13" w:rsidRDefault="00FD0A13" w:rsidP="00FD0A13">
            <w:pPr>
              <w:numPr>
                <w:ilvl w:val="1"/>
                <w:numId w:val="32"/>
              </w:numPr>
              <w:spacing w:after="0"/>
              <w:rPr>
                <w:rFonts w:ascii="Times" w:hAnsi="Times" w:cs="Times"/>
                <w:sz w:val="22"/>
                <w:szCs w:val="22"/>
              </w:rPr>
            </w:pPr>
            <w:r w:rsidRPr="00FD0A13">
              <w:rPr>
                <w:rFonts w:ascii="Times" w:hAnsi="Times" w:cs="Times"/>
                <w:sz w:val="22"/>
                <w:szCs w:val="22"/>
              </w:rPr>
              <w:t>UE shall not assume anything for the symbol with ‘Unknown’ by this information</w:t>
            </w:r>
          </w:p>
          <w:p w14:paraId="665DFD5A" w14:textId="77777777" w:rsidR="00FD0A13" w:rsidRPr="00FD0A13" w:rsidRDefault="00FD0A13" w:rsidP="00FD0A13">
            <w:pPr>
              <w:numPr>
                <w:ilvl w:val="1"/>
                <w:numId w:val="32"/>
              </w:numPr>
              <w:spacing w:after="0"/>
              <w:rPr>
                <w:rFonts w:ascii="Times" w:hAnsi="Times" w:cs="Times"/>
                <w:sz w:val="22"/>
                <w:szCs w:val="22"/>
              </w:rPr>
            </w:pPr>
            <w:r w:rsidRPr="00FD0A13">
              <w:rPr>
                <w:rFonts w:ascii="Times" w:hAnsi="Times" w:cs="Times"/>
                <w:sz w:val="22"/>
                <w:szCs w:val="22"/>
              </w:rPr>
              <w:t>FFS: UE behavior when the UE receives the information for the symbol from SFI and broadcast DCI and/or UE-specific DCI and/or semi-static signaling/configuration</w:t>
            </w:r>
          </w:p>
          <w:p w14:paraId="3ECD6320" w14:textId="77777777" w:rsidR="00FD0A13" w:rsidRPr="00FD0A13" w:rsidRDefault="00FD0A13" w:rsidP="00FD0A13">
            <w:pPr>
              <w:numPr>
                <w:ilvl w:val="1"/>
                <w:numId w:val="19"/>
              </w:numPr>
              <w:spacing w:after="0"/>
              <w:ind w:hanging="357"/>
              <w:jc w:val="both"/>
              <w:rPr>
                <w:rFonts w:ascii="Times" w:hAnsi="Times" w:cs="Times"/>
                <w:sz w:val="22"/>
                <w:szCs w:val="22"/>
              </w:rPr>
            </w:pPr>
            <w:r w:rsidRPr="00FD0A13">
              <w:rPr>
                <w:rFonts w:ascii="Times" w:hAnsi="Times" w:cs="Times"/>
                <w:sz w:val="22"/>
                <w:szCs w:val="22"/>
              </w:rPr>
              <w:t>FFS: ‘Empty’</w:t>
            </w:r>
          </w:p>
          <w:p w14:paraId="68609F02" w14:textId="77777777" w:rsidR="00FD0A13" w:rsidRPr="00FD0A13" w:rsidRDefault="00FD0A13" w:rsidP="00FD0A13">
            <w:pPr>
              <w:numPr>
                <w:ilvl w:val="1"/>
                <w:numId w:val="32"/>
              </w:numPr>
              <w:spacing w:after="0"/>
              <w:rPr>
                <w:rFonts w:ascii="Times" w:hAnsi="Times" w:cs="Times"/>
                <w:sz w:val="22"/>
                <w:szCs w:val="22"/>
              </w:rPr>
            </w:pPr>
            <w:r w:rsidRPr="00FD0A13">
              <w:rPr>
                <w:rFonts w:ascii="Times" w:hAnsi="Times" w:cs="Times"/>
                <w:sz w:val="22"/>
                <w:szCs w:val="22"/>
              </w:rPr>
              <w:t>UEs can use this resource for interference measurement</w:t>
            </w:r>
          </w:p>
          <w:p w14:paraId="52F67E2B" w14:textId="4F328A39" w:rsidR="00FD0A13" w:rsidRPr="00CD7CAB" w:rsidRDefault="00FD0A13" w:rsidP="00CD7CAB">
            <w:pPr>
              <w:numPr>
                <w:ilvl w:val="1"/>
                <w:numId w:val="32"/>
              </w:numPr>
              <w:spacing w:after="0"/>
              <w:rPr>
                <w:rFonts w:ascii="Times" w:hAnsi="Times" w:cs="Times"/>
                <w:sz w:val="22"/>
                <w:szCs w:val="22"/>
              </w:rPr>
            </w:pPr>
            <w:r w:rsidRPr="00FD0A13">
              <w:rPr>
                <w:rFonts w:ascii="Times" w:hAnsi="Times" w:cs="Times"/>
                <w:sz w:val="22"/>
                <w:szCs w:val="22"/>
              </w:rPr>
              <w:t>UE may assume there is no transmission</w:t>
            </w:r>
          </w:p>
        </w:tc>
      </w:tr>
    </w:tbl>
    <w:p w14:paraId="359893A9" w14:textId="3B8147D9" w:rsidR="00463C28" w:rsidRPr="005A3FBB" w:rsidRDefault="005A3FBB" w:rsidP="008E27E1">
      <w:pPr>
        <w:spacing w:afterLines="50" w:after="120"/>
        <w:jc w:val="both"/>
        <w:rPr>
          <w:rFonts w:eastAsia="ＭＳ 明朝"/>
          <w:color w:val="000000" w:themeColor="text1"/>
          <w:sz w:val="22"/>
          <w:lang w:val="en-US"/>
        </w:rPr>
      </w:pPr>
      <w:r w:rsidRPr="008E27E1">
        <w:rPr>
          <w:rFonts w:eastAsia="ＭＳ 明朝" w:hint="eastAsia"/>
          <w:color w:val="000000" w:themeColor="text1"/>
          <w:sz w:val="22"/>
          <w:lang w:val="en-US"/>
        </w:rPr>
        <w:t>In this contribution</w:t>
      </w:r>
      <w:r w:rsidRPr="008E27E1">
        <w:rPr>
          <w:rFonts w:eastAsia="ＭＳ 明朝"/>
          <w:color w:val="000000" w:themeColor="text1"/>
          <w:sz w:val="22"/>
          <w:lang w:val="en-US"/>
        </w:rPr>
        <w:t>,</w:t>
      </w:r>
      <w:r w:rsidRPr="008E27E1">
        <w:rPr>
          <w:rFonts w:eastAsia="ＭＳ 明朝" w:hint="eastAsia"/>
          <w:color w:val="000000" w:themeColor="text1"/>
          <w:sz w:val="22"/>
          <w:lang w:val="en-US"/>
        </w:rPr>
        <w:t xml:space="preserve"> our views</w:t>
      </w:r>
      <w:r w:rsidR="00ED3709">
        <w:rPr>
          <w:rFonts w:eastAsia="ＭＳ 明朝"/>
          <w:color w:val="000000" w:themeColor="text1"/>
          <w:sz w:val="22"/>
          <w:lang w:val="en-US"/>
        </w:rPr>
        <w:t xml:space="preserve"> on details about slot format related information and potential</w:t>
      </w:r>
      <w:r w:rsidRPr="008E27E1">
        <w:rPr>
          <w:rFonts w:eastAsia="ＭＳ 明朝" w:hint="eastAsia"/>
          <w:color w:val="000000" w:themeColor="text1"/>
          <w:sz w:val="22"/>
          <w:lang w:val="en-US"/>
        </w:rPr>
        <w:t xml:space="preserve"> contents of</w:t>
      </w:r>
      <w:r w:rsidR="006611B4">
        <w:rPr>
          <w:rFonts w:eastAsia="ＭＳ 明朝"/>
          <w:color w:val="000000" w:themeColor="text1"/>
          <w:sz w:val="22"/>
          <w:lang w:val="en-US"/>
        </w:rPr>
        <w:t xml:space="preserve"> </w:t>
      </w:r>
      <w:r w:rsidR="006611B4">
        <w:rPr>
          <w:rFonts w:eastAsia="SimSun" w:hint="eastAsia"/>
          <w:color w:val="000000" w:themeColor="text1"/>
          <w:sz w:val="22"/>
          <w:lang w:val="en-US" w:eastAsia="zh-CN"/>
        </w:rPr>
        <w:t xml:space="preserve">group </w:t>
      </w:r>
      <w:r w:rsidRPr="008E27E1">
        <w:rPr>
          <w:rFonts w:eastAsia="ＭＳ 明朝" w:hint="eastAsia"/>
          <w:color w:val="000000" w:themeColor="text1"/>
          <w:sz w:val="22"/>
          <w:lang w:val="en-US"/>
        </w:rPr>
        <w:t xml:space="preserve">common PDCCH are provided. Note that our views on </w:t>
      </w:r>
      <w:r>
        <w:rPr>
          <w:rFonts w:eastAsia="ＭＳ 明朝"/>
          <w:color w:val="000000" w:themeColor="text1"/>
          <w:sz w:val="22"/>
          <w:lang w:val="en-US"/>
        </w:rPr>
        <w:t>structure</w:t>
      </w:r>
      <w:r w:rsidRPr="008E27E1">
        <w:rPr>
          <w:rFonts w:eastAsia="ＭＳ 明朝" w:hint="eastAsia"/>
          <w:color w:val="000000" w:themeColor="text1"/>
          <w:sz w:val="22"/>
          <w:lang w:val="en-US"/>
        </w:rPr>
        <w:t xml:space="preserve"> </w:t>
      </w:r>
      <w:r w:rsidRPr="008E27E1">
        <w:rPr>
          <w:rFonts w:eastAsia="ＭＳ 明朝"/>
          <w:color w:val="000000" w:themeColor="text1"/>
          <w:sz w:val="22"/>
          <w:lang w:val="en-US"/>
        </w:rPr>
        <w:t>o</w:t>
      </w:r>
      <w:r w:rsidR="00ED3D91">
        <w:rPr>
          <w:rFonts w:eastAsia="ＭＳ 明朝"/>
          <w:color w:val="000000" w:themeColor="text1"/>
          <w:sz w:val="22"/>
          <w:lang w:val="en-US"/>
        </w:rPr>
        <w:t>f</w:t>
      </w:r>
      <w:r w:rsidRPr="008E27E1">
        <w:rPr>
          <w:rFonts w:eastAsia="ＭＳ 明朝" w:hint="eastAsia"/>
          <w:color w:val="000000" w:themeColor="text1"/>
          <w:sz w:val="22"/>
          <w:lang w:val="en-US"/>
        </w:rPr>
        <w:t xml:space="preserve"> </w:t>
      </w:r>
      <w:r w:rsidRPr="008E27E1">
        <w:rPr>
          <w:rFonts w:eastAsia="ＭＳ 明朝"/>
          <w:color w:val="000000" w:themeColor="text1"/>
          <w:sz w:val="22"/>
          <w:lang w:val="en-US"/>
        </w:rPr>
        <w:t>‘group</w:t>
      </w:r>
      <w:r w:rsidRPr="008E27E1">
        <w:rPr>
          <w:rFonts w:eastAsia="ＭＳ 明朝" w:hint="eastAsia"/>
          <w:color w:val="000000" w:themeColor="text1"/>
          <w:sz w:val="22"/>
          <w:lang w:val="en-US"/>
        </w:rPr>
        <w:t xml:space="preserve"> common PDCCH</w:t>
      </w:r>
      <w:r w:rsidRPr="008E27E1">
        <w:rPr>
          <w:rFonts w:eastAsia="ＭＳ 明朝"/>
          <w:color w:val="000000" w:themeColor="text1"/>
          <w:sz w:val="22"/>
          <w:lang w:val="en-US"/>
        </w:rPr>
        <w:t>’</w:t>
      </w:r>
      <w:r w:rsidRPr="008E27E1">
        <w:rPr>
          <w:rFonts w:eastAsia="ＭＳ 明朝" w:hint="eastAsia"/>
          <w:color w:val="000000" w:themeColor="text1"/>
          <w:sz w:val="22"/>
          <w:lang w:val="en-US"/>
        </w:rPr>
        <w:t xml:space="preserve"> are presented in </w:t>
      </w:r>
      <w:r w:rsidRPr="00D52E3B">
        <w:rPr>
          <w:rFonts w:eastAsia="ＭＳ 明朝"/>
          <w:sz w:val="22"/>
          <w:lang w:val="en-US"/>
        </w:rPr>
        <w:t>[</w:t>
      </w:r>
      <w:r w:rsidR="00963E26">
        <w:rPr>
          <w:rFonts w:eastAsia="ＭＳ 明朝"/>
          <w:sz w:val="22"/>
          <w:lang w:val="en-US"/>
        </w:rPr>
        <w:t>3</w:t>
      </w:r>
      <w:r w:rsidRPr="00D52E3B">
        <w:rPr>
          <w:rFonts w:eastAsia="ＭＳ 明朝"/>
          <w:sz w:val="22"/>
          <w:lang w:val="en-US"/>
        </w:rPr>
        <w:t>]</w:t>
      </w:r>
      <w:r w:rsidRPr="008E27E1">
        <w:rPr>
          <w:rFonts w:eastAsia="ＭＳ 明朝" w:hint="eastAsia"/>
          <w:color w:val="000000" w:themeColor="text1"/>
          <w:sz w:val="22"/>
          <w:lang w:val="en-US"/>
        </w:rPr>
        <w:t>.</w:t>
      </w:r>
    </w:p>
    <w:p w14:paraId="39657883" w14:textId="77777777" w:rsidR="00831997" w:rsidRPr="008E27E1" w:rsidRDefault="00195829" w:rsidP="00A33468">
      <w:pPr>
        <w:pStyle w:val="1"/>
        <w:numPr>
          <w:ilvl w:val="0"/>
          <w:numId w:val="6"/>
        </w:numPr>
        <w:spacing w:after="120"/>
        <w:jc w:val="both"/>
        <w:rPr>
          <w:rFonts w:eastAsia="DengXian"/>
          <w:b/>
          <w:color w:val="000000" w:themeColor="text1"/>
          <w:lang w:val="en-US" w:eastAsia="zh-CN"/>
        </w:rPr>
      </w:pPr>
      <w:r w:rsidRPr="008E27E1">
        <w:rPr>
          <w:rFonts w:eastAsiaTheme="minorEastAsia" w:hint="eastAsia"/>
          <w:b/>
          <w:color w:val="000000" w:themeColor="text1"/>
          <w:lang w:val="en-US"/>
        </w:rPr>
        <w:t>Discussion</w:t>
      </w:r>
    </w:p>
    <w:p w14:paraId="4C1D5371" w14:textId="10BCD37D" w:rsidR="00A91E1D" w:rsidRPr="007B4C3C" w:rsidRDefault="00A91E1D" w:rsidP="00A33468">
      <w:pPr>
        <w:pStyle w:val="2"/>
        <w:numPr>
          <w:ilvl w:val="1"/>
          <w:numId w:val="6"/>
        </w:numPr>
        <w:spacing w:before="240" w:after="120" w:line="240" w:lineRule="auto"/>
        <w:rPr>
          <w:rFonts w:eastAsiaTheme="minorEastAsia"/>
          <w:b/>
          <w:color w:val="000000" w:themeColor="text1"/>
          <w:lang w:val="en-US"/>
        </w:rPr>
      </w:pPr>
      <w:r>
        <w:rPr>
          <w:rFonts w:eastAsiaTheme="minorEastAsia"/>
          <w:b/>
          <w:color w:val="000000" w:themeColor="text1"/>
          <w:lang w:val="en-US"/>
        </w:rPr>
        <w:t>Details about slot format related information</w:t>
      </w:r>
    </w:p>
    <w:p w14:paraId="713D5E07" w14:textId="7025DF78" w:rsidR="00AE405B" w:rsidRDefault="00AE405B" w:rsidP="00AE405B">
      <w:pPr>
        <w:jc w:val="both"/>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At RA</w:t>
      </w:r>
      <w:r w:rsidR="00E561AD">
        <w:rPr>
          <w:rFonts w:eastAsia="Arial Unicode MS" w:cs="Arial"/>
          <w:color w:val="000000" w:themeColor="text1"/>
          <w:kern w:val="2"/>
          <w:sz w:val="22"/>
          <w:szCs w:val="22"/>
          <w:lang w:val="en-US"/>
        </w:rPr>
        <w:t>N1#Jan. a</w:t>
      </w:r>
      <w:r>
        <w:rPr>
          <w:rFonts w:eastAsia="Arial Unicode MS" w:cs="Arial"/>
          <w:color w:val="000000" w:themeColor="text1"/>
          <w:kern w:val="2"/>
          <w:sz w:val="22"/>
          <w:szCs w:val="22"/>
          <w:lang w:val="en-US"/>
        </w:rPr>
        <w:t xml:space="preserve">d-hoc meeting, it was agreed that slot format related information can be used to derive ‘DL’, ‘UL’ and ‘Other’, respectively. </w:t>
      </w:r>
      <w:r w:rsidR="00133EC4">
        <w:rPr>
          <w:rFonts w:eastAsia="Arial Unicode MS" w:cs="Arial"/>
          <w:color w:val="000000" w:themeColor="text1"/>
          <w:kern w:val="2"/>
          <w:sz w:val="22"/>
          <w:szCs w:val="22"/>
          <w:lang w:val="en-US"/>
        </w:rPr>
        <w:t xml:space="preserve">Also, in the last meeting, it was further agreed that the SFI transmitted in a group common PDCCH can indicate the slot format related information for one or more slots. </w:t>
      </w:r>
      <w:r>
        <w:rPr>
          <w:rFonts w:eastAsia="Arial Unicode MS" w:cs="Arial"/>
          <w:color w:val="000000" w:themeColor="text1"/>
          <w:kern w:val="2"/>
          <w:sz w:val="22"/>
          <w:szCs w:val="22"/>
          <w:lang w:val="en-US"/>
        </w:rPr>
        <w:t xml:space="preserve">However, how the SFI is used to inform the slot format related information is not clear yet. </w:t>
      </w:r>
      <w:r w:rsidR="00E561AD">
        <w:rPr>
          <w:rFonts w:eastAsia="Arial Unicode MS" w:cs="Arial"/>
          <w:color w:val="000000" w:themeColor="text1"/>
          <w:kern w:val="2"/>
          <w:sz w:val="22"/>
          <w:szCs w:val="22"/>
          <w:lang w:val="en-US"/>
        </w:rPr>
        <w:t>From our point of view, the SFI</w:t>
      </w:r>
      <w:r w:rsidR="00163046">
        <w:rPr>
          <w:rFonts w:eastAsia="Arial Unicode MS" w:cs="Arial"/>
          <w:color w:val="000000" w:themeColor="text1"/>
          <w:kern w:val="2"/>
          <w:sz w:val="22"/>
          <w:szCs w:val="22"/>
          <w:lang w:val="en-US"/>
        </w:rPr>
        <w:t xml:space="preserve"> can</w:t>
      </w:r>
      <w:r w:rsidR="00E561AD">
        <w:rPr>
          <w:rFonts w:eastAsia="Arial Unicode MS" w:cs="Arial"/>
          <w:color w:val="000000" w:themeColor="text1"/>
          <w:kern w:val="2"/>
          <w:sz w:val="22"/>
          <w:szCs w:val="22"/>
          <w:lang w:val="en-US"/>
        </w:rPr>
        <w:t xml:space="preserve"> inform</w:t>
      </w:r>
      <w:r w:rsidR="00163046">
        <w:rPr>
          <w:rFonts w:eastAsia="Arial Unicode MS" w:cs="Arial"/>
          <w:color w:val="000000" w:themeColor="text1"/>
          <w:kern w:val="2"/>
          <w:sz w:val="22"/>
          <w:szCs w:val="22"/>
          <w:lang w:val="en-US"/>
        </w:rPr>
        <w:t xml:space="preserve"> one of the following slot formats as shown in Fig.1(a) and Fig.1(b), where a slot format is given by DL part, UL part and other. The remaining part that doesn’t belong one of them can be considered as gap.</w:t>
      </w:r>
      <w:r w:rsidR="00252F37">
        <w:rPr>
          <w:rFonts w:eastAsia="Arial Unicode MS" w:cs="Arial"/>
          <w:color w:val="000000" w:themeColor="text1"/>
          <w:kern w:val="2"/>
          <w:sz w:val="22"/>
          <w:szCs w:val="22"/>
          <w:lang w:val="en-US"/>
        </w:rPr>
        <w:t xml:space="preserve"> Furthermore, based </w:t>
      </w:r>
      <w:r w:rsidR="00252F37">
        <w:rPr>
          <w:rFonts w:eastAsia="Arial Unicode MS" w:cs="Arial"/>
          <w:color w:val="000000" w:themeColor="text1"/>
          <w:kern w:val="2"/>
          <w:sz w:val="22"/>
          <w:szCs w:val="22"/>
          <w:lang w:val="en-US"/>
        </w:rPr>
        <w:lastRenderedPageBreak/>
        <w:t>on the group common PDCCH monitoring periodicity, whether the slot format of a slot or multiple slots is indicated can be configured by higher layer signaling.</w:t>
      </w:r>
    </w:p>
    <w:p w14:paraId="77FAE0D2" w14:textId="20A4B9AD" w:rsidR="00B133B5" w:rsidRDefault="00B133B5" w:rsidP="00AE405B">
      <w:pPr>
        <w:jc w:val="both"/>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Note that at the RAN1 AH#1 meeting, following agreement was made: “</w:t>
      </w:r>
      <w:r w:rsidRPr="007E0857">
        <w:rPr>
          <w:rFonts w:eastAsia="Arial Unicode MS" w:cs="Arial"/>
          <w:i/>
          <w:color w:val="000000" w:themeColor="text1"/>
          <w:kern w:val="2"/>
          <w:sz w:val="22"/>
          <w:szCs w:val="22"/>
          <w:lang w:val="en-US"/>
        </w:rPr>
        <w:t>If the UE does not receive the ‘group common PDCCH’ the UE should be able to receive at least PDCCH in a slot, at least if the gNB did not transmit the ‘group common PDCCH</w:t>
      </w:r>
      <w:r w:rsidRPr="00B133B5">
        <w:rPr>
          <w:rFonts w:eastAsia="Arial Unicode MS" w:cs="Arial"/>
          <w:color w:val="000000" w:themeColor="text1"/>
          <w:kern w:val="2"/>
          <w:sz w:val="22"/>
          <w:szCs w:val="22"/>
          <w:lang w:val="en-US"/>
        </w:rPr>
        <w:t>’</w:t>
      </w:r>
      <w:r>
        <w:rPr>
          <w:rFonts w:eastAsia="Arial Unicode MS" w:cs="Arial"/>
          <w:color w:val="000000" w:themeColor="text1"/>
          <w:kern w:val="2"/>
          <w:sz w:val="22"/>
          <w:szCs w:val="22"/>
          <w:lang w:val="en-US"/>
        </w:rPr>
        <w:t>”</w:t>
      </w:r>
      <w:r w:rsidRPr="00B133B5">
        <w:rPr>
          <w:rFonts w:eastAsia="Arial Unicode MS" w:cs="Arial"/>
          <w:color w:val="000000" w:themeColor="text1"/>
          <w:kern w:val="2"/>
          <w:sz w:val="22"/>
          <w:szCs w:val="22"/>
          <w:lang w:val="en-US"/>
        </w:rPr>
        <w:t>.</w:t>
      </w:r>
      <w:r>
        <w:rPr>
          <w:rFonts w:eastAsia="Arial Unicode MS" w:cs="Arial"/>
          <w:color w:val="000000" w:themeColor="text1"/>
          <w:kern w:val="2"/>
          <w:sz w:val="22"/>
          <w:szCs w:val="22"/>
          <w:lang w:val="en-US"/>
        </w:rPr>
        <w:t xml:space="preserve"> This implies that the PDCCH monitoring should be enabled irrespective of GC-PDCCH detection. Therefore, UL-only slot, where no PDCCH monitoring is performed, should be indicated by the GC-PDCCH from the different slot or by higher-layer signaling.</w:t>
      </w:r>
    </w:p>
    <w:p w14:paraId="37BF6C4C" w14:textId="52146E04" w:rsidR="00133EC4" w:rsidRDefault="006C30F5" w:rsidP="00163046">
      <w:pPr>
        <w:jc w:val="center"/>
        <w:rPr>
          <w:rFonts w:eastAsia="Arial Unicode MS" w:cs="Arial"/>
          <w:noProof/>
          <w:color w:val="000000" w:themeColor="text1"/>
          <w:kern w:val="2"/>
          <w:sz w:val="22"/>
          <w:szCs w:val="22"/>
          <w:lang w:val="en-US" w:eastAsia="zh-CN"/>
        </w:rPr>
      </w:pPr>
      <w:r>
        <w:rPr>
          <w:rFonts w:eastAsia="Arial Unicode MS" w:cs="Arial"/>
          <w:noProof/>
          <w:color w:val="000000" w:themeColor="text1"/>
          <w:kern w:val="2"/>
          <w:sz w:val="22"/>
          <w:szCs w:val="22"/>
          <w:lang w:val="en-US" w:eastAsia="zh-CN"/>
        </w:rPr>
        <w:drawing>
          <wp:inline distT="0" distB="0" distL="0" distR="0" wp14:anchorId="221F54E2" wp14:editId="09A06211">
            <wp:extent cx="2231845" cy="19497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2767" cy="1950569"/>
                    </a:xfrm>
                    <a:prstGeom prst="rect">
                      <a:avLst/>
                    </a:prstGeom>
                    <a:noFill/>
                  </pic:spPr>
                </pic:pic>
              </a:graphicData>
            </a:graphic>
          </wp:inline>
        </w:drawing>
      </w:r>
      <w:r w:rsidR="00163046">
        <w:rPr>
          <w:rFonts w:eastAsia="Arial Unicode MS" w:cs="Arial"/>
          <w:noProof/>
          <w:color w:val="000000" w:themeColor="text1"/>
          <w:kern w:val="2"/>
          <w:sz w:val="22"/>
          <w:szCs w:val="22"/>
          <w:lang w:val="en-US" w:eastAsia="zh-CN"/>
        </w:rPr>
        <w:t xml:space="preserve">                </w:t>
      </w:r>
      <w:r w:rsidR="00163046">
        <w:rPr>
          <w:rFonts w:eastAsia="Arial Unicode MS" w:cs="Arial"/>
          <w:noProof/>
          <w:color w:val="000000" w:themeColor="text1"/>
          <w:kern w:val="2"/>
          <w:sz w:val="22"/>
          <w:szCs w:val="22"/>
          <w:lang w:val="en-US" w:eastAsia="zh-CN"/>
        </w:rPr>
        <w:drawing>
          <wp:inline distT="0" distB="0" distL="0" distR="0" wp14:anchorId="11901305" wp14:editId="5D32EE66">
            <wp:extent cx="2933702" cy="25051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5094" cy="2506378"/>
                    </a:xfrm>
                    <a:prstGeom prst="rect">
                      <a:avLst/>
                    </a:prstGeom>
                    <a:noFill/>
                  </pic:spPr>
                </pic:pic>
              </a:graphicData>
            </a:graphic>
          </wp:inline>
        </w:drawing>
      </w:r>
    </w:p>
    <w:p w14:paraId="473B2FBC" w14:textId="77777777" w:rsidR="00A838A2" w:rsidRDefault="00A838A2" w:rsidP="00163046">
      <w:pPr>
        <w:jc w:val="center"/>
        <w:rPr>
          <w:rFonts w:eastAsia="Arial Unicode MS" w:cs="Arial"/>
          <w:noProof/>
          <w:color w:val="000000" w:themeColor="text1"/>
          <w:kern w:val="2"/>
          <w:sz w:val="22"/>
          <w:szCs w:val="22"/>
          <w:lang w:val="en-US" w:eastAsia="zh-CN"/>
        </w:rPr>
      </w:pPr>
    </w:p>
    <w:p w14:paraId="0F33E33E" w14:textId="730D9714" w:rsidR="00163046" w:rsidRDefault="00163046" w:rsidP="006C30F5">
      <w:pPr>
        <w:ind w:firstLineChars="200" w:firstLine="440"/>
        <w:rPr>
          <w:rFonts w:eastAsia="Arial Unicode MS" w:cs="Arial"/>
          <w:noProof/>
          <w:color w:val="000000" w:themeColor="text1"/>
          <w:kern w:val="2"/>
          <w:sz w:val="22"/>
          <w:szCs w:val="22"/>
          <w:lang w:val="en-US" w:eastAsia="zh-CN"/>
        </w:rPr>
      </w:pPr>
      <w:r>
        <w:rPr>
          <w:rFonts w:eastAsia="Arial Unicode MS" w:cs="Arial"/>
          <w:noProof/>
          <w:color w:val="000000" w:themeColor="text1"/>
          <w:kern w:val="2"/>
          <w:sz w:val="22"/>
          <w:szCs w:val="22"/>
          <w:lang w:val="en-US" w:eastAsia="zh-CN"/>
        </w:rPr>
        <w:t xml:space="preserve">Fig.1 (a) Example of slot format for a slot     </w:t>
      </w:r>
      <w:r w:rsidR="006C30F5">
        <w:rPr>
          <w:rFonts w:eastAsia="Arial Unicode MS" w:cs="Arial"/>
          <w:noProof/>
          <w:color w:val="000000" w:themeColor="text1"/>
          <w:kern w:val="2"/>
          <w:sz w:val="22"/>
          <w:szCs w:val="22"/>
          <w:lang w:val="en-US" w:eastAsia="zh-CN"/>
        </w:rPr>
        <w:t xml:space="preserve">    </w:t>
      </w:r>
      <w:r>
        <w:rPr>
          <w:rFonts w:eastAsia="Arial Unicode MS" w:cs="Arial"/>
          <w:noProof/>
          <w:color w:val="000000" w:themeColor="text1"/>
          <w:kern w:val="2"/>
          <w:sz w:val="22"/>
          <w:szCs w:val="22"/>
          <w:lang w:val="en-US" w:eastAsia="zh-CN"/>
        </w:rPr>
        <w:t xml:space="preserve"> </w:t>
      </w:r>
      <w:r w:rsidR="00A838A2">
        <w:rPr>
          <w:rFonts w:eastAsia="Arial Unicode MS" w:cs="Arial"/>
          <w:noProof/>
          <w:color w:val="000000" w:themeColor="text1"/>
          <w:kern w:val="2"/>
          <w:sz w:val="22"/>
          <w:szCs w:val="22"/>
          <w:lang w:val="en-US" w:eastAsia="zh-CN"/>
        </w:rPr>
        <w:t xml:space="preserve">     </w:t>
      </w:r>
      <w:r>
        <w:rPr>
          <w:rFonts w:eastAsia="Arial Unicode MS" w:cs="Arial"/>
          <w:noProof/>
          <w:color w:val="000000" w:themeColor="text1"/>
          <w:kern w:val="2"/>
          <w:sz w:val="22"/>
          <w:szCs w:val="22"/>
          <w:lang w:val="en-US" w:eastAsia="zh-CN"/>
        </w:rPr>
        <w:t xml:space="preserve"> Fig.1(b) Example of slot format for multiple slots</w:t>
      </w:r>
    </w:p>
    <w:p w14:paraId="6B69DE36" w14:textId="77777777" w:rsidR="007416B9" w:rsidRDefault="007416B9" w:rsidP="006C30F5">
      <w:pPr>
        <w:ind w:firstLineChars="200" w:firstLine="440"/>
        <w:rPr>
          <w:rFonts w:eastAsia="Arial Unicode MS" w:cs="Arial"/>
          <w:noProof/>
          <w:color w:val="000000" w:themeColor="text1"/>
          <w:kern w:val="2"/>
          <w:sz w:val="22"/>
          <w:szCs w:val="22"/>
          <w:lang w:val="en-US" w:eastAsia="zh-CN"/>
        </w:rPr>
      </w:pPr>
    </w:p>
    <w:p w14:paraId="5AC28218" w14:textId="77777777" w:rsidR="00B96B0A" w:rsidRDefault="00B96B0A" w:rsidP="00B96B0A">
      <w:pPr>
        <w:spacing w:afterLines="50" w:after="120"/>
        <w:jc w:val="both"/>
        <w:rPr>
          <w:rFonts w:ascii="Times" w:hAnsi="Times" w:cs="Times"/>
          <w:b/>
          <w:sz w:val="22"/>
          <w:szCs w:val="22"/>
          <w:u w:val="single"/>
        </w:rPr>
      </w:pPr>
      <w:r w:rsidRPr="00252F37">
        <w:rPr>
          <w:rFonts w:ascii="Times" w:hAnsi="Times" w:cs="Times"/>
          <w:b/>
          <w:sz w:val="22"/>
          <w:szCs w:val="22"/>
          <w:u w:val="single"/>
        </w:rPr>
        <w:t>Proposal 1:</w:t>
      </w:r>
    </w:p>
    <w:p w14:paraId="5343888F" w14:textId="01EC0A36" w:rsidR="00B96B0A" w:rsidRPr="00B96B0A" w:rsidRDefault="00B96B0A" w:rsidP="00B96B0A">
      <w:pPr>
        <w:pStyle w:val="afc"/>
        <w:numPr>
          <w:ilvl w:val="0"/>
          <w:numId w:val="33"/>
        </w:numPr>
        <w:spacing w:afterLines="50" w:after="120"/>
        <w:ind w:leftChars="0"/>
        <w:jc w:val="both"/>
        <w:rPr>
          <w:rFonts w:ascii="Times" w:eastAsia="SimSun" w:hAnsi="Times" w:cs="Times"/>
          <w:i/>
          <w:sz w:val="22"/>
          <w:szCs w:val="22"/>
          <w:lang w:eastAsia="zh-CN"/>
        </w:rPr>
      </w:pPr>
      <w:r w:rsidRPr="00B96B0A">
        <w:rPr>
          <w:rFonts w:ascii="Times" w:eastAsia="SimSun" w:hAnsi="Times" w:cs="Times" w:hint="eastAsia"/>
          <w:i/>
          <w:sz w:val="22"/>
          <w:szCs w:val="22"/>
          <w:lang w:eastAsia="zh-CN"/>
        </w:rPr>
        <w:t>W</w:t>
      </w:r>
      <w:r w:rsidRPr="00B96B0A">
        <w:rPr>
          <w:rFonts w:ascii="Times" w:eastAsia="SimSun" w:hAnsi="Times" w:cs="Times"/>
          <w:i/>
          <w:sz w:val="22"/>
          <w:szCs w:val="22"/>
          <w:lang w:eastAsia="zh-CN"/>
        </w:rPr>
        <w:t>hether SFI informs the slot format of a slot or multiple slots can be configured by higher layer signalling.</w:t>
      </w:r>
    </w:p>
    <w:p w14:paraId="471513D2" w14:textId="4F73DC9B" w:rsidR="00252F37" w:rsidRDefault="009A6D53" w:rsidP="003D27B8">
      <w:pPr>
        <w:jc w:val="both"/>
        <w:rPr>
          <w:rFonts w:ascii="Times" w:hAnsi="Times" w:cs="Times"/>
          <w:sz w:val="22"/>
          <w:szCs w:val="22"/>
        </w:rPr>
      </w:pPr>
      <w:r>
        <w:rPr>
          <w:rFonts w:eastAsia="Arial Unicode MS" w:cs="Arial" w:hint="eastAsia"/>
          <w:color w:val="000000" w:themeColor="text1"/>
          <w:kern w:val="2"/>
          <w:sz w:val="22"/>
          <w:szCs w:val="22"/>
          <w:lang w:val="en-US" w:eastAsia="zh-CN"/>
        </w:rPr>
        <w:t>I</w:t>
      </w:r>
      <w:r>
        <w:rPr>
          <w:rFonts w:eastAsia="Arial Unicode MS" w:cs="Arial"/>
          <w:color w:val="000000" w:themeColor="text1"/>
          <w:kern w:val="2"/>
          <w:sz w:val="22"/>
          <w:szCs w:val="22"/>
          <w:lang w:val="en-US" w:eastAsia="zh-CN"/>
        </w:rPr>
        <w:t>n addition, it was agreed that</w:t>
      </w:r>
      <w:r w:rsidR="003D27B8">
        <w:rPr>
          <w:rFonts w:eastAsia="Arial Unicode MS" w:cs="Arial"/>
          <w:color w:val="000000" w:themeColor="text1"/>
          <w:kern w:val="2"/>
          <w:sz w:val="22"/>
          <w:szCs w:val="22"/>
          <w:lang w:val="en-US" w:eastAsia="zh-CN"/>
        </w:rPr>
        <w:t xml:space="preserve"> in </w:t>
      </w:r>
      <w:r w:rsidR="00B133B5">
        <w:rPr>
          <w:rFonts w:eastAsia="Arial Unicode MS" w:cs="Arial"/>
          <w:color w:val="000000" w:themeColor="text1"/>
          <w:kern w:val="2"/>
          <w:sz w:val="22"/>
          <w:szCs w:val="22"/>
          <w:lang w:val="en-US" w:eastAsia="zh-CN"/>
        </w:rPr>
        <w:t xml:space="preserve">a </w:t>
      </w:r>
      <w:r w:rsidR="001155FF">
        <w:rPr>
          <w:rFonts w:eastAsia="Arial Unicode MS" w:cs="Arial"/>
          <w:color w:val="000000" w:themeColor="text1"/>
          <w:kern w:val="2"/>
          <w:sz w:val="22"/>
          <w:szCs w:val="22"/>
          <w:lang w:val="en-US" w:eastAsia="zh-CN"/>
        </w:rPr>
        <w:t>‘</w:t>
      </w:r>
      <w:r w:rsidR="003D27B8">
        <w:rPr>
          <w:rFonts w:eastAsia="Arial Unicode MS" w:cs="Arial"/>
          <w:color w:val="000000" w:themeColor="text1"/>
          <w:kern w:val="2"/>
          <w:sz w:val="22"/>
          <w:szCs w:val="22"/>
          <w:lang w:val="en-US" w:eastAsia="zh-CN"/>
        </w:rPr>
        <w:t>slot format related information</w:t>
      </w:r>
      <w:r w:rsidR="001155FF">
        <w:rPr>
          <w:rFonts w:eastAsia="Arial Unicode MS" w:cs="Arial"/>
          <w:color w:val="000000" w:themeColor="text1"/>
          <w:kern w:val="2"/>
          <w:sz w:val="22"/>
          <w:szCs w:val="22"/>
          <w:lang w:val="en-US" w:eastAsia="zh-CN"/>
        </w:rPr>
        <w:t>’</w:t>
      </w:r>
      <w:r w:rsidR="003D27B8">
        <w:rPr>
          <w:rFonts w:eastAsia="Arial Unicode MS" w:cs="Arial"/>
          <w:color w:val="000000" w:themeColor="text1"/>
          <w:kern w:val="2"/>
          <w:sz w:val="22"/>
          <w:szCs w:val="22"/>
          <w:lang w:val="en-US" w:eastAsia="zh-CN"/>
        </w:rPr>
        <w:t>,</w:t>
      </w:r>
      <w:r>
        <w:rPr>
          <w:rFonts w:eastAsia="Arial Unicode MS" w:cs="Arial"/>
          <w:color w:val="000000" w:themeColor="text1"/>
          <w:kern w:val="2"/>
          <w:sz w:val="22"/>
          <w:szCs w:val="22"/>
          <w:lang w:val="en-US" w:eastAsia="zh-CN"/>
        </w:rPr>
        <w:t xml:space="preserve"> </w:t>
      </w:r>
      <w:r w:rsidR="003D27B8">
        <w:rPr>
          <w:rFonts w:eastAsia="Arial Unicode MS" w:cs="Arial"/>
          <w:color w:val="000000" w:themeColor="text1"/>
          <w:kern w:val="2"/>
          <w:sz w:val="22"/>
          <w:szCs w:val="22"/>
          <w:lang w:val="en-US" w:eastAsia="zh-CN"/>
        </w:rPr>
        <w:t>‘</w:t>
      </w:r>
      <w:r>
        <w:rPr>
          <w:rFonts w:ascii="Times" w:hAnsi="Times" w:cs="Times"/>
          <w:sz w:val="22"/>
          <w:szCs w:val="22"/>
        </w:rPr>
        <w:t xml:space="preserve">other’ is at least </w:t>
      </w:r>
      <w:r w:rsidRPr="00FD0A13">
        <w:rPr>
          <w:rFonts w:ascii="Times" w:hAnsi="Times" w:cs="Times"/>
          <w:sz w:val="22"/>
          <w:szCs w:val="22"/>
        </w:rPr>
        <w:t>‘Unknown’</w:t>
      </w:r>
      <w:r w:rsidR="00DF7973">
        <w:rPr>
          <w:rFonts w:ascii="Times" w:hAnsi="Times" w:cs="Times"/>
          <w:sz w:val="22"/>
          <w:szCs w:val="22"/>
        </w:rPr>
        <w:t>,</w:t>
      </w:r>
      <w:r>
        <w:rPr>
          <w:rFonts w:ascii="Times" w:hAnsi="Times" w:cs="Times"/>
          <w:sz w:val="22"/>
          <w:szCs w:val="22"/>
        </w:rPr>
        <w:t xml:space="preserve"> where </w:t>
      </w:r>
      <w:r w:rsidRPr="00FD0A13">
        <w:rPr>
          <w:rFonts w:ascii="Times" w:hAnsi="Times" w:cs="Times"/>
          <w:sz w:val="22"/>
          <w:szCs w:val="22"/>
        </w:rPr>
        <w:t>UE shall not assume anything for the symbol with ‘Unknown’ by this information</w:t>
      </w:r>
      <w:r w:rsidR="00B133B5">
        <w:rPr>
          <w:rFonts w:ascii="Times" w:hAnsi="Times" w:cs="Times"/>
          <w:sz w:val="22"/>
          <w:szCs w:val="22"/>
        </w:rPr>
        <w:t>,</w:t>
      </w:r>
      <w:r w:rsidR="003D27B8">
        <w:rPr>
          <w:rFonts w:ascii="Times" w:hAnsi="Times" w:cs="Times"/>
          <w:sz w:val="22"/>
          <w:szCs w:val="22"/>
        </w:rPr>
        <w:t xml:space="preserve"> and it is for further study whether ‘other’ can be ‘Empty’</w:t>
      </w:r>
      <w:r w:rsidR="00DF7973">
        <w:rPr>
          <w:rFonts w:ascii="Times" w:hAnsi="Times" w:cs="Times"/>
          <w:sz w:val="22"/>
          <w:szCs w:val="22"/>
        </w:rPr>
        <w:t>,</w:t>
      </w:r>
      <w:r w:rsidR="003D27B8">
        <w:rPr>
          <w:rFonts w:ascii="Times" w:hAnsi="Times" w:cs="Times"/>
          <w:sz w:val="22"/>
          <w:szCs w:val="22"/>
        </w:rPr>
        <w:t xml:space="preserve"> where the UE may assume there is no transmission and UE can use this information for interference measurement. </w:t>
      </w:r>
      <w:r w:rsidR="00EC31EC">
        <w:rPr>
          <w:rFonts w:ascii="Times" w:hAnsi="Times" w:cs="Times"/>
          <w:sz w:val="22"/>
          <w:szCs w:val="22"/>
        </w:rPr>
        <w:t>In our view,</w:t>
      </w:r>
      <w:r w:rsidR="00252F37">
        <w:rPr>
          <w:rFonts w:ascii="Times" w:hAnsi="Times" w:cs="Times"/>
          <w:sz w:val="22"/>
          <w:szCs w:val="22"/>
        </w:rPr>
        <w:t xml:space="preserve"> if the ‘Empty’ is used for interference measurement, the whole OFDM symbol will be empty which lead</w:t>
      </w:r>
      <w:r w:rsidR="00DF7973">
        <w:rPr>
          <w:rFonts w:ascii="Times" w:hAnsi="Times" w:cs="Times"/>
          <w:sz w:val="22"/>
          <w:szCs w:val="22"/>
        </w:rPr>
        <w:t>s</w:t>
      </w:r>
      <w:r w:rsidR="00252F37">
        <w:rPr>
          <w:rFonts w:ascii="Times" w:hAnsi="Times" w:cs="Times"/>
          <w:sz w:val="22"/>
          <w:szCs w:val="22"/>
        </w:rPr>
        <w:t xml:space="preserve"> to large overhead. Therefore,</w:t>
      </w:r>
      <w:r w:rsidR="00EC31EC">
        <w:rPr>
          <w:rFonts w:ascii="Times" w:hAnsi="Times" w:cs="Times"/>
          <w:sz w:val="22"/>
          <w:szCs w:val="22"/>
        </w:rPr>
        <w:t xml:space="preserve"> there is no strong benefit of defining ‘Empty’</w:t>
      </w:r>
      <w:r w:rsidR="00252F37">
        <w:rPr>
          <w:rFonts w:ascii="Times" w:hAnsi="Times" w:cs="Times"/>
          <w:sz w:val="22"/>
          <w:szCs w:val="22"/>
        </w:rPr>
        <w:t xml:space="preserve"> at least in Rel.15.</w:t>
      </w:r>
    </w:p>
    <w:p w14:paraId="6B176DF2" w14:textId="77777777" w:rsidR="00252F37" w:rsidRDefault="00252F37" w:rsidP="003D27B8">
      <w:pPr>
        <w:jc w:val="both"/>
        <w:rPr>
          <w:rFonts w:ascii="Times" w:hAnsi="Times" w:cs="Times"/>
          <w:sz w:val="22"/>
          <w:szCs w:val="22"/>
        </w:rPr>
      </w:pPr>
    </w:p>
    <w:p w14:paraId="6BC0A12C" w14:textId="15409AFB" w:rsidR="00252F37" w:rsidRPr="00252F37" w:rsidRDefault="00DF7973" w:rsidP="00DF7973">
      <w:pPr>
        <w:spacing w:afterLines="50" w:after="120"/>
        <w:jc w:val="both"/>
        <w:rPr>
          <w:rFonts w:ascii="Times" w:hAnsi="Times" w:cs="Times"/>
          <w:b/>
          <w:sz w:val="22"/>
          <w:szCs w:val="22"/>
          <w:u w:val="single"/>
        </w:rPr>
      </w:pPr>
      <w:r>
        <w:rPr>
          <w:rFonts w:ascii="Times" w:hAnsi="Times" w:cs="Times"/>
          <w:b/>
          <w:sz w:val="22"/>
          <w:szCs w:val="22"/>
          <w:u w:val="single"/>
        </w:rPr>
        <w:t>Proposal 2</w:t>
      </w:r>
      <w:r w:rsidRPr="00252F37">
        <w:rPr>
          <w:rFonts w:ascii="Times" w:hAnsi="Times" w:cs="Times"/>
          <w:b/>
          <w:sz w:val="22"/>
          <w:szCs w:val="22"/>
          <w:u w:val="single"/>
        </w:rPr>
        <w:t>:</w:t>
      </w:r>
    </w:p>
    <w:p w14:paraId="4F096B46" w14:textId="4CA911E4" w:rsidR="007416B9" w:rsidRPr="00955FA6" w:rsidRDefault="00252F37" w:rsidP="00955FA6">
      <w:pPr>
        <w:pStyle w:val="afc"/>
        <w:numPr>
          <w:ilvl w:val="0"/>
          <w:numId w:val="33"/>
        </w:numPr>
        <w:spacing w:afterLines="50" w:after="120"/>
        <w:ind w:leftChars="0"/>
        <w:jc w:val="both"/>
        <w:rPr>
          <w:rFonts w:ascii="Times" w:hAnsi="Times" w:cs="Times"/>
          <w:i/>
          <w:sz w:val="22"/>
          <w:szCs w:val="22"/>
        </w:rPr>
      </w:pPr>
      <w:r w:rsidRPr="00DF7973">
        <w:rPr>
          <w:rFonts w:ascii="Times" w:eastAsia="SimSun" w:hAnsi="Times" w:cs="Times" w:hint="eastAsia"/>
          <w:i/>
          <w:sz w:val="22"/>
          <w:szCs w:val="22"/>
          <w:lang w:eastAsia="zh-CN"/>
        </w:rPr>
        <w:t xml:space="preserve">In </w:t>
      </w:r>
      <w:r w:rsidR="00DF7973">
        <w:rPr>
          <w:rFonts w:ascii="Times" w:eastAsia="SimSun" w:hAnsi="Times" w:cs="Times"/>
          <w:i/>
          <w:sz w:val="22"/>
          <w:szCs w:val="22"/>
          <w:lang w:eastAsia="zh-CN"/>
        </w:rPr>
        <w:t>‘</w:t>
      </w:r>
      <w:r w:rsidRPr="00DF7973">
        <w:rPr>
          <w:rFonts w:ascii="Times" w:eastAsia="SimSun" w:hAnsi="Times" w:cs="Times" w:hint="eastAsia"/>
          <w:i/>
          <w:sz w:val="22"/>
          <w:szCs w:val="22"/>
          <w:lang w:eastAsia="zh-CN"/>
        </w:rPr>
        <w:t>slot format related information</w:t>
      </w:r>
      <w:r w:rsidR="00DF7973">
        <w:rPr>
          <w:rFonts w:ascii="Times" w:eastAsia="SimSun" w:hAnsi="Times" w:cs="Times"/>
          <w:i/>
          <w:sz w:val="22"/>
          <w:szCs w:val="22"/>
          <w:lang w:eastAsia="zh-CN"/>
        </w:rPr>
        <w:t>’</w:t>
      </w:r>
      <w:r w:rsidRPr="00DF7973">
        <w:rPr>
          <w:rFonts w:ascii="Times" w:eastAsia="SimSun" w:hAnsi="Times" w:cs="Times" w:hint="eastAsia"/>
          <w:i/>
          <w:sz w:val="22"/>
          <w:szCs w:val="22"/>
          <w:lang w:eastAsia="zh-CN"/>
        </w:rPr>
        <w:t xml:space="preserve">, </w:t>
      </w:r>
      <w:r w:rsidRPr="00DF7973">
        <w:rPr>
          <w:rFonts w:ascii="Times" w:eastAsia="SimSun" w:hAnsi="Times" w:cs="Times"/>
          <w:i/>
          <w:sz w:val="22"/>
          <w:szCs w:val="22"/>
          <w:lang w:eastAsia="zh-CN"/>
        </w:rPr>
        <w:t>‘other’ is ‘Unknown’ and is not ‘Empty’.</w:t>
      </w:r>
    </w:p>
    <w:p w14:paraId="0DC4B002" w14:textId="300D2F6A" w:rsidR="007416B9" w:rsidRDefault="007416B9" w:rsidP="007B4C3C">
      <w:pPr>
        <w:pStyle w:val="2"/>
        <w:numPr>
          <w:ilvl w:val="1"/>
          <w:numId w:val="6"/>
        </w:numPr>
        <w:spacing w:before="240" w:afterLines="50" w:after="120" w:line="240" w:lineRule="auto"/>
        <w:rPr>
          <w:rFonts w:eastAsiaTheme="minorEastAsia"/>
          <w:b/>
          <w:color w:val="000000" w:themeColor="text1"/>
          <w:lang w:val="en-US"/>
        </w:rPr>
      </w:pPr>
      <w:r>
        <w:rPr>
          <w:rFonts w:eastAsiaTheme="minorEastAsia"/>
          <w:b/>
          <w:color w:val="000000" w:themeColor="text1"/>
          <w:lang w:val="en-US"/>
        </w:rPr>
        <w:t xml:space="preserve">Other contents </w:t>
      </w:r>
      <w:r w:rsidR="00DF7973">
        <w:rPr>
          <w:rFonts w:eastAsiaTheme="minorEastAsia"/>
          <w:b/>
          <w:color w:val="000000" w:themeColor="text1"/>
          <w:lang w:val="en-US"/>
        </w:rPr>
        <w:t>in group common PDCCH</w:t>
      </w:r>
    </w:p>
    <w:p w14:paraId="723D8D2A" w14:textId="38633427" w:rsidR="00933578" w:rsidRDefault="00222A9C" w:rsidP="007B4C3C">
      <w:pPr>
        <w:jc w:val="both"/>
        <w:rPr>
          <w:rFonts w:eastAsia="Arial Unicode MS" w:cs="Arial"/>
          <w:color w:val="000000" w:themeColor="text1"/>
          <w:kern w:val="2"/>
          <w:sz w:val="22"/>
          <w:szCs w:val="22"/>
          <w:lang w:val="en-US"/>
        </w:rPr>
      </w:pPr>
      <w:r w:rsidRPr="009E2E01">
        <w:rPr>
          <w:rFonts w:eastAsia="Arial Unicode MS" w:cs="Arial"/>
          <w:color w:val="000000" w:themeColor="text1"/>
          <w:kern w:val="2"/>
          <w:sz w:val="22"/>
          <w:szCs w:val="22"/>
          <w:lang w:val="en-US"/>
        </w:rPr>
        <w:t>Another open issue discuss</w:t>
      </w:r>
      <w:r w:rsidR="00B133B5">
        <w:rPr>
          <w:rFonts w:eastAsia="Arial Unicode MS" w:cs="Arial"/>
          <w:color w:val="000000" w:themeColor="text1"/>
          <w:kern w:val="2"/>
          <w:sz w:val="22"/>
          <w:szCs w:val="22"/>
          <w:lang w:val="en-US"/>
        </w:rPr>
        <w:t>ed</w:t>
      </w:r>
      <w:r w:rsidRPr="009E2E01">
        <w:rPr>
          <w:rFonts w:eastAsia="Arial Unicode MS" w:cs="Arial"/>
          <w:color w:val="000000" w:themeColor="text1"/>
          <w:kern w:val="2"/>
          <w:sz w:val="22"/>
          <w:szCs w:val="22"/>
          <w:lang w:val="en-US"/>
        </w:rPr>
        <w:t xml:space="preserve"> in RAN1 is what should be informed </w:t>
      </w:r>
      <w:r w:rsidR="00B133B5">
        <w:rPr>
          <w:rFonts w:eastAsia="Arial Unicode MS" w:cs="Arial"/>
          <w:color w:val="000000" w:themeColor="text1"/>
          <w:kern w:val="2"/>
          <w:sz w:val="22"/>
          <w:szCs w:val="22"/>
          <w:lang w:val="en-US"/>
        </w:rPr>
        <w:t>by</w:t>
      </w:r>
      <w:r w:rsidRPr="009E2E01">
        <w:rPr>
          <w:rFonts w:eastAsia="Arial Unicode MS" w:cs="Arial"/>
          <w:color w:val="000000" w:themeColor="text1"/>
          <w:kern w:val="2"/>
          <w:sz w:val="22"/>
          <w:szCs w:val="22"/>
          <w:lang w:val="en-US"/>
        </w:rPr>
        <w:t xml:space="preserve"> group common PDCCH</w:t>
      </w:r>
      <w:r w:rsidR="00B133B5">
        <w:rPr>
          <w:rFonts w:eastAsia="Arial Unicode MS" w:cs="Arial"/>
          <w:color w:val="000000" w:themeColor="text1"/>
          <w:kern w:val="2"/>
          <w:sz w:val="22"/>
          <w:szCs w:val="22"/>
          <w:lang w:val="en-US"/>
        </w:rPr>
        <w:t>,</w:t>
      </w:r>
      <w:r w:rsidRPr="009E2E01">
        <w:rPr>
          <w:rFonts w:eastAsia="Arial Unicode MS" w:cs="Arial"/>
          <w:color w:val="000000" w:themeColor="text1"/>
          <w:kern w:val="2"/>
          <w:sz w:val="22"/>
          <w:szCs w:val="22"/>
          <w:lang w:val="en-US"/>
        </w:rPr>
        <w:t xml:space="preserve"> in addition to slot format related information. </w:t>
      </w:r>
      <w:r w:rsidR="009E2E01">
        <w:rPr>
          <w:rFonts w:eastAsia="Arial Unicode MS" w:cs="Arial"/>
          <w:color w:val="000000" w:themeColor="text1"/>
          <w:kern w:val="2"/>
          <w:sz w:val="22"/>
          <w:szCs w:val="22"/>
          <w:lang w:val="en-US"/>
        </w:rPr>
        <w:t>Since the group common PDCCH is common at least for a group of UEs, information that is common for a group of UEs can be considered in group common PDCCH.</w:t>
      </w:r>
      <w:r w:rsidR="007B4C3C">
        <w:rPr>
          <w:rFonts w:eastAsia="Arial Unicode MS" w:cs="Arial"/>
          <w:color w:val="000000" w:themeColor="text1"/>
          <w:kern w:val="2"/>
          <w:sz w:val="22"/>
          <w:szCs w:val="22"/>
          <w:lang w:val="en-US"/>
        </w:rPr>
        <w:t xml:space="preserve"> In this section, </w:t>
      </w:r>
      <w:r w:rsidR="00E2561A" w:rsidRPr="008E27E1">
        <w:rPr>
          <w:rFonts w:eastAsia="Arial Unicode MS" w:cs="Arial" w:hint="eastAsia"/>
          <w:color w:val="000000" w:themeColor="text1"/>
          <w:kern w:val="2"/>
          <w:sz w:val="22"/>
          <w:szCs w:val="22"/>
          <w:lang w:val="en-US"/>
        </w:rPr>
        <w:t xml:space="preserve">potential </w:t>
      </w:r>
      <w:r w:rsidR="00CB2395" w:rsidRPr="008E27E1">
        <w:rPr>
          <w:rFonts w:eastAsia="Arial Unicode MS" w:cs="Arial"/>
          <w:color w:val="000000" w:themeColor="text1"/>
          <w:kern w:val="2"/>
          <w:sz w:val="22"/>
          <w:szCs w:val="22"/>
          <w:lang w:val="en-US"/>
        </w:rPr>
        <w:t>contents</w:t>
      </w:r>
      <w:r w:rsidR="00AB0B1C" w:rsidRPr="008E27E1">
        <w:rPr>
          <w:rFonts w:eastAsia="Arial Unicode MS" w:cs="Arial" w:hint="eastAsia"/>
          <w:color w:val="000000" w:themeColor="text1"/>
          <w:kern w:val="2"/>
          <w:sz w:val="22"/>
          <w:szCs w:val="22"/>
          <w:lang w:val="en-US"/>
        </w:rPr>
        <w:t xml:space="preserve"> of </w:t>
      </w:r>
      <w:r w:rsidR="00CB2395" w:rsidRPr="008E27E1">
        <w:rPr>
          <w:rFonts w:eastAsia="Arial Unicode MS" w:cs="Arial"/>
          <w:color w:val="000000" w:themeColor="text1"/>
          <w:kern w:val="2"/>
          <w:sz w:val="22"/>
          <w:szCs w:val="22"/>
          <w:lang w:val="en-US"/>
        </w:rPr>
        <w:t xml:space="preserve">‘group </w:t>
      </w:r>
      <w:r w:rsidR="00AB0B1C" w:rsidRPr="008E27E1">
        <w:rPr>
          <w:rFonts w:eastAsia="Arial Unicode MS" w:cs="Arial" w:hint="eastAsia"/>
          <w:color w:val="000000" w:themeColor="text1"/>
          <w:kern w:val="2"/>
          <w:sz w:val="22"/>
          <w:szCs w:val="22"/>
          <w:lang w:val="en-US"/>
        </w:rPr>
        <w:t>common PDCCH</w:t>
      </w:r>
      <w:r w:rsidR="00CB2395" w:rsidRPr="008E27E1">
        <w:rPr>
          <w:rFonts w:eastAsia="Arial Unicode MS" w:cs="Arial"/>
          <w:color w:val="000000" w:themeColor="text1"/>
          <w:kern w:val="2"/>
          <w:sz w:val="22"/>
          <w:szCs w:val="22"/>
          <w:lang w:val="en-US"/>
        </w:rPr>
        <w:t>’</w:t>
      </w:r>
      <w:r w:rsidR="00995EF7" w:rsidRPr="008E27E1">
        <w:rPr>
          <w:rFonts w:eastAsia="Arial Unicode MS" w:cs="Arial"/>
          <w:color w:val="000000" w:themeColor="text1"/>
          <w:kern w:val="2"/>
          <w:sz w:val="22"/>
          <w:szCs w:val="22"/>
          <w:lang w:val="en-US"/>
        </w:rPr>
        <w:t xml:space="preserve"> are </w:t>
      </w:r>
      <w:r w:rsidR="00180FA5">
        <w:rPr>
          <w:rFonts w:eastAsia="Arial Unicode MS" w:cs="Arial"/>
          <w:color w:val="000000" w:themeColor="text1"/>
          <w:kern w:val="2"/>
          <w:sz w:val="22"/>
          <w:szCs w:val="22"/>
          <w:lang w:val="en-US"/>
        </w:rPr>
        <w:t>discussed</w:t>
      </w:r>
      <w:r w:rsidR="00AB0B1C" w:rsidRPr="008E27E1">
        <w:rPr>
          <w:rFonts w:eastAsia="Arial Unicode MS" w:cs="Arial" w:hint="eastAsia"/>
          <w:color w:val="000000" w:themeColor="text1"/>
          <w:kern w:val="2"/>
          <w:sz w:val="22"/>
          <w:szCs w:val="22"/>
          <w:lang w:val="en-US"/>
        </w:rPr>
        <w:t>.</w:t>
      </w:r>
      <w:r w:rsidR="00933578">
        <w:rPr>
          <w:rFonts w:eastAsia="Arial Unicode MS" w:cs="Arial"/>
          <w:color w:val="000000" w:themeColor="text1"/>
          <w:kern w:val="2"/>
          <w:sz w:val="22"/>
          <w:szCs w:val="22"/>
          <w:lang w:val="en-US"/>
        </w:rPr>
        <w:t xml:space="preserve"> </w:t>
      </w:r>
    </w:p>
    <w:p w14:paraId="3B5E6229" w14:textId="50545752" w:rsidR="007B4C3C" w:rsidRDefault="007B4C3C" w:rsidP="007B4C3C">
      <w:pPr>
        <w:pStyle w:val="3"/>
        <w:rPr>
          <w:rFonts w:eastAsiaTheme="minorEastAsia"/>
          <w:b/>
          <w:color w:val="000000" w:themeColor="text1"/>
          <w:lang w:val="en-US"/>
        </w:rPr>
      </w:pPr>
      <w:r w:rsidRPr="007B4C3C">
        <w:rPr>
          <w:rFonts w:eastAsiaTheme="minorEastAsia"/>
          <w:b/>
          <w:color w:val="000000" w:themeColor="text1"/>
          <w:lang w:val="en-US"/>
        </w:rPr>
        <w:t>2.2.1 Preemption indication</w:t>
      </w:r>
    </w:p>
    <w:p w14:paraId="4EA6C778" w14:textId="15672823" w:rsidR="007B4C3C" w:rsidRDefault="007B4C3C" w:rsidP="007B4C3C">
      <w:pPr>
        <w:jc w:val="both"/>
        <w:rPr>
          <w:rFonts w:eastAsia="ＭＳ 明朝"/>
          <w:color w:val="000000" w:themeColor="text1"/>
          <w:sz w:val="22"/>
          <w:lang w:val="en-US"/>
        </w:rPr>
      </w:pPr>
      <w:r w:rsidRPr="008E27E1">
        <w:rPr>
          <w:rFonts w:eastAsia="ＭＳ 明朝"/>
          <w:color w:val="000000" w:themeColor="text1"/>
          <w:sz w:val="22"/>
          <w:lang w:val="en-US"/>
        </w:rPr>
        <w:t xml:space="preserve">There is an on-going discussion on </w:t>
      </w:r>
      <w:r w:rsidR="00A13E57">
        <w:rPr>
          <w:rFonts w:eastAsia="ＭＳ 明朝"/>
          <w:color w:val="000000" w:themeColor="text1"/>
          <w:sz w:val="22"/>
          <w:lang w:val="en-US"/>
        </w:rPr>
        <w:t xml:space="preserve">whether </w:t>
      </w:r>
      <w:r w:rsidR="0051555E">
        <w:rPr>
          <w:rFonts w:eastAsia="SimSun"/>
          <w:color w:val="000000" w:themeColor="text1"/>
          <w:sz w:val="22"/>
          <w:lang w:val="en-US" w:eastAsia="zh-CN"/>
        </w:rPr>
        <w:t xml:space="preserve">preemption indication </w:t>
      </w:r>
      <w:r w:rsidRPr="008E27E1">
        <w:rPr>
          <w:rFonts w:eastAsia="ＭＳ 明朝"/>
          <w:color w:val="000000" w:themeColor="text1"/>
          <w:sz w:val="22"/>
          <w:lang w:val="en-US"/>
        </w:rPr>
        <w:t>for eMBB and URLLC multiplexing</w:t>
      </w:r>
      <w:r w:rsidR="00A13E57">
        <w:rPr>
          <w:rFonts w:eastAsia="ＭＳ 明朝"/>
          <w:color w:val="000000" w:themeColor="text1"/>
          <w:sz w:val="22"/>
          <w:lang w:val="en-US"/>
        </w:rPr>
        <w:t xml:space="preserve"> is transmitted in group common PDCCH or UE specific PDCCH</w:t>
      </w:r>
      <w:r w:rsidR="003027C8">
        <w:rPr>
          <w:rFonts w:eastAsia="ＭＳ 明朝"/>
          <w:color w:val="000000" w:themeColor="text1"/>
          <w:sz w:val="22"/>
          <w:lang w:val="en-US"/>
        </w:rPr>
        <w:t>. A</w:t>
      </w:r>
      <w:r w:rsidR="00B133B5">
        <w:rPr>
          <w:rFonts w:eastAsia="ＭＳ 明朝"/>
          <w:color w:val="000000" w:themeColor="text1"/>
          <w:sz w:val="22"/>
          <w:lang w:val="en-US"/>
        </w:rPr>
        <w:t>t</w:t>
      </w:r>
      <w:r w:rsidR="00A13E57">
        <w:rPr>
          <w:rFonts w:eastAsia="ＭＳ 明朝"/>
          <w:color w:val="000000" w:themeColor="text1"/>
          <w:sz w:val="22"/>
          <w:lang w:val="en-US"/>
        </w:rPr>
        <w:t xml:space="preserve"> the last </w:t>
      </w:r>
      <w:r w:rsidR="00B133B5">
        <w:rPr>
          <w:rFonts w:eastAsia="ＭＳ 明朝"/>
          <w:color w:val="000000" w:themeColor="text1"/>
          <w:sz w:val="22"/>
          <w:lang w:val="en-US"/>
        </w:rPr>
        <w:t xml:space="preserve">RAN1 </w:t>
      </w:r>
      <w:r w:rsidR="00A13E57">
        <w:rPr>
          <w:rFonts w:eastAsia="ＭＳ 明朝"/>
          <w:color w:val="000000" w:themeColor="text1"/>
          <w:sz w:val="22"/>
          <w:lang w:val="en-US"/>
        </w:rPr>
        <w:t>meeting,</w:t>
      </w:r>
      <w:r w:rsidR="003027C8">
        <w:rPr>
          <w:rFonts w:eastAsia="ＭＳ 明朝"/>
          <w:color w:val="000000" w:themeColor="text1"/>
          <w:sz w:val="22"/>
          <w:lang w:val="en-US"/>
        </w:rPr>
        <w:t xml:space="preserve"> it was agreed that the preemption indication is transmitted using a PDCCH while the preemption indication is not included in the DCI that schedules the (re)transmission of the data transmission. </w:t>
      </w:r>
      <w:r w:rsidR="00B133B5">
        <w:rPr>
          <w:rFonts w:eastAsia="ＭＳ 明朝"/>
          <w:color w:val="000000" w:themeColor="text1"/>
          <w:sz w:val="22"/>
          <w:lang w:val="en-US"/>
        </w:rPr>
        <w:t xml:space="preserve">If the DCI informing preemption is UE-specifically transmitted, high overhead will be necessary. Therefore, </w:t>
      </w:r>
      <w:r w:rsidR="00A13E57">
        <w:rPr>
          <w:rFonts w:eastAsia="ＭＳ 明朝"/>
          <w:color w:val="000000" w:themeColor="text1"/>
          <w:sz w:val="22"/>
          <w:lang w:val="en-US"/>
        </w:rPr>
        <w:t xml:space="preserve">preemption indication </w:t>
      </w:r>
      <w:r w:rsidR="00B133B5">
        <w:rPr>
          <w:rFonts w:eastAsia="ＭＳ 明朝"/>
          <w:color w:val="000000" w:themeColor="text1"/>
          <w:sz w:val="22"/>
          <w:lang w:val="en-US"/>
        </w:rPr>
        <w:t>should</w:t>
      </w:r>
      <w:r w:rsidR="00A13E57">
        <w:rPr>
          <w:rFonts w:eastAsia="ＭＳ 明朝"/>
          <w:color w:val="000000" w:themeColor="text1"/>
          <w:sz w:val="22"/>
          <w:lang w:val="en-US"/>
        </w:rPr>
        <w:t xml:space="preserve"> not </w:t>
      </w:r>
      <w:r w:rsidR="00B133B5">
        <w:rPr>
          <w:rFonts w:eastAsia="ＭＳ 明朝"/>
          <w:color w:val="000000" w:themeColor="text1"/>
          <w:sz w:val="22"/>
          <w:lang w:val="en-US"/>
        </w:rPr>
        <w:t xml:space="preserve">be </w:t>
      </w:r>
      <w:r w:rsidR="00A13E57">
        <w:rPr>
          <w:rFonts w:eastAsia="ＭＳ 明朝"/>
          <w:color w:val="000000" w:themeColor="text1"/>
          <w:sz w:val="22"/>
          <w:lang w:val="en-US"/>
        </w:rPr>
        <w:t xml:space="preserve">transmitted in UE specific </w:t>
      </w:r>
      <w:r w:rsidR="00B133B5">
        <w:rPr>
          <w:rFonts w:eastAsia="ＭＳ 明朝"/>
          <w:color w:val="000000" w:themeColor="text1"/>
          <w:sz w:val="22"/>
          <w:lang w:val="en-US"/>
        </w:rPr>
        <w:t>manner</w:t>
      </w:r>
      <w:r w:rsidR="00A13E57">
        <w:rPr>
          <w:rFonts w:eastAsia="ＭＳ 明朝"/>
          <w:color w:val="000000" w:themeColor="text1"/>
          <w:sz w:val="22"/>
          <w:lang w:val="en-US"/>
        </w:rPr>
        <w:t xml:space="preserve">. In this case, </w:t>
      </w:r>
      <w:r w:rsidR="00B133B5">
        <w:rPr>
          <w:rFonts w:eastAsia="ＭＳ 明朝"/>
          <w:color w:val="000000" w:themeColor="text1"/>
          <w:sz w:val="22"/>
          <w:lang w:val="en-US"/>
        </w:rPr>
        <w:t>it is feasible</w:t>
      </w:r>
      <w:r w:rsidR="00A13E57">
        <w:rPr>
          <w:rFonts w:eastAsia="ＭＳ 明朝"/>
          <w:color w:val="000000" w:themeColor="text1"/>
          <w:sz w:val="22"/>
          <w:lang w:val="en-US"/>
        </w:rPr>
        <w:t xml:space="preserve"> to transmit preemption indication </w:t>
      </w:r>
      <w:r w:rsidR="00B133B5">
        <w:rPr>
          <w:rFonts w:eastAsia="ＭＳ 明朝"/>
          <w:color w:val="000000" w:themeColor="text1"/>
          <w:sz w:val="22"/>
          <w:lang w:val="en-US"/>
        </w:rPr>
        <w:t>by</w:t>
      </w:r>
      <w:r w:rsidR="00A13E57">
        <w:rPr>
          <w:rFonts w:eastAsia="ＭＳ 明朝"/>
          <w:color w:val="000000" w:themeColor="text1"/>
          <w:sz w:val="22"/>
          <w:lang w:val="en-US"/>
        </w:rPr>
        <w:t xml:space="preserve"> using group common PDCCH.</w:t>
      </w:r>
    </w:p>
    <w:p w14:paraId="1C1FDDE2" w14:textId="5E0CD10C" w:rsidR="003A15CF" w:rsidRDefault="003A15CF" w:rsidP="00841EAD">
      <w:pPr>
        <w:pStyle w:val="3"/>
        <w:rPr>
          <w:rFonts w:eastAsiaTheme="minorEastAsia"/>
          <w:b/>
          <w:color w:val="000000" w:themeColor="text1"/>
          <w:lang w:val="en-US"/>
        </w:rPr>
      </w:pPr>
      <w:r w:rsidRPr="00841EAD">
        <w:rPr>
          <w:rFonts w:eastAsiaTheme="minorEastAsia"/>
          <w:b/>
          <w:color w:val="000000" w:themeColor="text1"/>
          <w:lang w:val="en-US"/>
        </w:rPr>
        <w:lastRenderedPageBreak/>
        <w:t>2.2.2 Starting position and duration of data</w:t>
      </w:r>
    </w:p>
    <w:p w14:paraId="65DC7BEE" w14:textId="7FFC9F80" w:rsidR="007D1E09" w:rsidRPr="008E27E1" w:rsidRDefault="007D1E09" w:rsidP="007D1E09">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As discussed at </w:t>
      </w:r>
      <w:r w:rsidR="00212615">
        <w:rPr>
          <w:rFonts w:eastAsia="Arial Unicode MS" w:cs="Arial"/>
          <w:color w:val="000000" w:themeColor="text1"/>
          <w:kern w:val="2"/>
          <w:sz w:val="22"/>
          <w:szCs w:val="22"/>
          <w:lang w:val="en-US"/>
        </w:rPr>
        <w:t>RAN1 #</w:t>
      </w:r>
      <w:r>
        <w:rPr>
          <w:rFonts w:eastAsia="Arial Unicode MS" w:cs="Arial"/>
          <w:color w:val="000000" w:themeColor="text1"/>
          <w:kern w:val="2"/>
          <w:sz w:val="22"/>
          <w:szCs w:val="22"/>
          <w:lang w:val="en-US"/>
        </w:rPr>
        <w:t xml:space="preserve">Jan ad-hoc </w:t>
      </w:r>
      <w:r w:rsidRPr="008E27E1">
        <w:rPr>
          <w:rFonts w:eastAsia="Arial Unicode MS" w:cs="Arial" w:hint="eastAsia"/>
          <w:color w:val="000000" w:themeColor="text1"/>
          <w:kern w:val="2"/>
          <w:sz w:val="22"/>
          <w:szCs w:val="22"/>
          <w:lang w:val="en-US"/>
        </w:rPr>
        <w:t xml:space="preserve">meeting, </w:t>
      </w:r>
      <w:r w:rsidR="00B133B5">
        <w:rPr>
          <w:rFonts w:eastAsia="Arial Unicode MS" w:cs="Arial"/>
          <w:color w:val="000000" w:themeColor="text1"/>
          <w:kern w:val="2"/>
          <w:sz w:val="22"/>
          <w:szCs w:val="22"/>
          <w:lang w:val="en-US"/>
        </w:rPr>
        <w:t xml:space="preserve">we consider </w:t>
      </w:r>
      <w:r w:rsidRPr="008E27E1">
        <w:rPr>
          <w:rFonts w:eastAsia="Arial Unicode MS" w:cs="Arial"/>
          <w:color w:val="000000" w:themeColor="text1"/>
          <w:kern w:val="2"/>
          <w:sz w:val="22"/>
          <w:szCs w:val="22"/>
          <w:lang w:val="en-US"/>
        </w:rPr>
        <w:t xml:space="preserve">the ‘group common PDCCH’ can be used to </w:t>
      </w:r>
      <w:r w:rsidRPr="008E27E1">
        <w:rPr>
          <w:rFonts w:eastAsia="Arial Unicode MS" w:cs="Arial" w:hint="eastAsia"/>
          <w:color w:val="000000" w:themeColor="text1"/>
          <w:kern w:val="2"/>
          <w:sz w:val="22"/>
          <w:szCs w:val="22"/>
          <w:lang w:val="en-US"/>
        </w:rPr>
        <w:t>indicat</w:t>
      </w:r>
      <w:r w:rsidRPr="008E27E1">
        <w:rPr>
          <w:rFonts w:eastAsia="Arial Unicode MS" w:cs="Arial"/>
          <w:color w:val="000000" w:themeColor="text1"/>
          <w:kern w:val="2"/>
          <w:sz w:val="22"/>
          <w:szCs w:val="22"/>
          <w:lang w:val="en-US"/>
        </w:rPr>
        <w:t>e</w:t>
      </w:r>
      <w:r w:rsidRPr="008E27E1">
        <w:rPr>
          <w:rFonts w:eastAsia="Arial Unicode MS" w:cs="Arial" w:hint="eastAsia"/>
          <w:color w:val="000000" w:themeColor="text1"/>
          <w:kern w:val="2"/>
          <w:sz w:val="22"/>
          <w:szCs w:val="22"/>
          <w:lang w:val="en-US"/>
        </w:rPr>
        <w:t xml:space="preserve"> </w:t>
      </w:r>
      <w:r w:rsidRPr="008E27E1">
        <w:rPr>
          <w:rFonts w:eastAsia="Arial Unicode MS" w:cs="Arial"/>
          <w:color w:val="000000" w:themeColor="text1"/>
          <w:kern w:val="2"/>
          <w:sz w:val="22"/>
          <w:szCs w:val="22"/>
          <w:lang w:val="en-US"/>
        </w:rPr>
        <w:t xml:space="preserve">the </w:t>
      </w:r>
      <w:r w:rsidRPr="008E27E1">
        <w:rPr>
          <w:rFonts w:eastAsia="Arial Unicode MS" w:cs="Arial" w:hint="eastAsia"/>
          <w:color w:val="000000" w:themeColor="text1"/>
          <w:kern w:val="2"/>
          <w:sz w:val="22"/>
          <w:szCs w:val="22"/>
          <w:lang w:val="en-US"/>
        </w:rPr>
        <w:t>s</w:t>
      </w:r>
      <w:r w:rsidRPr="008E27E1">
        <w:rPr>
          <w:rFonts w:eastAsia="Arial Unicode MS" w:cs="Arial"/>
          <w:color w:val="000000" w:themeColor="text1"/>
          <w:kern w:val="2"/>
          <w:sz w:val="22"/>
          <w:szCs w:val="22"/>
          <w:lang w:val="en-US"/>
        </w:rPr>
        <w:t xml:space="preserve">taring position </w:t>
      </w:r>
      <w:r>
        <w:rPr>
          <w:rFonts w:eastAsia="Arial Unicode MS" w:cs="Arial"/>
          <w:color w:val="000000" w:themeColor="text1"/>
          <w:kern w:val="2"/>
          <w:sz w:val="22"/>
          <w:szCs w:val="22"/>
          <w:lang w:val="en-US"/>
        </w:rPr>
        <w:t xml:space="preserve">and duration </w:t>
      </w:r>
      <w:r w:rsidRPr="008E27E1">
        <w:rPr>
          <w:rFonts w:eastAsia="Arial Unicode MS" w:cs="Arial"/>
          <w:color w:val="000000" w:themeColor="text1"/>
          <w:kern w:val="2"/>
          <w:sz w:val="22"/>
          <w:szCs w:val="22"/>
          <w:lang w:val="en-US"/>
        </w:rPr>
        <w:t>of DL</w:t>
      </w:r>
      <w:r>
        <w:rPr>
          <w:rFonts w:eastAsia="Arial Unicode MS" w:cs="Arial"/>
          <w:color w:val="000000" w:themeColor="text1"/>
          <w:kern w:val="2"/>
          <w:sz w:val="22"/>
          <w:szCs w:val="22"/>
          <w:lang w:val="en-US"/>
        </w:rPr>
        <w:t>/UL</w:t>
      </w:r>
      <w:r w:rsidRPr="008E27E1">
        <w:rPr>
          <w:rFonts w:eastAsia="Arial Unicode MS" w:cs="Arial"/>
          <w:color w:val="000000" w:themeColor="text1"/>
          <w:kern w:val="2"/>
          <w:sz w:val="22"/>
          <w:szCs w:val="22"/>
          <w:lang w:val="en-US"/>
        </w:rPr>
        <w:t xml:space="preserve"> data in a slot</w:t>
      </w:r>
      <w:r w:rsidRPr="008E27E1">
        <w:rPr>
          <w:rFonts w:eastAsia="Arial Unicode MS" w:cs="Arial" w:hint="eastAsia"/>
          <w:color w:val="000000" w:themeColor="text1"/>
          <w:kern w:val="2"/>
          <w:sz w:val="22"/>
          <w:szCs w:val="22"/>
          <w:lang w:val="en-US"/>
        </w:rPr>
        <w:t>.</w:t>
      </w:r>
    </w:p>
    <w:p w14:paraId="568B4954" w14:textId="2070B07D" w:rsidR="007D1E09" w:rsidRPr="008E27E1" w:rsidRDefault="007D1E09" w:rsidP="007D1E09">
      <w:pPr>
        <w:spacing w:beforeLines="50" w:before="120"/>
        <w:jc w:val="both"/>
        <w:rPr>
          <w:rFonts w:eastAsia="Arial Unicode MS" w:cs="Arial"/>
          <w:color w:val="000000" w:themeColor="text1"/>
          <w:kern w:val="2"/>
          <w:sz w:val="22"/>
          <w:szCs w:val="22"/>
          <w:lang w:val="en-US"/>
        </w:rPr>
      </w:pPr>
      <w:r w:rsidRPr="008E27E1">
        <w:rPr>
          <w:rFonts w:eastAsia="Arial Unicode MS" w:cs="Arial"/>
          <w:color w:val="000000" w:themeColor="text1"/>
          <w:kern w:val="2"/>
          <w:sz w:val="22"/>
          <w:szCs w:val="22"/>
          <w:lang w:val="en-US"/>
        </w:rPr>
        <w:t>For the UE scheduled with DL</w:t>
      </w:r>
      <w:r>
        <w:rPr>
          <w:rFonts w:eastAsia="Arial Unicode MS" w:cs="Arial"/>
          <w:color w:val="000000" w:themeColor="text1"/>
          <w:kern w:val="2"/>
          <w:sz w:val="22"/>
          <w:szCs w:val="22"/>
          <w:lang w:val="en-US"/>
        </w:rPr>
        <w:t>/UL</w:t>
      </w:r>
      <w:r w:rsidRPr="008E27E1">
        <w:rPr>
          <w:rFonts w:eastAsia="Arial Unicode MS" w:cs="Arial"/>
          <w:color w:val="000000" w:themeColor="text1"/>
          <w:kern w:val="2"/>
          <w:sz w:val="22"/>
          <w:szCs w:val="22"/>
          <w:lang w:val="en-US"/>
        </w:rPr>
        <w:t xml:space="preserve"> data in a given slot, there is a scheduling DCI in case of self-slot scheduling. Therefore, the starting position of DL</w:t>
      </w:r>
      <w:r>
        <w:rPr>
          <w:rFonts w:eastAsia="Arial Unicode MS" w:cs="Arial"/>
          <w:color w:val="000000" w:themeColor="text1"/>
          <w:kern w:val="2"/>
          <w:sz w:val="22"/>
          <w:szCs w:val="22"/>
          <w:lang w:val="en-US"/>
        </w:rPr>
        <w:t>/UL</w:t>
      </w:r>
      <w:r w:rsidRPr="008E27E1">
        <w:rPr>
          <w:rFonts w:eastAsia="Arial Unicode MS" w:cs="Arial"/>
          <w:color w:val="000000" w:themeColor="text1"/>
          <w:kern w:val="2"/>
          <w:sz w:val="22"/>
          <w:szCs w:val="22"/>
          <w:lang w:val="en-US"/>
        </w:rPr>
        <w:t xml:space="preserve"> data can be UE-specifically indicated by the scheduling DCI. In case of cross-slot scheduling, it could be beneficial to use the ‘group common PDCCH’ to indicate the starting position of DL</w:t>
      </w:r>
      <w:r>
        <w:rPr>
          <w:rFonts w:eastAsia="Arial Unicode MS" w:cs="Arial"/>
          <w:color w:val="000000" w:themeColor="text1"/>
          <w:kern w:val="2"/>
          <w:sz w:val="22"/>
          <w:szCs w:val="22"/>
          <w:lang w:val="en-US"/>
        </w:rPr>
        <w:t>/UL</w:t>
      </w:r>
      <w:r w:rsidRPr="008E27E1">
        <w:rPr>
          <w:rFonts w:eastAsia="Arial Unicode MS" w:cs="Arial"/>
          <w:color w:val="000000" w:themeColor="text1"/>
          <w:kern w:val="2"/>
          <w:sz w:val="22"/>
          <w:szCs w:val="22"/>
          <w:lang w:val="en-US"/>
        </w:rPr>
        <w:t xml:space="preserve"> data since the scheduling DCI and the scheduled DL data are in different slots.</w:t>
      </w:r>
      <w:r>
        <w:rPr>
          <w:rFonts w:eastAsia="Arial Unicode MS" w:cs="Arial"/>
          <w:color w:val="000000" w:themeColor="text1"/>
          <w:kern w:val="2"/>
          <w:sz w:val="22"/>
          <w:szCs w:val="22"/>
          <w:lang w:val="en-US"/>
        </w:rPr>
        <w:t xml:space="preserve"> </w:t>
      </w:r>
      <w:r w:rsidR="00212615">
        <w:rPr>
          <w:rFonts w:eastAsia="Arial Unicode MS" w:cs="Arial"/>
          <w:color w:val="000000" w:themeColor="text1"/>
          <w:kern w:val="2"/>
          <w:sz w:val="22"/>
          <w:szCs w:val="22"/>
          <w:lang w:val="en-US"/>
        </w:rPr>
        <w:t>For example, a</w:t>
      </w:r>
      <w:r>
        <w:rPr>
          <w:rFonts w:eastAsia="Arial Unicode MS" w:cs="Arial"/>
          <w:color w:val="000000" w:themeColor="text1"/>
          <w:kern w:val="2"/>
          <w:sz w:val="22"/>
          <w:szCs w:val="22"/>
          <w:lang w:val="en-US"/>
        </w:rPr>
        <w:t>s shown in Fig.4</w:t>
      </w:r>
      <w:r w:rsidR="00212615">
        <w:rPr>
          <w:rFonts w:eastAsia="Arial Unicode MS" w:cs="Arial"/>
          <w:color w:val="000000" w:themeColor="text1"/>
          <w:kern w:val="2"/>
          <w:sz w:val="22"/>
          <w:szCs w:val="22"/>
          <w:lang w:val="en-US"/>
        </w:rPr>
        <w:t>, when the UE-specific DCI in</w:t>
      </w:r>
      <w:r w:rsidRPr="008E27E1">
        <w:rPr>
          <w:rFonts w:eastAsia="Arial Unicode MS" w:cs="Arial"/>
          <w:color w:val="000000" w:themeColor="text1"/>
          <w:kern w:val="2"/>
          <w:sz w:val="22"/>
          <w:szCs w:val="22"/>
          <w:lang w:val="en-US"/>
        </w:rPr>
        <w:t xml:space="preserve"> slot </w:t>
      </w:r>
      <w:r w:rsidRPr="008E27E1">
        <w:rPr>
          <w:rFonts w:eastAsia="Arial Unicode MS" w:cs="Arial"/>
          <w:i/>
          <w:color w:val="000000" w:themeColor="text1"/>
          <w:kern w:val="2"/>
          <w:sz w:val="22"/>
          <w:szCs w:val="22"/>
          <w:lang w:val="en-US"/>
        </w:rPr>
        <w:t>n</w:t>
      </w:r>
      <w:r w:rsidRPr="008E27E1">
        <w:rPr>
          <w:rFonts w:eastAsia="Arial Unicode MS" w:cs="Arial"/>
          <w:color w:val="000000" w:themeColor="text1"/>
          <w:kern w:val="2"/>
          <w:sz w:val="22"/>
          <w:szCs w:val="22"/>
          <w:lang w:val="en-US"/>
        </w:rPr>
        <w:t xml:space="preserve"> </w:t>
      </w:r>
      <w:r w:rsidR="00212615">
        <w:rPr>
          <w:rFonts w:eastAsia="Arial Unicode MS" w:cs="Arial"/>
          <w:color w:val="000000" w:themeColor="text1"/>
          <w:kern w:val="2"/>
          <w:sz w:val="22"/>
          <w:szCs w:val="22"/>
          <w:lang w:val="en-US"/>
        </w:rPr>
        <w:t xml:space="preserve">schedules a PDSCH transmission </w:t>
      </w:r>
      <w:r w:rsidR="007477AB">
        <w:rPr>
          <w:rFonts w:eastAsia="Arial Unicode MS" w:cs="Arial"/>
          <w:color w:val="000000" w:themeColor="text1"/>
          <w:kern w:val="2"/>
          <w:sz w:val="22"/>
          <w:szCs w:val="22"/>
          <w:lang w:val="en-US"/>
        </w:rPr>
        <w:t xml:space="preserve">in slot </w:t>
      </w:r>
      <w:r w:rsidR="007477AB" w:rsidRPr="00320D2B">
        <w:rPr>
          <w:rFonts w:eastAsia="Arial Unicode MS" w:cs="Arial"/>
          <w:i/>
          <w:color w:val="000000" w:themeColor="text1"/>
          <w:kern w:val="2"/>
          <w:sz w:val="22"/>
          <w:szCs w:val="22"/>
          <w:lang w:val="en-US"/>
        </w:rPr>
        <w:t>n+k</w:t>
      </w:r>
      <w:r w:rsidR="00A07EFD">
        <w:rPr>
          <w:rFonts w:eastAsia="Arial Unicode MS" w:cs="Arial"/>
          <w:color w:val="000000" w:themeColor="text1"/>
          <w:kern w:val="2"/>
          <w:sz w:val="22"/>
          <w:szCs w:val="22"/>
          <w:lang w:val="en-US"/>
        </w:rPr>
        <w:t>, the UE-specific DCI tells the UE to receive</w:t>
      </w:r>
      <w:r w:rsidR="007477AB">
        <w:rPr>
          <w:rFonts w:eastAsia="Arial Unicode MS" w:cs="Arial"/>
          <w:color w:val="000000" w:themeColor="text1"/>
          <w:kern w:val="2"/>
          <w:sz w:val="22"/>
          <w:szCs w:val="22"/>
          <w:lang w:val="en-US"/>
        </w:rPr>
        <w:t xml:space="preserve"> the scheduled PDSCH occup</w:t>
      </w:r>
      <w:r w:rsidR="00A07EFD">
        <w:rPr>
          <w:rFonts w:eastAsia="Arial Unicode MS" w:cs="Arial"/>
          <w:color w:val="000000" w:themeColor="text1"/>
          <w:kern w:val="2"/>
          <w:sz w:val="22"/>
          <w:szCs w:val="22"/>
          <w:lang w:val="en-US"/>
        </w:rPr>
        <w:t>ying</w:t>
      </w:r>
      <w:r w:rsidR="007477AB">
        <w:rPr>
          <w:rFonts w:eastAsia="Arial Unicode MS" w:cs="Arial"/>
          <w:color w:val="000000" w:themeColor="text1"/>
          <w:kern w:val="2"/>
          <w:sz w:val="22"/>
          <w:szCs w:val="22"/>
          <w:lang w:val="en-US"/>
        </w:rPr>
        <w:t xml:space="preserve"> the full slot. </w:t>
      </w:r>
      <w:r w:rsidR="00A07EFD">
        <w:rPr>
          <w:rFonts w:eastAsia="Arial Unicode MS" w:cs="Arial"/>
          <w:color w:val="000000" w:themeColor="text1"/>
          <w:kern w:val="2"/>
          <w:sz w:val="22"/>
          <w:szCs w:val="22"/>
          <w:lang w:val="en-US"/>
        </w:rPr>
        <w:t xml:space="preserve">However, at the slot </w:t>
      </w:r>
      <w:r w:rsidR="00A07EFD" w:rsidRPr="007E0857">
        <w:rPr>
          <w:rFonts w:eastAsia="Arial Unicode MS" w:cs="Arial"/>
          <w:i/>
          <w:color w:val="000000" w:themeColor="text1"/>
          <w:kern w:val="2"/>
          <w:sz w:val="22"/>
          <w:szCs w:val="22"/>
          <w:lang w:val="en-US"/>
        </w:rPr>
        <w:t>n</w:t>
      </w:r>
      <w:r w:rsidR="00A07EFD">
        <w:rPr>
          <w:rFonts w:eastAsia="Arial Unicode MS" w:cs="Arial"/>
          <w:color w:val="000000" w:themeColor="text1"/>
          <w:kern w:val="2"/>
          <w:sz w:val="22"/>
          <w:szCs w:val="22"/>
          <w:lang w:val="en-US"/>
        </w:rPr>
        <w:t>+</w:t>
      </w:r>
      <w:r w:rsidR="00A07EFD" w:rsidRPr="007E0857">
        <w:rPr>
          <w:rFonts w:eastAsia="Arial Unicode MS" w:cs="Arial"/>
          <w:i/>
          <w:color w:val="000000" w:themeColor="text1"/>
          <w:kern w:val="2"/>
          <w:sz w:val="22"/>
          <w:szCs w:val="22"/>
          <w:lang w:val="en-US"/>
        </w:rPr>
        <w:t>k</w:t>
      </w:r>
      <w:r w:rsidR="00A07EFD">
        <w:rPr>
          <w:rFonts w:eastAsia="Arial Unicode MS" w:cs="Arial"/>
          <w:color w:val="000000" w:themeColor="text1"/>
          <w:kern w:val="2"/>
          <w:sz w:val="22"/>
          <w:szCs w:val="22"/>
          <w:lang w:val="en-US"/>
        </w:rPr>
        <w:t>, due to some reasons, the desirable data starting position/duration could be changed. For example, data starting position at a later OFDM symbol than the indicated position is desirable so that PDCCH capacity in the slot can be increased. In order to realize flexible scheduler decision slot-by-slot even when the cross-slot scheduling is configured</w:t>
      </w:r>
      <w:r w:rsidR="007477AB">
        <w:rPr>
          <w:rFonts w:eastAsia="Arial Unicode MS" w:cs="Arial"/>
          <w:color w:val="000000" w:themeColor="text1"/>
          <w:kern w:val="2"/>
          <w:sz w:val="22"/>
          <w:szCs w:val="22"/>
          <w:lang w:val="en-US"/>
        </w:rPr>
        <w:t xml:space="preserve">, </w:t>
      </w:r>
      <w:r w:rsidR="00A07EFD">
        <w:rPr>
          <w:rFonts w:eastAsia="Arial Unicode MS" w:cs="Arial"/>
          <w:color w:val="000000" w:themeColor="text1"/>
          <w:kern w:val="2"/>
          <w:sz w:val="22"/>
          <w:szCs w:val="22"/>
          <w:lang w:val="en-US"/>
        </w:rPr>
        <w:t xml:space="preserve">it is useful to indicate </w:t>
      </w:r>
      <w:r w:rsidRPr="008E27E1">
        <w:rPr>
          <w:rFonts w:eastAsia="Arial Unicode MS" w:cs="Arial"/>
          <w:color w:val="000000" w:themeColor="text1"/>
          <w:kern w:val="2"/>
          <w:sz w:val="22"/>
          <w:szCs w:val="22"/>
          <w:lang w:val="en-US"/>
        </w:rPr>
        <w:t>the starting position</w:t>
      </w:r>
      <w:r w:rsidR="00A07EFD">
        <w:rPr>
          <w:rFonts w:eastAsia="Arial Unicode MS" w:cs="Arial"/>
          <w:color w:val="000000" w:themeColor="text1"/>
          <w:kern w:val="2"/>
          <w:sz w:val="22"/>
          <w:szCs w:val="22"/>
          <w:lang w:val="en-US"/>
        </w:rPr>
        <w:t>/duration</w:t>
      </w:r>
      <w:r w:rsidRPr="008E27E1">
        <w:rPr>
          <w:rFonts w:eastAsia="Arial Unicode MS" w:cs="Arial"/>
          <w:color w:val="000000" w:themeColor="text1"/>
          <w:kern w:val="2"/>
          <w:sz w:val="22"/>
          <w:szCs w:val="22"/>
          <w:lang w:val="en-US"/>
        </w:rPr>
        <w:t xml:space="preserve"> of</w:t>
      </w:r>
      <w:r w:rsidR="007477AB">
        <w:rPr>
          <w:rFonts w:eastAsia="Arial Unicode MS" w:cs="Arial"/>
          <w:color w:val="000000" w:themeColor="text1"/>
          <w:kern w:val="2"/>
          <w:sz w:val="22"/>
          <w:szCs w:val="22"/>
          <w:lang w:val="en-US"/>
        </w:rPr>
        <w:t xml:space="preserve"> the PDSCH</w:t>
      </w:r>
      <w:r w:rsidRPr="008E27E1">
        <w:rPr>
          <w:rFonts w:eastAsia="Arial Unicode MS" w:cs="Arial"/>
          <w:color w:val="000000" w:themeColor="text1"/>
          <w:kern w:val="2"/>
          <w:sz w:val="22"/>
          <w:szCs w:val="22"/>
          <w:lang w:val="en-US"/>
        </w:rPr>
        <w:t xml:space="preserve"> in the slot </w:t>
      </w:r>
      <w:r w:rsidRPr="008E27E1">
        <w:rPr>
          <w:rFonts w:eastAsia="Arial Unicode MS" w:cs="Arial"/>
          <w:i/>
          <w:color w:val="000000" w:themeColor="text1"/>
          <w:kern w:val="2"/>
          <w:sz w:val="22"/>
          <w:szCs w:val="22"/>
          <w:lang w:val="en-US"/>
        </w:rPr>
        <w:t>n</w:t>
      </w:r>
      <w:r w:rsidRPr="008E27E1">
        <w:rPr>
          <w:rFonts w:eastAsia="Arial Unicode MS" w:cs="Arial"/>
          <w:color w:val="000000" w:themeColor="text1"/>
          <w:kern w:val="2"/>
          <w:sz w:val="22"/>
          <w:szCs w:val="22"/>
          <w:lang w:val="en-US"/>
        </w:rPr>
        <w:t>+</w:t>
      </w:r>
      <w:r w:rsidRPr="008E27E1">
        <w:rPr>
          <w:rFonts w:eastAsia="Arial Unicode MS" w:cs="Arial"/>
          <w:i/>
          <w:color w:val="000000" w:themeColor="text1"/>
          <w:kern w:val="2"/>
          <w:sz w:val="22"/>
          <w:szCs w:val="22"/>
          <w:lang w:val="en-US"/>
        </w:rPr>
        <w:t>k</w:t>
      </w:r>
      <w:r w:rsidRPr="008E27E1">
        <w:rPr>
          <w:rFonts w:eastAsia="Arial Unicode MS" w:cs="Arial"/>
          <w:color w:val="000000" w:themeColor="text1"/>
          <w:kern w:val="2"/>
          <w:sz w:val="22"/>
          <w:szCs w:val="22"/>
          <w:lang w:val="en-US"/>
        </w:rPr>
        <w:t xml:space="preserve"> by the ‘group common PDCCH’ in the slot </w:t>
      </w:r>
      <w:r w:rsidRPr="008E27E1">
        <w:rPr>
          <w:rFonts w:eastAsia="Arial Unicode MS" w:cs="Arial"/>
          <w:i/>
          <w:color w:val="000000" w:themeColor="text1"/>
          <w:kern w:val="2"/>
          <w:sz w:val="22"/>
          <w:szCs w:val="22"/>
          <w:lang w:val="en-US"/>
        </w:rPr>
        <w:t>n</w:t>
      </w:r>
      <w:r w:rsidRPr="008E27E1">
        <w:rPr>
          <w:rFonts w:eastAsia="Arial Unicode MS" w:cs="Arial"/>
          <w:color w:val="000000" w:themeColor="text1"/>
          <w:kern w:val="2"/>
          <w:sz w:val="22"/>
          <w:szCs w:val="22"/>
          <w:lang w:val="en-US"/>
        </w:rPr>
        <w:t>+</w:t>
      </w:r>
      <w:r w:rsidRPr="008E27E1">
        <w:rPr>
          <w:rFonts w:eastAsia="Arial Unicode MS" w:cs="Arial"/>
          <w:i/>
          <w:color w:val="000000" w:themeColor="text1"/>
          <w:kern w:val="2"/>
          <w:sz w:val="22"/>
          <w:szCs w:val="22"/>
          <w:lang w:val="en-US"/>
        </w:rPr>
        <w:t>k</w:t>
      </w:r>
      <w:r w:rsidRPr="008E27E1">
        <w:rPr>
          <w:rFonts w:eastAsia="Arial Unicode MS" w:cs="Arial"/>
          <w:color w:val="000000" w:themeColor="text1"/>
          <w:kern w:val="2"/>
          <w:sz w:val="22"/>
          <w:szCs w:val="22"/>
          <w:lang w:val="en-US"/>
        </w:rPr>
        <w:t>. Alternatively, it should also be possible to determine the DL</w:t>
      </w:r>
      <w:r>
        <w:rPr>
          <w:rFonts w:eastAsia="Arial Unicode MS" w:cs="Arial"/>
          <w:color w:val="000000" w:themeColor="text1"/>
          <w:kern w:val="2"/>
          <w:sz w:val="22"/>
          <w:szCs w:val="22"/>
          <w:lang w:val="en-US"/>
        </w:rPr>
        <w:t>/UL</w:t>
      </w:r>
      <w:r w:rsidRPr="008E27E1">
        <w:rPr>
          <w:rFonts w:eastAsia="Arial Unicode MS" w:cs="Arial"/>
          <w:color w:val="000000" w:themeColor="text1"/>
          <w:kern w:val="2"/>
          <w:sz w:val="22"/>
          <w:szCs w:val="22"/>
          <w:lang w:val="en-US"/>
        </w:rPr>
        <w:t xml:space="preserve"> data starting position by higher-layer signaling, in which case the UE is not required to </w:t>
      </w:r>
      <w:r>
        <w:rPr>
          <w:rFonts w:eastAsia="Arial Unicode MS" w:cs="Arial"/>
          <w:color w:val="000000" w:themeColor="text1"/>
          <w:kern w:val="2"/>
          <w:sz w:val="22"/>
          <w:szCs w:val="22"/>
          <w:lang w:val="en-US"/>
        </w:rPr>
        <w:t>acquire</w:t>
      </w:r>
      <w:r w:rsidRPr="008E27E1">
        <w:rPr>
          <w:rFonts w:eastAsia="Arial Unicode MS" w:cs="Arial"/>
          <w:color w:val="000000" w:themeColor="text1"/>
          <w:kern w:val="2"/>
          <w:sz w:val="22"/>
          <w:szCs w:val="22"/>
          <w:lang w:val="en-US"/>
        </w:rPr>
        <w:t xml:space="preserve"> the </w:t>
      </w:r>
      <w:r>
        <w:rPr>
          <w:rFonts w:eastAsia="Arial Unicode MS" w:cs="Arial"/>
          <w:color w:val="000000" w:themeColor="text1"/>
          <w:kern w:val="2"/>
          <w:sz w:val="22"/>
          <w:szCs w:val="22"/>
          <w:lang w:val="en-US"/>
        </w:rPr>
        <w:t xml:space="preserve">information from the </w:t>
      </w:r>
      <w:r w:rsidRPr="008E27E1">
        <w:rPr>
          <w:rFonts w:eastAsia="Arial Unicode MS" w:cs="Arial"/>
          <w:color w:val="000000" w:themeColor="text1"/>
          <w:kern w:val="2"/>
          <w:sz w:val="22"/>
          <w:szCs w:val="22"/>
          <w:lang w:val="en-US"/>
        </w:rPr>
        <w:t>‘group common PDCCH’.</w:t>
      </w:r>
    </w:p>
    <w:p w14:paraId="3888FCA0" w14:textId="77777777" w:rsidR="007D1E09" w:rsidRDefault="007D1E09" w:rsidP="007D1E09">
      <w:pPr>
        <w:spacing w:beforeLines="50" w:before="120"/>
        <w:jc w:val="center"/>
        <w:rPr>
          <w:rFonts w:eastAsia="Arial Unicode MS" w:cs="Arial"/>
          <w:color w:val="000000" w:themeColor="text1"/>
          <w:kern w:val="2"/>
          <w:sz w:val="22"/>
          <w:szCs w:val="22"/>
          <w:lang w:val="en-US"/>
        </w:rPr>
      </w:pPr>
    </w:p>
    <w:p w14:paraId="7A50492F" w14:textId="77777777" w:rsidR="007D1E09" w:rsidRDefault="007D1E09" w:rsidP="007D1E09">
      <w:pPr>
        <w:spacing w:beforeLines="50" w:before="120"/>
        <w:jc w:val="center"/>
        <w:rPr>
          <w:rFonts w:eastAsia="Arial Unicode MS" w:cs="Arial"/>
          <w:color w:val="000000" w:themeColor="text1"/>
          <w:kern w:val="2"/>
          <w:sz w:val="22"/>
          <w:szCs w:val="22"/>
          <w:lang w:val="en-US"/>
        </w:rPr>
      </w:pPr>
      <w:r>
        <w:rPr>
          <w:rFonts w:eastAsia="Arial Unicode MS" w:cs="Arial"/>
          <w:noProof/>
          <w:color w:val="000000" w:themeColor="text1"/>
          <w:kern w:val="2"/>
          <w:sz w:val="22"/>
          <w:szCs w:val="22"/>
          <w:lang w:val="en-US" w:eastAsia="zh-CN"/>
        </w:rPr>
        <w:drawing>
          <wp:inline distT="0" distB="0" distL="0" distR="0" wp14:anchorId="2E748232" wp14:editId="46B39599">
            <wp:extent cx="3549650" cy="81407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4840" cy="819856"/>
                    </a:xfrm>
                    <a:prstGeom prst="rect">
                      <a:avLst/>
                    </a:prstGeom>
                    <a:noFill/>
                  </pic:spPr>
                </pic:pic>
              </a:graphicData>
            </a:graphic>
          </wp:inline>
        </w:drawing>
      </w:r>
    </w:p>
    <w:p w14:paraId="75147FB7" w14:textId="48E35780" w:rsidR="007D1E09" w:rsidRPr="008E27E1" w:rsidRDefault="007D1E09" w:rsidP="007D1E09">
      <w:pPr>
        <w:spacing w:beforeLines="50" w:before="120"/>
        <w:jc w:val="center"/>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Fig.</w:t>
      </w:r>
      <w:r w:rsidR="00101588">
        <w:rPr>
          <w:rFonts w:eastAsia="Arial Unicode MS" w:cs="Arial"/>
          <w:color w:val="000000" w:themeColor="text1"/>
          <w:kern w:val="2"/>
          <w:sz w:val="22"/>
          <w:szCs w:val="22"/>
          <w:lang w:val="en-US"/>
        </w:rPr>
        <w:t>2</w:t>
      </w:r>
      <w:r>
        <w:rPr>
          <w:rFonts w:eastAsia="Arial Unicode MS" w:cs="Arial"/>
          <w:color w:val="000000" w:themeColor="text1"/>
          <w:kern w:val="2"/>
          <w:sz w:val="22"/>
          <w:szCs w:val="22"/>
          <w:lang w:val="en-US"/>
        </w:rPr>
        <w:t xml:space="preserve"> Example of DL data starting position indication for cross-slot scheduling</w:t>
      </w:r>
    </w:p>
    <w:p w14:paraId="4FFDFE6F" w14:textId="65B084BD" w:rsidR="00173696" w:rsidRPr="00E25E33" w:rsidRDefault="00173696" w:rsidP="00E25E33">
      <w:pPr>
        <w:pStyle w:val="3"/>
        <w:numPr>
          <w:ilvl w:val="2"/>
          <w:numId w:val="35"/>
        </w:numPr>
        <w:spacing w:after="120"/>
        <w:rPr>
          <w:rFonts w:eastAsiaTheme="minorEastAsia"/>
          <w:b/>
          <w:color w:val="000000" w:themeColor="text1"/>
          <w:lang w:val="en-US"/>
        </w:rPr>
      </w:pPr>
      <w:r w:rsidRPr="00173696">
        <w:rPr>
          <w:rFonts w:eastAsiaTheme="minorEastAsia"/>
          <w:b/>
          <w:color w:val="000000" w:themeColor="text1"/>
          <w:lang w:val="en-US"/>
        </w:rPr>
        <w:t>L1 signaling for UL grant-free transmissio</w:t>
      </w:r>
      <w:r w:rsidR="00E25E33">
        <w:rPr>
          <w:rFonts w:eastAsiaTheme="minorEastAsia"/>
          <w:b/>
          <w:color w:val="000000" w:themeColor="text1"/>
          <w:lang w:val="en-US"/>
        </w:rPr>
        <w:t>n</w:t>
      </w:r>
      <w:r w:rsidR="00E25E33">
        <w:rPr>
          <w:rFonts w:eastAsia="Arial Unicode MS" w:cs="Arial"/>
          <w:color w:val="000000" w:themeColor="text1"/>
          <w:kern w:val="2"/>
          <w:sz w:val="22"/>
          <w:szCs w:val="22"/>
          <w:lang w:val="en-US"/>
        </w:rPr>
        <w:t xml:space="preserve"> </w:t>
      </w:r>
    </w:p>
    <w:p w14:paraId="2871A5A5" w14:textId="3527B2B2" w:rsidR="00E25E33" w:rsidRPr="00E25E33" w:rsidRDefault="00E25E33" w:rsidP="00E25E33">
      <w:pPr>
        <w:jc w:val="both"/>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In the UL data scheduling session, there is a discussion on L1 signaling for UL grant free transmission. And it was agreed that i</w:t>
      </w:r>
      <w:r w:rsidRPr="00E25E33">
        <w:rPr>
          <w:rFonts w:eastAsia="Arial Unicode MS" w:cs="Arial"/>
          <w:color w:val="000000" w:themeColor="text1"/>
          <w:kern w:val="2"/>
          <w:sz w:val="22"/>
          <w:szCs w:val="22"/>
          <w:lang w:val="en-US"/>
        </w:rPr>
        <w:t>f network configure</w:t>
      </w:r>
      <w:r w:rsidRPr="00E25E33">
        <w:rPr>
          <w:rFonts w:eastAsia="Arial Unicode MS" w:cs="Arial" w:hint="eastAsia"/>
          <w:color w:val="000000" w:themeColor="text1"/>
          <w:kern w:val="2"/>
          <w:sz w:val="22"/>
          <w:szCs w:val="22"/>
          <w:lang w:val="en-US"/>
        </w:rPr>
        <w:t>s,</w:t>
      </w:r>
      <w:r w:rsidRPr="00E25E33">
        <w:rPr>
          <w:rFonts w:eastAsia="Arial Unicode MS" w:cs="Arial"/>
          <w:color w:val="000000" w:themeColor="text1"/>
          <w:kern w:val="2"/>
          <w:sz w:val="22"/>
          <w:szCs w:val="22"/>
          <w:lang w:val="en-US"/>
        </w:rPr>
        <w:t xml:space="preserve"> L1 signaling for activation/deactivation and/or modification on parameters for UL data transmission without UL grant can be applied</w:t>
      </w:r>
      <w:r>
        <w:rPr>
          <w:rFonts w:eastAsia="Arial Unicode MS" w:cs="Arial"/>
          <w:color w:val="000000" w:themeColor="text1"/>
          <w:kern w:val="2"/>
          <w:sz w:val="22"/>
          <w:szCs w:val="22"/>
          <w:lang w:val="en-US"/>
        </w:rPr>
        <w:t>.</w:t>
      </w:r>
      <w:r w:rsidR="005D6946">
        <w:rPr>
          <w:rFonts w:eastAsia="Arial Unicode MS" w:cs="Arial"/>
          <w:color w:val="000000" w:themeColor="text1"/>
          <w:kern w:val="2"/>
          <w:sz w:val="22"/>
          <w:szCs w:val="22"/>
          <w:lang w:val="en-US"/>
        </w:rPr>
        <w:t xml:space="preserve"> Here the L1 signaling for activation/deactivation and/or modification on parameters can be UE specific similar to the signaling used for LTE UL SPS, as discussed in our companion contribution </w:t>
      </w:r>
      <w:r w:rsidR="005D6946" w:rsidRPr="007E0857">
        <w:rPr>
          <w:rFonts w:eastAsia="Arial Unicode MS" w:cs="Arial"/>
          <w:color w:val="000000" w:themeColor="text1"/>
          <w:kern w:val="2"/>
          <w:sz w:val="22"/>
          <w:szCs w:val="22"/>
          <w:lang w:val="en-US"/>
        </w:rPr>
        <w:t>[</w:t>
      </w:r>
      <w:r w:rsidR="00963E26" w:rsidRPr="007E0857">
        <w:rPr>
          <w:rFonts w:eastAsia="Arial Unicode MS" w:cs="Arial"/>
          <w:color w:val="000000" w:themeColor="text1"/>
          <w:kern w:val="2"/>
          <w:sz w:val="22"/>
          <w:szCs w:val="22"/>
          <w:lang w:val="en-US"/>
        </w:rPr>
        <w:t>4</w:t>
      </w:r>
      <w:r w:rsidR="005D6946" w:rsidRPr="007E0857">
        <w:rPr>
          <w:rFonts w:eastAsia="Arial Unicode MS" w:cs="Arial"/>
          <w:color w:val="000000" w:themeColor="text1"/>
          <w:kern w:val="2"/>
          <w:sz w:val="22"/>
          <w:szCs w:val="22"/>
          <w:lang w:val="en-US"/>
        </w:rPr>
        <w:t>].</w:t>
      </w:r>
      <w:r w:rsidR="005D6946">
        <w:rPr>
          <w:rFonts w:eastAsia="Arial Unicode MS" w:cs="Arial"/>
          <w:color w:val="000000" w:themeColor="text1"/>
          <w:kern w:val="2"/>
          <w:sz w:val="22"/>
          <w:szCs w:val="22"/>
          <w:lang w:val="en-US"/>
        </w:rPr>
        <w:t xml:space="preserve"> However, some other signaling, e.g., TPC command can be UE group common</w:t>
      </w:r>
      <w:r w:rsidR="00E23563">
        <w:rPr>
          <w:rFonts w:eastAsia="Arial Unicode MS" w:cs="Arial"/>
          <w:color w:val="000000" w:themeColor="text1"/>
          <w:kern w:val="2"/>
          <w:sz w:val="22"/>
          <w:szCs w:val="22"/>
          <w:lang w:val="en-US"/>
        </w:rPr>
        <w:t xml:space="preserve"> just like DCI 3/3A in LTE</w:t>
      </w:r>
      <w:r w:rsidR="005D6946">
        <w:rPr>
          <w:rFonts w:eastAsia="Arial Unicode MS" w:cs="Arial"/>
          <w:color w:val="000000" w:themeColor="text1"/>
          <w:kern w:val="2"/>
          <w:sz w:val="22"/>
          <w:szCs w:val="22"/>
          <w:lang w:val="en-US"/>
        </w:rPr>
        <w:t xml:space="preserve">. </w:t>
      </w:r>
      <w:r w:rsidR="00B5499E">
        <w:rPr>
          <w:rFonts w:eastAsia="Arial Unicode MS" w:cs="Arial"/>
          <w:color w:val="000000" w:themeColor="text1"/>
          <w:kern w:val="2"/>
          <w:sz w:val="22"/>
          <w:szCs w:val="22"/>
          <w:lang w:val="en-US"/>
        </w:rPr>
        <w:t xml:space="preserve">Although </w:t>
      </w:r>
      <w:r w:rsidR="00E23563">
        <w:rPr>
          <w:rFonts w:eastAsia="Arial Unicode MS" w:cs="Arial"/>
          <w:color w:val="000000" w:themeColor="text1"/>
          <w:kern w:val="2"/>
          <w:sz w:val="22"/>
          <w:szCs w:val="22"/>
          <w:lang w:val="en-US"/>
        </w:rPr>
        <w:t xml:space="preserve">TPC command can also be transmitted in traditional common search space of NR PDCCH, the capacity of common search space may be limited. In addition, as discussed in our companion contribution </w:t>
      </w:r>
      <w:r w:rsidR="00E23563" w:rsidRPr="007C38B3">
        <w:rPr>
          <w:rFonts w:eastAsia="Arial Unicode MS" w:cs="Arial"/>
          <w:color w:val="000000" w:themeColor="text1"/>
          <w:kern w:val="2"/>
          <w:sz w:val="22"/>
          <w:szCs w:val="22"/>
          <w:lang w:val="en-US"/>
        </w:rPr>
        <w:t>[</w:t>
      </w:r>
      <w:r w:rsidR="00963E26">
        <w:rPr>
          <w:rFonts w:eastAsia="Arial Unicode MS" w:cs="Arial"/>
          <w:color w:val="000000" w:themeColor="text1"/>
          <w:kern w:val="2"/>
          <w:sz w:val="22"/>
          <w:szCs w:val="22"/>
          <w:lang w:val="en-US"/>
        </w:rPr>
        <w:t>4</w:t>
      </w:r>
      <w:r w:rsidR="00E23563" w:rsidRPr="007C38B3">
        <w:rPr>
          <w:rFonts w:eastAsia="Arial Unicode MS" w:cs="Arial"/>
          <w:color w:val="000000" w:themeColor="text1"/>
          <w:kern w:val="2"/>
          <w:sz w:val="22"/>
          <w:szCs w:val="22"/>
          <w:lang w:val="en-US"/>
        </w:rPr>
        <w:t>],</w:t>
      </w:r>
      <w:r w:rsidR="00E23563">
        <w:rPr>
          <w:rFonts w:eastAsia="Arial Unicode MS" w:cs="Arial"/>
          <w:color w:val="000000" w:themeColor="text1"/>
          <w:kern w:val="2"/>
          <w:sz w:val="22"/>
          <w:szCs w:val="22"/>
          <w:lang w:val="en-US"/>
        </w:rPr>
        <w:t xml:space="preserve"> the group common search space is configurable. In this case, it is beneficial to deliver the TPC command in group common PDCCH.</w:t>
      </w:r>
      <w:r w:rsidR="00F87AFF">
        <w:rPr>
          <w:rFonts w:eastAsia="Arial Unicode MS" w:cs="Arial"/>
          <w:color w:val="000000" w:themeColor="text1"/>
          <w:kern w:val="2"/>
          <w:sz w:val="22"/>
          <w:szCs w:val="22"/>
          <w:lang w:val="en-US"/>
        </w:rPr>
        <w:t xml:space="preserve"> </w:t>
      </w:r>
    </w:p>
    <w:p w14:paraId="3C5B6259" w14:textId="681BEFE8" w:rsidR="00E25E33" w:rsidRDefault="00E25E33" w:rsidP="00E25E33">
      <w:pPr>
        <w:rPr>
          <w:rFonts w:eastAsia="Arial Unicode MS" w:cs="Arial"/>
          <w:color w:val="000000" w:themeColor="text1"/>
          <w:kern w:val="2"/>
          <w:sz w:val="22"/>
          <w:szCs w:val="22"/>
          <w:lang w:val="en-US"/>
        </w:rPr>
      </w:pPr>
    </w:p>
    <w:p w14:paraId="6FE4F660" w14:textId="77777777" w:rsidR="00085942" w:rsidRDefault="00085942" w:rsidP="00085942">
      <w:pPr>
        <w:rPr>
          <w:rFonts w:eastAsia="Arial Unicode MS" w:cs="Arial"/>
          <w:color w:val="000000" w:themeColor="text1"/>
          <w:kern w:val="2"/>
          <w:sz w:val="22"/>
          <w:szCs w:val="22"/>
          <w:lang w:val="en-US"/>
        </w:rPr>
      </w:pPr>
      <w:r w:rsidRPr="00085942">
        <w:rPr>
          <w:rFonts w:eastAsia="Arial Unicode MS" w:cs="Arial"/>
          <w:b/>
          <w:color w:val="000000" w:themeColor="text1"/>
          <w:kern w:val="2"/>
          <w:sz w:val="22"/>
          <w:szCs w:val="22"/>
          <w:u w:val="single"/>
          <w:lang w:val="en-US"/>
        </w:rPr>
        <w:t>Observation 1:</w:t>
      </w:r>
      <w:r w:rsidRPr="00085942">
        <w:rPr>
          <w:rFonts w:eastAsia="Arial Unicode MS" w:cs="Arial"/>
          <w:color w:val="000000" w:themeColor="text1"/>
          <w:kern w:val="2"/>
          <w:sz w:val="22"/>
          <w:szCs w:val="22"/>
          <w:lang w:val="en-US"/>
        </w:rPr>
        <w:t xml:space="preserve"> </w:t>
      </w:r>
    </w:p>
    <w:p w14:paraId="63689B26" w14:textId="561E9FCA" w:rsidR="00085942" w:rsidRPr="00085942" w:rsidRDefault="00085942" w:rsidP="00085942">
      <w:pPr>
        <w:pStyle w:val="afc"/>
        <w:numPr>
          <w:ilvl w:val="0"/>
          <w:numId w:val="33"/>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 xml:space="preserve">In addition to SFI, following contents can be further considered in GC-PDCCH: </w:t>
      </w:r>
    </w:p>
    <w:p w14:paraId="3F14FA44" w14:textId="77777777" w:rsidR="00085942" w:rsidRPr="00085942" w:rsidRDefault="00085942" w:rsidP="00DD1EDA">
      <w:pPr>
        <w:pStyle w:val="afc"/>
        <w:numPr>
          <w:ilvl w:val="1"/>
          <w:numId w:val="37"/>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 xml:space="preserve">Preemption indication </w:t>
      </w:r>
    </w:p>
    <w:p w14:paraId="22D1C70A" w14:textId="45BDDB22" w:rsidR="00085942" w:rsidRPr="00085942" w:rsidRDefault="00085942" w:rsidP="00DD1EDA">
      <w:pPr>
        <w:pStyle w:val="afc"/>
        <w:numPr>
          <w:ilvl w:val="1"/>
          <w:numId w:val="37"/>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Starting position and duration</w:t>
      </w:r>
    </w:p>
    <w:p w14:paraId="6576C516" w14:textId="56E340D0" w:rsidR="00085942" w:rsidRPr="00521630" w:rsidRDefault="00085942" w:rsidP="00DD1EDA">
      <w:pPr>
        <w:pStyle w:val="afc"/>
        <w:numPr>
          <w:ilvl w:val="1"/>
          <w:numId w:val="37"/>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TPC command</w:t>
      </w:r>
    </w:p>
    <w:p w14:paraId="5F7D72D3" w14:textId="25858472" w:rsidR="00A076AD" w:rsidRPr="00E25E33" w:rsidRDefault="00085942" w:rsidP="00947B40">
      <w:pPr>
        <w:spacing w:beforeLines="50" w:before="120"/>
        <w:jc w:val="both"/>
        <w:rPr>
          <w:rFonts w:eastAsia="Arial Unicode MS" w:cs="Arial"/>
          <w:color w:val="000000" w:themeColor="text1"/>
          <w:kern w:val="2"/>
          <w:sz w:val="22"/>
          <w:szCs w:val="22"/>
          <w:lang w:val="en-US" w:eastAsia="zh-CN"/>
        </w:rPr>
      </w:pPr>
      <w:r>
        <w:rPr>
          <w:rFonts w:eastAsia="Arial Unicode MS" w:cs="Arial"/>
          <w:color w:val="000000" w:themeColor="text1"/>
          <w:kern w:val="2"/>
          <w:sz w:val="22"/>
          <w:szCs w:val="22"/>
          <w:lang w:val="en-US" w:eastAsia="zh-CN"/>
        </w:rPr>
        <w:t xml:space="preserve">In addition, </w:t>
      </w:r>
      <w:r w:rsidR="00AA137E">
        <w:rPr>
          <w:rFonts w:eastAsia="Arial Unicode MS" w:cs="Arial"/>
          <w:color w:val="000000" w:themeColor="text1"/>
          <w:kern w:val="2"/>
          <w:sz w:val="22"/>
          <w:szCs w:val="22"/>
          <w:lang w:val="en-US" w:eastAsia="zh-CN"/>
        </w:rPr>
        <w:t>considering the information overhead in group common PDCCH,</w:t>
      </w:r>
      <w:r>
        <w:rPr>
          <w:rFonts w:eastAsia="Arial Unicode MS" w:cs="Arial"/>
          <w:color w:val="000000" w:themeColor="text1"/>
          <w:kern w:val="2"/>
          <w:sz w:val="22"/>
          <w:szCs w:val="22"/>
          <w:lang w:val="en-US" w:eastAsia="zh-CN"/>
        </w:rPr>
        <w:t xml:space="preserve"> w</w:t>
      </w:r>
      <w:r w:rsidR="000C2E34">
        <w:rPr>
          <w:rFonts w:eastAsia="Arial Unicode MS" w:cs="Arial"/>
          <w:color w:val="000000" w:themeColor="text1"/>
          <w:kern w:val="2"/>
          <w:sz w:val="22"/>
          <w:szCs w:val="22"/>
          <w:lang w:val="en-US" w:eastAsia="zh-CN"/>
        </w:rPr>
        <w:t>e believe that the contents included in the ‘group common PDCCH’ should be configurable per each parameter. NW should be able to decide parameters in the ‘group common PDCCH’ depending on the use-cases/scenarios of the operation.</w:t>
      </w:r>
    </w:p>
    <w:p w14:paraId="66A231FA" w14:textId="77777777" w:rsidR="00521630" w:rsidRPr="00AA137E" w:rsidRDefault="00521630" w:rsidP="00521630">
      <w:pPr>
        <w:spacing w:beforeLines="50" w:before="120"/>
        <w:jc w:val="both"/>
        <w:rPr>
          <w:rFonts w:eastAsia="Arial Unicode MS" w:cs="Arial"/>
          <w:b/>
          <w:color w:val="000000" w:themeColor="text1"/>
          <w:kern w:val="2"/>
          <w:sz w:val="22"/>
          <w:szCs w:val="22"/>
          <w:u w:val="single"/>
          <w:lang w:val="en-US"/>
        </w:rPr>
      </w:pPr>
      <w:r>
        <w:rPr>
          <w:rFonts w:eastAsia="Arial Unicode MS" w:cs="Arial"/>
          <w:b/>
          <w:color w:val="000000" w:themeColor="text1"/>
          <w:kern w:val="2"/>
          <w:sz w:val="22"/>
          <w:szCs w:val="22"/>
          <w:u w:val="single"/>
          <w:lang w:val="en-US"/>
        </w:rPr>
        <w:t>Proposal 3</w:t>
      </w:r>
      <w:r w:rsidRPr="00AA137E">
        <w:rPr>
          <w:rFonts w:eastAsia="Arial Unicode MS" w:cs="Arial"/>
          <w:b/>
          <w:color w:val="000000" w:themeColor="text1"/>
          <w:kern w:val="2"/>
          <w:sz w:val="22"/>
          <w:szCs w:val="22"/>
          <w:u w:val="single"/>
          <w:lang w:val="en-US"/>
        </w:rPr>
        <w:t>:</w:t>
      </w:r>
    </w:p>
    <w:p w14:paraId="77644465" w14:textId="77777777" w:rsidR="00521630" w:rsidRPr="006B2B37" w:rsidRDefault="00521630" w:rsidP="00521630">
      <w:pPr>
        <w:pStyle w:val="afc"/>
        <w:numPr>
          <w:ilvl w:val="0"/>
          <w:numId w:val="36"/>
        </w:numPr>
        <w:spacing w:beforeLines="50" w:before="120"/>
        <w:ind w:leftChars="0"/>
        <w:jc w:val="both"/>
        <w:rPr>
          <w:rFonts w:eastAsia="Arial Unicode MS" w:cs="Arial"/>
          <w:i/>
          <w:color w:val="000000" w:themeColor="text1"/>
          <w:kern w:val="2"/>
          <w:sz w:val="22"/>
          <w:szCs w:val="22"/>
          <w:lang w:val="en-US"/>
        </w:rPr>
      </w:pPr>
      <w:r w:rsidRPr="006B2B37">
        <w:rPr>
          <w:rFonts w:eastAsia="Arial Unicode MS" w:cs="Arial"/>
          <w:i/>
          <w:color w:val="000000" w:themeColor="text1"/>
          <w:kern w:val="2"/>
          <w:sz w:val="22"/>
          <w:szCs w:val="22"/>
          <w:lang w:val="en-US"/>
        </w:rPr>
        <w:t>Any set of information delivered by the group common PDCCH is configured by higher-layer.</w:t>
      </w:r>
    </w:p>
    <w:p w14:paraId="2B719FCF" w14:textId="1234862C" w:rsidR="00FE295C" w:rsidRPr="008E27E1" w:rsidRDefault="00FE295C" w:rsidP="008E27E1">
      <w:pPr>
        <w:spacing w:afterLines="50" w:after="120"/>
        <w:jc w:val="both"/>
        <w:rPr>
          <w:rFonts w:eastAsia="ＭＳ 明朝"/>
          <w:color w:val="000000" w:themeColor="text1"/>
          <w:sz w:val="22"/>
          <w:lang w:val="en-US"/>
        </w:rPr>
      </w:pPr>
    </w:p>
    <w:p w14:paraId="410C905B" w14:textId="77777777" w:rsidR="00D5166A" w:rsidRPr="008E27E1" w:rsidRDefault="00D5166A" w:rsidP="00D5166A">
      <w:pPr>
        <w:pStyle w:val="1"/>
        <w:numPr>
          <w:ilvl w:val="0"/>
          <w:numId w:val="6"/>
        </w:numPr>
        <w:spacing w:after="120"/>
        <w:jc w:val="both"/>
        <w:rPr>
          <w:b/>
          <w:color w:val="000000" w:themeColor="text1"/>
          <w:lang w:val="en-US"/>
        </w:rPr>
      </w:pPr>
      <w:r w:rsidRPr="008E27E1">
        <w:rPr>
          <w:rFonts w:hint="eastAsia"/>
          <w:b/>
          <w:color w:val="000000" w:themeColor="text1"/>
          <w:lang w:val="en-US"/>
        </w:rPr>
        <w:lastRenderedPageBreak/>
        <w:t>Conclusion</w:t>
      </w:r>
    </w:p>
    <w:p w14:paraId="1A0AC9D4" w14:textId="43062759" w:rsidR="004B3118"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 xml:space="preserve">the potential contents of </w:t>
      </w:r>
      <w:r w:rsidR="00491DD7">
        <w:rPr>
          <w:rFonts w:eastAsia="ＭＳ 明朝"/>
          <w:color w:val="000000" w:themeColor="text1"/>
          <w:sz w:val="22"/>
          <w:lang w:val="en-US"/>
        </w:rPr>
        <w:t xml:space="preserve">group </w:t>
      </w:r>
      <w:r w:rsidR="00E00489" w:rsidRPr="008E27E1">
        <w:rPr>
          <w:rFonts w:eastAsia="ＭＳ 明朝" w:hint="eastAsia"/>
          <w:color w:val="000000" w:themeColor="text1"/>
          <w:sz w:val="22"/>
          <w:lang w:val="en-US"/>
        </w:rPr>
        <w:t xml:space="preserve">common PDCCH.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305CDFC7" w14:textId="77777777" w:rsidR="004A722C" w:rsidRDefault="004A722C" w:rsidP="004A722C">
      <w:pPr>
        <w:rPr>
          <w:rFonts w:eastAsia="Arial Unicode MS" w:cs="Arial"/>
          <w:color w:val="000000" w:themeColor="text1"/>
          <w:kern w:val="2"/>
          <w:sz w:val="22"/>
          <w:szCs w:val="22"/>
          <w:lang w:val="en-US"/>
        </w:rPr>
      </w:pPr>
      <w:r w:rsidRPr="00085942">
        <w:rPr>
          <w:rFonts w:eastAsia="Arial Unicode MS" w:cs="Arial"/>
          <w:b/>
          <w:color w:val="000000" w:themeColor="text1"/>
          <w:kern w:val="2"/>
          <w:sz w:val="22"/>
          <w:szCs w:val="22"/>
          <w:u w:val="single"/>
          <w:lang w:val="en-US"/>
        </w:rPr>
        <w:t>Observation 1:</w:t>
      </w:r>
      <w:r w:rsidRPr="00085942">
        <w:rPr>
          <w:rFonts w:eastAsia="Arial Unicode MS" w:cs="Arial"/>
          <w:color w:val="000000" w:themeColor="text1"/>
          <w:kern w:val="2"/>
          <w:sz w:val="22"/>
          <w:szCs w:val="22"/>
          <w:lang w:val="en-US"/>
        </w:rPr>
        <w:t xml:space="preserve"> </w:t>
      </w:r>
    </w:p>
    <w:p w14:paraId="7601AD1B" w14:textId="77777777" w:rsidR="004A722C" w:rsidRPr="00085942" w:rsidRDefault="004A722C" w:rsidP="004A722C">
      <w:pPr>
        <w:pStyle w:val="afc"/>
        <w:numPr>
          <w:ilvl w:val="0"/>
          <w:numId w:val="33"/>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 xml:space="preserve">In addition to SFI, following contents can be further considered in GC-PDCCH: </w:t>
      </w:r>
    </w:p>
    <w:p w14:paraId="395AE084" w14:textId="77777777" w:rsidR="004A722C" w:rsidRPr="00085942" w:rsidRDefault="004A722C" w:rsidP="00DD1EDA">
      <w:pPr>
        <w:pStyle w:val="afc"/>
        <w:numPr>
          <w:ilvl w:val="1"/>
          <w:numId w:val="38"/>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 xml:space="preserve">Preemption indication </w:t>
      </w:r>
    </w:p>
    <w:p w14:paraId="6E63FD98" w14:textId="77777777" w:rsidR="004A722C" w:rsidRPr="00085942" w:rsidRDefault="004A722C" w:rsidP="00DD1EDA">
      <w:pPr>
        <w:pStyle w:val="afc"/>
        <w:numPr>
          <w:ilvl w:val="1"/>
          <w:numId w:val="38"/>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Starting position and duration</w:t>
      </w:r>
    </w:p>
    <w:p w14:paraId="0D04A1AA" w14:textId="77777777" w:rsidR="004A722C" w:rsidRPr="00521630" w:rsidRDefault="004A722C" w:rsidP="00DD1EDA">
      <w:pPr>
        <w:pStyle w:val="afc"/>
        <w:numPr>
          <w:ilvl w:val="1"/>
          <w:numId w:val="38"/>
        </w:numPr>
        <w:ind w:leftChars="0"/>
        <w:rPr>
          <w:rFonts w:eastAsia="Arial Unicode MS" w:cs="Arial"/>
          <w:i/>
          <w:color w:val="000000" w:themeColor="text1"/>
          <w:kern w:val="2"/>
          <w:sz w:val="22"/>
          <w:szCs w:val="22"/>
          <w:lang w:val="en-US"/>
        </w:rPr>
      </w:pPr>
      <w:r w:rsidRPr="00085942">
        <w:rPr>
          <w:rFonts w:eastAsia="Arial Unicode MS" w:cs="Arial"/>
          <w:i/>
          <w:color w:val="000000" w:themeColor="text1"/>
          <w:kern w:val="2"/>
          <w:sz w:val="22"/>
          <w:szCs w:val="22"/>
          <w:lang w:val="en-US"/>
        </w:rPr>
        <w:t>TPC command</w:t>
      </w:r>
    </w:p>
    <w:p w14:paraId="040227AA" w14:textId="77777777" w:rsidR="004A722C" w:rsidRDefault="004A722C" w:rsidP="004A722C">
      <w:pPr>
        <w:spacing w:afterLines="50" w:after="120"/>
        <w:jc w:val="both"/>
        <w:rPr>
          <w:rFonts w:eastAsia="ＭＳ 明朝"/>
          <w:color w:val="000000" w:themeColor="text1"/>
          <w:sz w:val="22"/>
          <w:lang w:val="en-US"/>
        </w:rPr>
      </w:pPr>
    </w:p>
    <w:p w14:paraId="4991C22E" w14:textId="74AF4BF7" w:rsidR="004A722C" w:rsidRDefault="004A722C" w:rsidP="004A722C">
      <w:pPr>
        <w:spacing w:afterLines="50" w:after="120"/>
        <w:jc w:val="both"/>
        <w:rPr>
          <w:rFonts w:ascii="Times" w:hAnsi="Times" w:cs="Times"/>
          <w:b/>
          <w:sz w:val="22"/>
          <w:szCs w:val="22"/>
          <w:u w:val="single"/>
        </w:rPr>
      </w:pPr>
      <w:r w:rsidRPr="00252F37">
        <w:rPr>
          <w:rFonts w:ascii="Times" w:hAnsi="Times" w:cs="Times"/>
          <w:b/>
          <w:sz w:val="22"/>
          <w:szCs w:val="22"/>
          <w:u w:val="single"/>
        </w:rPr>
        <w:t>Proposal 1:</w:t>
      </w:r>
    </w:p>
    <w:p w14:paraId="77D33DF1" w14:textId="77777777" w:rsidR="004A722C" w:rsidRPr="00B96B0A" w:rsidRDefault="004A722C" w:rsidP="004A722C">
      <w:pPr>
        <w:pStyle w:val="afc"/>
        <w:numPr>
          <w:ilvl w:val="0"/>
          <w:numId w:val="33"/>
        </w:numPr>
        <w:spacing w:afterLines="50" w:after="120"/>
        <w:ind w:leftChars="0"/>
        <w:jc w:val="both"/>
        <w:rPr>
          <w:rFonts w:ascii="Times" w:eastAsia="SimSun" w:hAnsi="Times" w:cs="Times"/>
          <w:i/>
          <w:sz w:val="22"/>
          <w:szCs w:val="22"/>
          <w:lang w:eastAsia="zh-CN"/>
        </w:rPr>
      </w:pPr>
      <w:r w:rsidRPr="00B96B0A">
        <w:rPr>
          <w:rFonts w:ascii="Times" w:eastAsia="SimSun" w:hAnsi="Times" w:cs="Times" w:hint="eastAsia"/>
          <w:i/>
          <w:sz w:val="22"/>
          <w:szCs w:val="22"/>
          <w:lang w:eastAsia="zh-CN"/>
        </w:rPr>
        <w:t>W</w:t>
      </w:r>
      <w:r w:rsidRPr="00B96B0A">
        <w:rPr>
          <w:rFonts w:ascii="Times" w:eastAsia="SimSun" w:hAnsi="Times" w:cs="Times"/>
          <w:i/>
          <w:sz w:val="22"/>
          <w:szCs w:val="22"/>
          <w:lang w:eastAsia="zh-CN"/>
        </w:rPr>
        <w:t>hether SFI informs the slot format of a slot or multiple slots can be configured by higher layer signalling.</w:t>
      </w:r>
    </w:p>
    <w:p w14:paraId="3463DCAF" w14:textId="77777777" w:rsidR="004A722C" w:rsidRPr="00252F37" w:rsidRDefault="004A722C" w:rsidP="004A722C">
      <w:pPr>
        <w:spacing w:afterLines="50" w:after="120"/>
        <w:jc w:val="both"/>
        <w:rPr>
          <w:rFonts w:ascii="Times" w:hAnsi="Times" w:cs="Times"/>
          <w:b/>
          <w:sz w:val="22"/>
          <w:szCs w:val="22"/>
          <w:u w:val="single"/>
        </w:rPr>
      </w:pPr>
      <w:r>
        <w:rPr>
          <w:rFonts w:ascii="Times" w:hAnsi="Times" w:cs="Times"/>
          <w:b/>
          <w:sz w:val="22"/>
          <w:szCs w:val="22"/>
          <w:u w:val="single"/>
        </w:rPr>
        <w:t>Proposal 2</w:t>
      </w:r>
      <w:r w:rsidRPr="00252F37">
        <w:rPr>
          <w:rFonts w:ascii="Times" w:hAnsi="Times" w:cs="Times"/>
          <w:b/>
          <w:sz w:val="22"/>
          <w:szCs w:val="22"/>
          <w:u w:val="single"/>
        </w:rPr>
        <w:t>:</w:t>
      </w:r>
    </w:p>
    <w:p w14:paraId="7615E782" w14:textId="77777777" w:rsidR="004A722C" w:rsidRPr="00955FA6" w:rsidRDefault="004A722C" w:rsidP="004A722C">
      <w:pPr>
        <w:pStyle w:val="afc"/>
        <w:numPr>
          <w:ilvl w:val="0"/>
          <w:numId w:val="33"/>
        </w:numPr>
        <w:spacing w:afterLines="50" w:after="120"/>
        <w:ind w:leftChars="0"/>
        <w:jc w:val="both"/>
        <w:rPr>
          <w:rFonts w:ascii="Times" w:hAnsi="Times" w:cs="Times"/>
          <w:i/>
          <w:sz w:val="22"/>
          <w:szCs w:val="22"/>
        </w:rPr>
      </w:pPr>
      <w:r w:rsidRPr="00DF7973">
        <w:rPr>
          <w:rFonts w:ascii="Times" w:eastAsia="SimSun" w:hAnsi="Times" w:cs="Times" w:hint="eastAsia"/>
          <w:i/>
          <w:sz w:val="22"/>
          <w:szCs w:val="22"/>
          <w:lang w:eastAsia="zh-CN"/>
        </w:rPr>
        <w:t xml:space="preserve">In </w:t>
      </w:r>
      <w:r>
        <w:rPr>
          <w:rFonts w:ascii="Times" w:eastAsia="SimSun" w:hAnsi="Times" w:cs="Times"/>
          <w:i/>
          <w:sz w:val="22"/>
          <w:szCs w:val="22"/>
          <w:lang w:eastAsia="zh-CN"/>
        </w:rPr>
        <w:t>‘</w:t>
      </w:r>
      <w:r w:rsidRPr="00DF7973">
        <w:rPr>
          <w:rFonts w:ascii="Times" w:eastAsia="SimSun" w:hAnsi="Times" w:cs="Times" w:hint="eastAsia"/>
          <w:i/>
          <w:sz w:val="22"/>
          <w:szCs w:val="22"/>
          <w:lang w:eastAsia="zh-CN"/>
        </w:rPr>
        <w:t>slot format related information</w:t>
      </w:r>
      <w:r>
        <w:rPr>
          <w:rFonts w:ascii="Times" w:eastAsia="SimSun" w:hAnsi="Times" w:cs="Times"/>
          <w:i/>
          <w:sz w:val="22"/>
          <w:szCs w:val="22"/>
          <w:lang w:eastAsia="zh-CN"/>
        </w:rPr>
        <w:t>’</w:t>
      </w:r>
      <w:r w:rsidRPr="00DF7973">
        <w:rPr>
          <w:rFonts w:ascii="Times" w:eastAsia="SimSun" w:hAnsi="Times" w:cs="Times" w:hint="eastAsia"/>
          <w:i/>
          <w:sz w:val="22"/>
          <w:szCs w:val="22"/>
          <w:lang w:eastAsia="zh-CN"/>
        </w:rPr>
        <w:t xml:space="preserve">, </w:t>
      </w:r>
      <w:r w:rsidRPr="00DF7973">
        <w:rPr>
          <w:rFonts w:ascii="Times" w:eastAsia="SimSun" w:hAnsi="Times" w:cs="Times"/>
          <w:i/>
          <w:sz w:val="22"/>
          <w:szCs w:val="22"/>
          <w:lang w:eastAsia="zh-CN"/>
        </w:rPr>
        <w:t>‘other’ is ‘Unknown’ and is not ‘Empty’.</w:t>
      </w:r>
    </w:p>
    <w:p w14:paraId="151CB01D" w14:textId="77777777" w:rsidR="004A722C" w:rsidRPr="00AA137E" w:rsidRDefault="004A722C" w:rsidP="004A722C">
      <w:pPr>
        <w:spacing w:beforeLines="50" w:before="120"/>
        <w:jc w:val="both"/>
        <w:rPr>
          <w:rFonts w:eastAsia="Arial Unicode MS" w:cs="Arial"/>
          <w:b/>
          <w:color w:val="000000" w:themeColor="text1"/>
          <w:kern w:val="2"/>
          <w:sz w:val="22"/>
          <w:szCs w:val="22"/>
          <w:u w:val="single"/>
          <w:lang w:val="en-US"/>
        </w:rPr>
      </w:pPr>
      <w:r>
        <w:rPr>
          <w:rFonts w:eastAsia="Arial Unicode MS" w:cs="Arial"/>
          <w:b/>
          <w:color w:val="000000" w:themeColor="text1"/>
          <w:kern w:val="2"/>
          <w:sz w:val="22"/>
          <w:szCs w:val="22"/>
          <w:u w:val="single"/>
          <w:lang w:val="en-US"/>
        </w:rPr>
        <w:t>Proposal 3</w:t>
      </w:r>
      <w:r w:rsidRPr="00AA137E">
        <w:rPr>
          <w:rFonts w:eastAsia="Arial Unicode MS" w:cs="Arial"/>
          <w:b/>
          <w:color w:val="000000" w:themeColor="text1"/>
          <w:kern w:val="2"/>
          <w:sz w:val="22"/>
          <w:szCs w:val="22"/>
          <w:u w:val="single"/>
          <w:lang w:val="en-US"/>
        </w:rPr>
        <w:t>:</w:t>
      </w:r>
    </w:p>
    <w:p w14:paraId="5E2062F7" w14:textId="3FB688B8" w:rsidR="004A722C" w:rsidRPr="00EF1475" w:rsidRDefault="004A722C" w:rsidP="00EF1475">
      <w:pPr>
        <w:pStyle w:val="afc"/>
        <w:numPr>
          <w:ilvl w:val="0"/>
          <w:numId w:val="36"/>
        </w:numPr>
        <w:spacing w:beforeLines="50" w:before="120"/>
        <w:ind w:leftChars="0"/>
        <w:jc w:val="both"/>
        <w:rPr>
          <w:rFonts w:eastAsia="Arial Unicode MS" w:cs="Arial"/>
          <w:i/>
          <w:color w:val="000000" w:themeColor="text1"/>
          <w:kern w:val="2"/>
          <w:sz w:val="22"/>
          <w:szCs w:val="22"/>
          <w:lang w:val="en-US"/>
        </w:rPr>
      </w:pPr>
      <w:r w:rsidRPr="006B2B37">
        <w:rPr>
          <w:rFonts w:eastAsia="Arial Unicode MS" w:cs="Arial"/>
          <w:i/>
          <w:color w:val="000000" w:themeColor="text1"/>
          <w:kern w:val="2"/>
          <w:sz w:val="22"/>
          <w:szCs w:val="22"/>
          <w:lang w:val="en-US"/>
        </w:rPr>
        <w:t>Any set of information delivered by the group common PDCCH is configured by higher-layer.</w:t>
      </w:r>
    </w:p>
    <w:p w14:paraId="4B93A26B" w14:textId="77777777"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79CAB6B6" w14:textId="0EFD0CEF" w:rsidR="003E5533" w:rsidRPr="007E0857" w:rsidRDefault="003E5533" w:rsidP="003E5533">
      <w:pPr>
        <w:widowControl w:val="0"/>
        <w:numPr>
          <w:ilvl w:val="0"/>
          <w:numId w:val="4"/>
        </w:numPr>
        <w:spacing w:after="120"/>
        <w:jc w:val="both"/>
        <w:rPr>
          <w:sz w:val="22"/>
          <w:szCs w:val="22"/>
          <w:lang w:val="en-US"/>
        </w:rPr>
      </w:pPr>
      <w:r w:rsidRPr="007E0857">
        <w:rPr>
          <w:sz w:val="22"/>
          <w:szCs w:val="22"/>
          <w:lang w:val="en-US"/>
        </w:rPr>
        <w:t>3GPP RAN1 January NR AH Chairman’s note.</w:t>
      </w:r>
    </w:p>
    <w:p w14:paraId="1CE5DF37" w14:textId="5CFC017F" w:rsidR="00133EC4" w:rsidRPr="007E0857" w:rsidRDefault="00133EC4" w:rsidP="00133EC4">
      <w:pPr>
        <w:widowControl w:val="0"/>
        <w:numPr>
          <w:ilvl w:val="0"/>
          <w:numId w:val="4"/>
        </w:numPr>
        <w:spacing w:after="120"/>
        <w:jc w:val="both"/>
        <w:rPr>
          <w:sz w:val="22"/>
          <w:szCs w:val="22"/>
          <w:lang w:val="en-US"/>
        </w:rPr>
      </w:pPr>
      <w:r w:rsidRPr="007E0857">
        <w:rPr>
          <w:sz w:val="22"/>
          <w:szCs w:val="22"/>
          <w:lang w:val="en-US"/>
        </w:rPr>
        <w:t>3GPP RAN1 #89 Chairman’s note.</w:t>
      </w:r>
    </w:p>
    <w:p w14:paraId="071DFEAC" w14:textId="6CF591F1" w:rsidR="00BB5EDB" w:rsidRPr="007E0857" w:rsidRDefault="00D05D36" w:rsidP="008D37D5">
      <w:pPr>
        <w:widowControl w:val="0"/>
        <w:numPr>
          <w:ilvl w:val="0"/>
          <w:numId w:val="4"/>
        </w:numPr>
        <w:spacing w:after="120"/>
        <w:jc w:val="both"/>
        <w:rPr>
          <w:color w:val="000000" w:themeColor="text1"/>
          <w:sz w:val="22"/>
          <w:szCs w:val="22"/>
          <w:lang w:val="en-US"/>
        </w:rPr>
      </w:pPr>
      <w:r w:rsidRPr="007E0857">
        <w:rPr>
          <w:color w:val="000000" w:themeColor="text1"/>
          <w:sz w:val="22"/>
          <w:szCs w:val="22"/>
          <w:lang w:val="en-US"/>
        </w:rPr>
        <w:t>R1-17</w:t>
      </w:r>
      <w:r w:rsidR="00963E26" w:rsidRPr="007E0857">
        <w:rPr>
          <w:color w:val="000000" w:themeColor="text1"/>
          <w:sz w:val="22"/>
          <w:szCs w:val="22"/>
          <w:lang w:val="en-US"/>
        </w:rPr>
        <w:t>11094</w:t>
      </w:r>
      <w:r w:rsidRPr="007E0857">
        <w:rPr>
          <w:color w:val="000000" w:themeColor="text1"/>
          <w:sz w:val="22"/>
          <w:szCs w:val="22"/>
          <w:lang w:val="en-US"/>
        </w:rPr>
        <w:t>, NTT DOCOMO INC., “Views on structure</w:t>
      </w:r>
      <w:r w:rsidR="000C2E34" w:rsidRPr="007E0857">
        <w:rPr>
          <w:color w:val="000000" w:themeColor="text1"/>
          <w:sz w:val="22"/>
          <w:szCs w:val="22"/>
          <w:lang w:val="en-US"/>
        </w:rPr>
        <w:t xml:space="preserve"> of group-common PDCCH,” RAN1</w:t>
      </w:r>
      <w:r w:rsidR="00133EC4" w:rsidRPr="007E0857">
        <w:rPr>
          <w:color w:val="000000" w:themeColor="text1"/>
          <w:sz w:val="22"/>
          <w:szCs w:val="22"/>
          <w:lang w:val="en-US"/>
        </w:rPr>
        <w:t xml:space="preserve"> NR AH,</w:t>
      </w:r>
      <w:r w:rsidRPr="007E0857">
        <w:rPr>
          <w:color w:val="000000" w:themeColor="text1"/>
          <w:sz w:val="22"/>
          <w:szCs w:val="22"/>
          <w:lang w:val="en-US"/>
        </w:rPr>
        <w:t xml:space="preserve"> </w:t>
      </w:r>
      <w:r w:rsidR="00133EC4" w:rsidRPr="007E0857">
        <w:rPr>
          <w:color w:val="000000" w:themeColor="text1"/>
          <w:sz w:val="22"/>
          <w:szCs w:val="22"/>
          <w:lang w:val="en-US"/>
        </w:rPr>
        <w:t>Jun</w:t>
      </w:r>
      <w:r w:rsidRPr="007E0857">
        <w:rPr>
          <w:color w:val="000000" w:themeColor="text1"/>
          <w:sz w:val="22"/>
          <w:szCs w:val="22"/>
          <w:lang w:val="en-US"/>
        </w:rPr>
        <w:t>. 2017.</w:t>
      </w:r>
    </w:p>
    <w:p w14:paraId="5C198375" w14:textId="410EA567" w:rsidR="000C2E34" w:rsidRPr="007E0857" w:rsidRDefault="000C2E34" w:rsidP="008D37D5">
      <w:pPr>
        <w:widowControl w:val="0"/>
        <w:numPr>
          <w:ilvl w:val="0"/>
          <w:numId w:val="4"/>
        </w:numPr>
        <w:spacing w:after="120"/>
        <w:jc w:val="both"/>
        <w:rPr>
          <w:color w:val="000000" w:themeColor="text1"/>
          <w:sz w:val="22"/>
          <w:szCs w:val="22"/>
          <w:lang w:val="en-US"/>
        </w:rPr>
      </w:pPr>
      <w:r w:rsidRPr="007E0857">
        <w:rPr>
          <w:color w:val="000000" w:themeColor="text1"/>
          <w:sz w:val="22"/>
          <w:szCs w:val="22"/>
          <w:lang w:val="en-US"/>
        </w:rPr>
        <w:t>R1-17</w:t>
      </w:r>
      <w:r w:rsidR="00963E26" w:rsidRPr="007E0857">
        <w:rPr>
          <w:color w:val="000000" w:themeColor="text1"/>
          <w:sz w:val="22"/>
          <w:szCs w:val="22"/>
          <w:lang w:val="en-US"/>
        </w:rPr>
        <w:t>11111</w:t>
      </w:r>
      <w:r w:rsidRPr="007E0857">
        <w:rPr>
          <w:color w:val="000000" w:themeColor="text1"/>
          <w:sz w:val="22"/>
          <w:szCs w:val="22"/>
          <w:lang w:val="en-US"/>
        </w:rPr>
        <w:t>, NTT DOCOMO INC., “Overall solutions for UL grant free transmission,” RAN1 NR AH, Jun. 2017.</w:t>
      </w:r>
    </w:p>
    <w:sectPr w:rsidR="000C2E34" w:rsidRPr="007E0857" w:rsidSect="000E7D4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73D60" w14:textId="77777777" w:rsidR="002E77A2" w:rsidRDefault="002E77A2">
      <w:r>
        <w:separator/>
      </w:r>
    </w:p>
  </w:endnote>
  <w:endnote w:type="continuationSeparator" w:id="0">
    <w:p w14:paraId="660C6E85" w14:textId="77777777" w:rsidR="002E77A2" w:rsidRDefault="002E77A2">
      <w:r>
        <w:continuationSeparator/>
      </w:r>
    </w:p>
  </w:endnote>
  <w:endnote w:type="continuationNotice" w:id="1">
    <w:p w14:paraId="363BACD2" w14:textId="77777777" w:rsidR="002E77A2" w:rsidRDefault="002E7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1FF6A" w14:textId="43867205" w:rsidR="009C7B64" w:rsidRPr="00000924" w:rsidRDefault="009C7B64">
    <w:pPr>
      <w:pStyle w:val="af"/>
      <w:jc w:val="center"/>
      <w:rPr>
        <w:sz w:val="22"/>
      </w:rPr>
    </w:pPr>
    <w:r>
      <w:rPr>
        <w:rStyle w:val="af2"/>
        <w:rFonts w:eastAsia="ＭＳ ゴシック"/>
      </w:rPr>
      <w:t xml:space="preserve">- </w:t>
    </w:r>
    <w:r w:rsidR="003E7315">
      <w:rPr>
        <w:rStyle w:val="af2"/>
        <w:rFonts w:eastAsia="ＭＳ ゴシック"/>
      </w:rPr>
      <w:fldChar w:fldCharType="begin"/>
    </w:r>
    <w:r>
      <w:rPr>
        <w:rStyle w:val="af2"/>
        <w:rFonts w:eastAsia="ＭＳ ゴシック"/>
      </w:rPr>
      <w:instrText xml:space="preserve"> PAGE </w:instrText>
    </w:r>
    <w:r w:rsidR="003E7315">
      <w:rPr>
        <w:rStyle w:val="af2"/>
        <w:rFonts w:eastAsia="ＭＳ ゴシック"/>
      </w:rPr>
      <w:fldChar w:fldCharType="separate"/>
    </w:r>
    <w:r w:rsidR="002C7C97">
      <w:rPr>
        <w:rStyle w:val="af2"/>
        <w:rFonts w:eastAsia="ＭＳ ゴシック"/>
        <w:noProof/>
      </w:rPr>
      <w:t>4</w:t>
    </w:r>
    <w:r w:rsidR="003E7315">
      <w:rPr>
        <w:rStyle w:val="af2"/>
        <w:rFonts w:eastAsia="ＭＳ ゴシック"/>
      </w:rPr>
      <w:fldChar w:fldCharType="end"/>
    </w:r>
    <w:r>
      <w:rPr>
        <w:rStyle w:val="af2"/>
        <w:rFonts w:eastAsia="ＭＳ ゴシック"/>
      </w:rPr>
      <w:t>/</w:t>
    </w:r>
    <w:r w:rsidR="003E7315">
      <w:rPr>
        <w:rStyle w:val="af2"/>
        <w:rFonts w:eastAsia="ＭＳ ゴシック"/>
      </w:rPr>
      <w:fldChar w:fldCharType="begin"/>
    </w:r>
    <w:r>
      <w:rPr>
        <w:rStyle w:val="af2"/>
        <w:rFonts w:eastAsia="ＭＳ ゴシック"/>
      </w:rPr>
      <w:instrText xml:space="preserve"> NUMPAGES </w:instrText>
    </w:r>
    <w:r w:rsidR="003E7315">
      <w:rPr>
        <w:rStyle w:val="af2"/>
        <w:rFonts w:eastAsia="ＭＳ ゴシック"/>
      </w:rPr>
      <w:fldChar w:fldCharType="separate"/>
    </w:r>
    <w:r w:rsidR="002C7C97">
      <w:rPr>
        <w:rStyle w:val="af2"/>
        <w:rFonts w:eastAsia="ＭＳ ゴシック"/>
        <w:noProof/>
      </w:rPr>
      <w:t>4</w:t>
    </w:r>
    <w:r w:rsidR="003E7315">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DC595" w14:textId="77777777" w:rsidR="002E77A2" w:rsidRDefault="002E77A2">
      <w:r>
        <w:separator/>
      </w:r>
    </w:p>
  </w:footnote>
  <w:footnote w:type="continuationSeparator" w:id="0">
    <w:p w14:paraId="0990F240" w14:textId="77777777" w:rsidR="002E77A2" w:rsidRDefault="002E77A2">
      <w:r>
        <w:continuationSeparator/>
      </w:r>
    </w:p>
  </w:footnote>
  <w:footnote w:type="continuationNotice" w:id="1">
    <w:p w14:paraId="55454EC6" w14:textId="77777777" w:rsidR="002E77A2" w:rsidRDefault="002E77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D202F3"/>
    <w:multiLevelType w:val="hybridMultilevel"/>
    <w:tmpl w:val="050843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36F03"/>
    <w:multiLevelType w:val="hybridMultilevel"/>
    <w:tmpl w:val="D674AB14"/>
    <w:lvl w:ilvl="0" w:tplc="F47011B8">
      <w:start w:val="1"/>
      <w:numFmt w:val="bullet"/>
      <w:lvlText w:val="–"/>
      <w:lvlJc w:val="left"/>
      <w:pPr>
        <w:ind w:left="840" w:hanging="420"/>
      </w:pPr>
      <w:rPr>
        <w:rFonts w:ascii="ＭＳ Ｐゴシック" w:hAnsi="ＭＳ Ｐゴシック"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D8287C"/>
    <w:multiLevelType w:val="hybridMultilevel"/>
    <w:tmpl w:val="80BC32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E141E"/>
    <w:multiLevelType w:val="hybridMultilevel"/>
    <w:tmpl w:val="E13C5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37F5C"/>
    <w:multiLevelType w:val="hybridMultilevel"/>
    <w:tmpl w:val="6AA0ED4C"/>
    <w:lvl w:ilvl="0" w:tplc="FF924C3E">
      <w:start w:val="5"/>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66E5F"/>
    <w:multiLevelType w:val="hybridMultilevel"/>
    <w:tmpl w:val="DF3A3728"/>
    <w:lvl w:ilvl="0" w:tplc="04090001">
      <w:start w:val="1"/>
      <w:numFmt w:val="bullet"/>
      <w:lvlText w:val=""/>
      <w:lvlJc w:val="left"/>
      <w:pPr>
        <w:ind w:left="327" w:hanging="360"/>
      </w:pPr>
      <w:rPr>
        <w:rFonts w:ascii="Symbol" w:hAnsi="Symbol" w:hint="default"/>
      </w:rPr>
    </w:lvl>
    <w:lvl w:ilvl="1" w:tplc="04090003">
      <w:start w:val="1"/>
      <w:numFmt w:val="bullet"/>
      <w:lvlText w:val="o"/>
      <w:lvlJc w:val="left"/>
      <w:pPr>
        <w:ind w:left="1047" w:hanging="360"/>
      </w:pPr>
      <w:rPr>
        <w:rFonts w:ascii="Courier New" w:hAnsi="Courier New" w:cs="Courier New" w:hint="default"/>
      </w:rPr>
    </w:lvl>
    <w:lvl w:ilvl="2" w:tplc="04090005">
      <w:start w:val="1"/>
      <w:numFmt w:val="bullet"/>
      <w:lvlText w:val=""/>
      <w:lvlJc w:val="left"/>
      <w:pPr>
        <w:ind w:left="1767" w:hanging="360"/>
      </w:pPr>
      <w:rPr>
        <w:rFonts w:ascii="Wingdings" w:hAnsi="Wingdings" w:hint="default"/>
      </w:rPr>
    </w:lvl>
    <w:lvl w:ilvl="3" w:tplc="04090001" w:tentative="1">
      <w:start w:val="1"/>
      <w:numFmt w:val="bullet"/>
      <w:lvlText w:val=""/>
      <w:lvlJc w:val="left"/>
      <w:pPr>
        <w:ind w:left="2487" w:hanging="360"/>
      </w:pPr>
      <w:rPr>
        <w:rFonts w:ascii="Symbol" w:hAnsi="Symbol" w:hint="default"/>
      </w:rPr>
    </w:lvl>
    <w:lvl w:ilvl="4" w:tplc="04090003" w:tentative="1">
      <w:start w:val="1"/>
      <w:numFmt w:val="bullet"/>
      <w:lvlText w:val="o"/>
      <w:lvlJc w:val="left"/>
      <w:pPr>
        <w:ind w:left="3207" w:hanging="360"/>
      </w:pPr>
      <w:rPr>
        <w:rFonts w:ascii="Courier New" w:hAnsi="Courier New" w:cs="Courier New" w:hint="default"/>
      </w:rPr>
    </w:lvl>
    <w:lvl w:ilvl="5" w:tplc="04090005" w:tentative="1">
      <w:start w:val="1"/>
      <w:numFmt w:val="bullet"/>
      <w:lvlText w:val=""/>
      <w:lvlJc w:val="left"/>
      <w:pPr>
        <w:ind w:left="3927" w:hanging="360"/>
      </w:pPr>
      <w:rPr>
        <w:rFonts w:ascii="Wingdings" w:hAnsi="Wingdings" w:hint="default"/>
      </w:rPr>
    </w:lvl>
    <w:lvl w:ilvl="6" w:tplc="04090001" w:tentative="1">
      <w:start w:val="1"/>
      <w:numFmt w:val="bullet"/>
      <w:lvlText w:val=""/>
      <w:lvlJc w:val="left"/>
      <w:pPr>
        <w:ind w:left="4647" w:hanging="360"/>
      </w:pPr>
      <w:rPr>
        <w:rFonts w:ascii="Symbol" w:hAnsi="Symbol" w:hint="default"/>
      </w:rPr>
    </w:lvl>
    <w:lvl w:ilvl="7" w:tplc="04090003" w:tentative="1">
      <w:start w:val="1"/>
      <w:numFmt w:val="bullet"/>
      <w:lvlText w:val="o"/>
      <w:lvlJc w:val="left"/>
      <w:pPr>
        <w:ind w:left="5367" w:hanging="360"/>
      </w:pPr>
      <w:rPr>
        <w:rFonts w:ascii="Courier New" w:hAnsi="Courier New" w:cs="Courier New" w:hint="default"/>
      </w:rPr>
    </w:lvl>
    <w:lvl w:ilvl="8" w:tplc="04090005" w:tentative="1">
      <w:start w:val="1"/>
      <w:numFmt w:val="bullet"/>
      <w:lvlText w:val=""/>
      <w:lvlJc w:val="left"/>
      <w:pPr>
        <w:ind w:left="6087" w:hanging="360"/>
      </w:pPr>
      <w:rPr>
        <w:rFonts w:ascii="Wingdings" w:hAnsi="Wingdings" w:hint="default"/>
      </w:rPr>
    </w:lvl>
  </w:abstractNum>
  <w:abstractNum w:abstractNumId="12" w15:restartNumberingAfterBreak="0">
    <w:nsid w:val="2F713997"/>
    <w:multiLevelType w:val="hybridMultilevel"/>
    <w:tmpl w:val="2B8AC7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CA1F0A"/>
    <w:multiLevelType w:val="hybridMultilevel"/>
    <w:tmpl w:val="BB5E79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E03C79"/>
    <w:multiLevelType w:val="multilevel"/>
    <w:tmpl w:val="7548AD80"/>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DD74A8"/>
    <w:multiLevelType w:val="hybridMultilevel"/>
    <w:tmpl w:val="6AD0273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D05032"/>
    <w:multiLevelType w:val="hybridMultilevel"/>
    <w:tmpl w:val="8CC027A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2D125E"/>
    <w:multiLevelType w:val="hybridMultilevel"/>
    <w:tmpl w:val="B614D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570A"/>
    <w:multiLevelType w:val="hybridMultilevel"/>
    <w:tmpl w:val="9C0C0F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451249"/>
    <w:multiLevelType w:val="hybridMultilevel"/>
    <w:tmpl w:val="55D2E3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553A"/>
    <w:multiLevelType w:val="hybridMultilevel"/>
    <w:tmpl w:val="9AF2C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4D21E5C"/>
    <w:multiLevelType w:val="hybridMultilevel"/>
    <w:tmpl w:val="C74E71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545CF5"/>
    <w:multiLevelType w:val="hybridMultilevel"/>
    <w:tmpl w:val="F4E80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4B372A"/>
    <w:multiLevelType w:val="hybridMultilevel"/>
    <w:tmpl w:val="0D16546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9D838EF"/>
    <w:multiLevelType w:val="hybridMultilevel"/>
    <w:tmpl w:val="B4B4D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4"/>
  </w:num>
  <w:num w:numId="4">
    <w:abstractNumId w:val="9"/>
  </w:num>
  <w:num w:numId="5">
    <w:abstractNumId w:val="32"/>
  </w:num>
  <w:num w:numId="6">
    <w:abstractNumId w:val="25"/>
  </w:num>
  <w:num w:numId="7">
    <w:abstractNumId w:val="11"/>
  </w:num>
  <w:num w:numId="8">
    <w:abstractNumId w:val="10"/>
  </w:num>
  <w:num w:numId="9">
    <w:abstractNumId w:val="13"/>
  </w:num>
  <w:num w:numId="10">
    <w:abstractNumId w:val="33"/>
  </w:num>
  <w:num w:numId="11">
    <w:abstractNumId w:val="15"/>
  </w:num>
  <w:num w:numId="12">
    <w:abstractNumId w:val="19"/>
  </w:num>
  <w:num w:numId="13">
    <w:abstractNumId w:val="30"/>
  </w:num>
  <w:num w:numId="14">
    <w:abstractNumId w:val="5"/>
  </w:num>
  <w:num w:numId="15">
    <w:abstractNumId w:val="8"/>
  </w:num>
  <w:num w:numId="16">
    <w:abstractNumId w:val="11"/>
  </w:num>
  <w:num w:numId="17">
    <w:abstractNumId w:val="10"/>
  </w:num>
  <w:num w:numId="18">
    <w:abstractNumId w:val="13"/>
  </w:num>
  <w:num w:numId="19">
    <w:abstractNumId w:val="4"/>
  </w:num>
  <w:num w:numId="20">
    <w:abstractNumId w:val="4"/>
  </w:num>
  <w:num w:numId="21">
    <w:abstractNumId w:val="24"/>
  </w:num>
  <w:num w:numId="22">
    <w:abstractNumId w:val="28"/>
  </w:num>
  <w:num w:numId="23">
    <w:abstractNumId w:val="2"/>
  </w:num>
  <w:num w:numId="24">
    <w:abstractNumId w:val="21"/>
  </w:num>
  <w:num w:numId="25">
    <w:abstractNumId w:val="31"/>
  </w:num>
  <w:num w:numId="26">
    <w:abstractNumId w:val="27"/>
  </w:num>
  <w:num w:numId="27">
    <w:abstractNumId w:val="22"/>
  </w:num>
  <w:num w:numId="28">
    <w:abstractNumId w:val="23"/>
  </w:num>
  <w:num w:numId="29">
    <w:abstractNumId w:val="3"/>
  </w:num>
  <w:num w:numId="30">
    <w:abstractNumId w:val="12"/>
  </w:num>
  <w:num w:numId="31">
    <w:abstractNumId w:val="7"/>
  </w:num>
  <w:num w:numId="32">
    <w:abstractNumId w:val="6"/>
  </w:num>
  <w:num w:numId="33">
    <w:abstractNumId w:val="1"/>
  </w:num>
  <w:num w:numId="34">
    <w:abstractNumId w:val="20"/>
  </w:num>
  <w:num w:numId="35">
    <w:abstractNumId w:val="16"/>
  </w:num>
  <w:num w:numId="36">
    <w:abstractNumId w:val="29"/>
  </w:num>
  <w:num w:numId="37">
    <w:abstractNumId w:val="18"/>
  </w:num>
  <w:num w:numId="3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4E"/>
    <w:rsid w:val="00006066"/>
    <w:rsid w:val="0000690C"/>
    <w:rsid w:val="00006D37"/>
    <w:rsid w:val="00007533"/>
    <w:rsid w:val="00007AD6"/>
    <w:rsid w:val="00007AE0"/>
    <w:rsid w:val="00007F20"/>
    <w:rsid w:val="0001012D"/>
    <w:rsid w:val="0001038D"/>
    <w:rsid w:val="000104AC"/>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1E84"/>
    <w:rsid w:val="0002250C"/>
    <w:rsid w:val="00022E12"/>
    <w:rsid w:val="000233B7"/>
    <w:rsid w:val="00023E2D"/>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6E45"/>
    <w:rsid w:val="0005703C"/>
    <w:rsid w:val="00057481"/>
    <w:rsid w:val="000578B8"/>
    <w:rsid w:val="00057A56"/>
    <w:rsid w:val="00057C70"/>
    <w:rsid w:val="00057F42"/>
    <w:rsid w:val="0006006F"/>
    <w:rsid w:val="00060523"/>
    <w:rsid w:val="00060756"/>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AE"/>
    <w:rsid w:val="000725F2"/>
    <w:rsid w:val="00072998"/>
    <w:rsid w:val="00072BE4"/>
    <w:rsid w:val="00073046"/>
    <w:rsid w:val="000733C3"/>
    <w:rsid w:val="00073891"/>
    <w:rsid w:val="00073C77"/>
    <w:rsid w:val="00074417"/>
    <w:rsid w:val="000744DC"/>
    <w:rsid w:val="000748A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9DF"/>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7EB"/>
    <w:rsid w:val="000B4059"/>
    <w:rsid w:val="000B442C"/>
    <w:rsid w:val="000B46A2"/>
    <w:rsid w:val="000B4E07"/>
    <w:rsid w:val="000B5311"/>
    <w:rsid w:val="000B540E"/>
    <w:rsid w:val="000B5623"/>
    <w:rsid w:val="000B57BE"/>
    <w:rsid w:val="000B6737"/>
    <w:rsid w:val="000B7F6F"/>
    <w:rsid w:val="000C0010"/>
    <w:rsid w:val="000C01E9"/>
    <w:rsid w:val="000C0897"/>
    <w:rsid w:val="000C0B19"/>
    <w:rsid w:val="000C0C09"/>
    <w:rsid w:val="000C0F4D"/>
    <w:rsid w:val="000C1349"/>
    <w:rsid w:val="000C2058"/>
    <w:rsid w:val="000C21A2"/>
    <w:rsid w:val="000C259D"/>
    <w:rsid w:val="000C2B5C"/>
    <w:rsid w:val="000C2E07"/>
    <w:rsid w:val="000C2E34"/>
    <w:rsid w:val="000C3236"/>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0C3D"/>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5FF"/>
    <w:rsid w:val="00115854"/>
    <w:rsid w:val="001160A6"/>
    <w:rsid w:val="0011618B"/>
    <w:rsid w:val="0011674F"/>
    <w:rsid w:val="00116848"/>
    <w:rsid w:val="00116B7E"/>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EC4"/>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BA0"/>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046"/>
    <w:rsid w:val="00163495"/>
    <w:rsid w:val="00163ACD"/>
    <w:rsid w:val="00163F8B"/>
    <w:rsid w:val="00164234"/>
    <w:rsid w:val="00164409"/>
    <w:rsid w:val="00164694"/>
    <w:rsid w:val="00164C1E"/>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96"/>
    <w:rsid w:val="001736A5"/>
    <w:rsid w:val="00173AA0"/>
    <w:rsid w:val="00173CFF"/>
    <w:rsid w:val="00173ECD"/>
    <w:rsid w:val="00173F53"/>
    <w:rsid w:val="00174144"/>
    <w:rsid w:val="00174461"/>
    <w:rsid w:val="001751EB"/>
    <w:rsid w:val="00175255"/>
    <w:rsid w:val="0017542B"/>
    <w:rsid w:val="001759C3"/>
    <w:rsid w:val="00175D2E"/>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0FA5"/>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E0D"/>
    <w:rsid w:val="001932B9"/>
    <w:rsid w:val="001932BB"/>
    <w:rsid w:val="001935CB"/>
    <w:rsid w:val="00193690"/>
    <w:rsid w:val="00193B72"/>
    <w:rsid w:val="00193DA9"/>
    <w:rsid w:val="00193F6F"/>
    <w:rsid w:val="0019489E"/>
    <w:rsid w:val="00194F9B"/>
    <w:rsid w:val="00194FF5"/>
    <w:rsid w:val="00195253"/>
    <w:rsid w:val="0019533E"/>
    <w:rsid w:val="00195829"/>
    <w:rsid w:val="00195944"/>
    <w:rsid w:val="00195AB0"/>
    <w:rsid w:val="0019606F"/>
    <w:rsid w:val="0019650D"/>
    <w:rsid w:val="001965F0"/>
    <w:rsid w:val="00196F1E"/>
    <w:rsid w:val="0019703A"/>
    <w:rsid w:val="0019736B"/>
    <w:rsid w:val="001974DA"/>
    <w:rsid w:val="0019782D"/>
    <w:rsid w:val="00197BA5"/>
    <w:rsid w:val="00197C12"/>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4E8"/>
    <w:rsid w:val="001F4856"/>
    <w:rsid w:val="001F4D32"/>
    <w:rsid w:val="001F4FF5"/>
    <w:rsid w:val="001F55BE"/>
    <w:rsid w:val="001F56DC"/>
    <w:rsid w:val="001F574C"/>
    <w:rsid w:val="001F59AC"/>
    <w:rsid w:val="001F5EF6"/>
    <w:rsid w:val="001F605E"/>
    <w:rsid w:val="001F61AC"/>
    <w:rsid w:val="001F64A5"/>
    <w:rsid w:val="001F655A"/>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31"/>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15"/>
    <w:rsid w:val="002126E1"/>
    <w:rsid w:val="0021460B"/>
    <w:rsid w:val="0021506F"/>
    <w:rsid w:val="00215106"/>
    <w:rsid w:val="002154CD"/>
    <w:rsid w:val="002155C0"/>
    <w:rsid w:val="00215643"/>
    <w:rsid w:val="0021564B"/>
    <w:rsid w:val="00215945"/>
    <w:rsid w:val="00215A03"/>
    <w:rsid w:val="002163B2"/>
    <w:rsid w:val="0021680A"/>
    <w:rsid w:val="0021681A"/>
    <w:rsid w:val="00216A57"/>
    <w:rsid w:val="00216F9F"/>
    <w:rsid w:val="002170E2"/>
    <w:rsid w:val="00217B9A"/>
    <w:rsid w:val="00217D09"/>
    <w:rsid w:val="00217E0D"/>
    <w:rsid w:val="0022207C"/>
    <w:rsid w:val="00222A2D"/>
    <w:rsid w:val="00222A9C"/>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2F37"/>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39"/>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298"/>
    <w:rsid w:val="00287CA4"/>
    <w:rsid w:val="00287EFB"/>
    <w:rsid w:val="0029095B"/>
    <w:rsid w:val="00290D93"/>
    <w:rsid w:val="0029154E"/>
    <w:rsid w:val="00291632"/>
    <w:rsid w:val="002919BF"/>
    <w:rsid w:val="002919C2"/>
    <w:rsid w:val="00291B1F"/>
    <w:rsid w:val="00291B85"/>
    <w:rsid w:val="002921E1"/>
    <w:rsid w:val="0029318A"/>
    <w:rsid w:val="00293863"/>
    <w:rsid w:val="00293DA1"/>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6FB"/>
    <w:rsid w:val="002A1A23"/>
    <w:rsid w:val="002A1C9F"/>
    <w:rsid w:val="002A25B1"/>
    <w:rsid w:val="002A268B"/>
    <w:rsid w:val="002A2B6C"/>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1B3"/>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5E3"/>
    <w:rsid w:val="002C7C97"/>
    <w:rsid w:val="002D083A"/>
    <w:rsid w:val="002D0A71"/>
    <w:rsid w:val="002D0CAF"/>
    <w:rsid w:val="002D188F"/>
    <w:rsid w:val="002D217F"/>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AD7"/>
    <w:rsid w:val="002E4C5E"/>
    <w:rsid w:val="002E508A"/>
    <w:rsid w:val="002E56E8"/>
    <w:rsid w:val="002E5758"/>
    <w:rsid w:val="002E5A14"/>
    <w:rsid w:val="002E5BF8"/>
    <w:rsid w:val="002E5F67"/>
    <w:rsid w:val="002E648C"/>
    <w:rsid w:val="002E66A6"/>
    <w:rsid w:val="002E6A65"/>
    <w:rsid w:val="002E6E1D"/>
    <w:rsid w:val="002E6F91"/>
    <w:rsid w:val="002E77A2"/>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7C8"/>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0CCE"/>
    <w:rsid w:val="0031179F"/>
    <w:rsid w:val="00311FDA"/>
    <w:rsid w:val="003122E5"/>
    <w:rsid w:val="00312A35"/>
    <w:rsid w:val="00312AF0"/>
    <w:rsid w:val="00312C11"/>
    <w:rsid w:val="003131F5"/>
    <w:rsid w:val="003134A5"/>
    <w:rsid w:val="00313919"/>
    <w:rsid w:val="00313B61"/>
    <w:rsid w:val="003145CA"/>
    <w:rsid w:val="00314A5F"/>
    <w:rsid w:val="00314FA9"/>
    <w:rsid w:val="00314FC2"/>
    <w:rsid w:val="00315910"/>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0D2B"/>
    <w:rsid w:val="00321949"/>
    <w:rsid w:val="003220A7"/>
    <w:rsid w:val="0032359B"/>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43"/>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1D"/>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3F1C"/>
    <w:rsid w:val="00374A8B"/>
    <w:rsid w:val="00374F49"/>
    <w:rsid w:val="003755A6"/>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5CA"/>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15CF"/>
    <w:rsid w:val="003A22C4"/>
    <w:rsid w:val="003A2461"/>
    <w:rsid w:val="003A286B"/>
    <w:rsid w:val="003A28D8"/>
    <w:rsid w:val="003A2EFB"/>
    <w:rsid w:val="003A3938"/>
    <w:rsid w:val="003A3DE2"/>
    <w:rsid w:val="003A4246"/>
    <w:rsid w:val="003A42C9"/>
    <w:rsid w:val="003A4469"/>
    <w:rsid w:val="003A4670"/>
    <w:rsid w:val="003A4A4E"/>
    <w:rsid w:val="003A4D3C"/>
    <w:rsid w:val="003A56CB"/>
    <w:rsid w:val="003A5FEA"/>
    <w:rsid w:val="003A6356"/>
    <w:rsid w:val="003A674A"/>
    <w:rsid w:val="003A6997"/>
    <w:rsid w:val="003A6FDE"/>
    <w:rsid w:val="003A77DB"/>
    <w:rsid w:val="003A7FC8"/>
    <w:rsid w:val="003B024F"/>
    <w:rsid w:val="003B02BD"/>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140"/>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7B8"/>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533"/>
    <w:rsid w:val="003E58D8"/>
    <w:rsid w:val="003E5A2C"/>
    <w:rsid w:val="003E5A9F"/>
    <w:rsid w:val="003E63C8"/>
    <w:rsid w:val="003E671B"/>
    <w:rsid w:val="003E7315"/>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2CD"/>
    <w:rsid w:val="003F6365"/>
    <w:rsid w:val="003F6491"/>
    <w:rsid w:val="003F64A2"/>
    <w:rsid w:val="003F6745"/>
    <w:rsid w:val="003F6B3E"/>
    <w:rsid w:val="003F72E0"/>
    <w:rsid w:val="003F7789"/>
    <w:rsid w:val="003F7995"/>
    <w:rsid w:val="003F7A9E"/>
    <w:rsid w:val="003F7C29"/>
    <w:rsid w:val="003F7DDF"/>
    <w:rsid w:val="003F7EFA"/>
    <w:rsid w:val="003F7FD0"/>
    <w:rsid w:val="004001FB"/>
    <w:rsid w:val="00400EC3"/>
    <w:rsid w:val="00401701"/>
    <w:rsid w:val="004017EE"/>
    <w:rsid w:val="0040183C"/>
    <w:rsid w:val="004019AA"/>
    <w:rsid w:val="004020C5"/>
    <w:rsid w:val="0040244D"/>
    <w:rsid w:val="004028A9"/>
    <w:rsid w:val="00402BB9"/>
    <w:rsid w:val="004030CE"/>
    <w:rsid w:val="00403A96"/>
    <w:rsid w:val="00403AFD"/>
    <w:rsid w:val="00403EA7"/>
    <w:rsid w:val="004047FF"/>
    <w:rsid w:val="00404C2C"/>
    <w:rsid w:val="0040549D"/>
    <w:rsid w:val="0040578C"/>
    <w:rsid w:val="004059B7"/>
    <w:rsid w:val="00405C7F"/>
    <w:rsid w:val="00406179"/>
    <w:rsid w:val="004062E1"/>
    <w:rsid w:val="0040690A"/>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5FD2"/>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2"/>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3C28"/>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B64"/>
    <w:rsid w:val="00483D8E"/>
    <w:rsid w:val="00483FDA"/>
    <w:rsid w:val="0048430D"/>
    <w:rsid w:val="00484920"/>
    <w:rsid w:val="00484B74"/>
    <w:rsid w:val="00485046"/>
    <w:rsid w:val="004850D8"/>
    <w:rsid w:val="0048553F"/>
    <w:rsid w:val="00485566"/>
    <w:rsid w:val="00485A25"/>
    <w:rsid w:val="00485AA9"/>
    <w:rsid w:val="00485B60"/>
    <w:rsid w:val="00485B9E"/>
    <w:rsid w:val="00486042"/>
    <w:rsid w:val="004860E7"/>
    <w:rsid w:val="004863D8"/>
    <w:rsid w:val="004864BE"/>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1DD7"/>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2C"/>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3F7"/>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454B"/>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E85"/>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55E"/>
    <w:rsid w:val="005157CC"/>
    <w:rsid w:val="005157F9"/>
    <w:rsid w:val="00516077"/>
    <w:rsid w:val="0051661A"/>
    <w:rsid w:val="00516B14"/>
    <w:rsid w:val="00516D44"/>
    <w:rsid w:val="00517278"/>
    <w:rsid w:val="00517900"/>
    <w:rsid w:val="00517A52"/>
    <w:rsid w:val="005204AD"/>
    <w:rsid w:val="005204E6"/>
    <w:rsid w:val="00520736"/>
    <w:rsid w:val="005207B3"/>
    <w:rsid w:val="00521630"/>
    <w:rsid w:val="00521F18"/>
    <w:rsid w:val="0052221E"/>
    <w:rsid w:val="005222F9"/>
    <w:rsid w:val="00522951"/>
    <w:rsid w:val="005237CD"/>
    <w:rsid w:val="0052387E"/>
    <w:rsid w:val="00523E60"/>
    <w:rsid w:val="005240BC"/>
    <w:rsid w:val="0052485C"/>
    <w:rsid w:val="00524CC4"/>
    <w:rsid w:val="00524D60"/>
    <w:rsid w:val="00524F06"/>
    <w:rsid w:val="005253B3"/>
    <w:rsid w:val="00525FC2"/>
    <w:rsid w:val="00526037"/>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27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E07"/>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51A"/>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BB"/>
    <w:rsid w:val="005A4332"/>
    <w:rsid w:val="005A49C8"/>
    <w:rsid w:val="005A4B91"/>
    <w:rsid w:val="005A52CD"/>
    <w:rsid w:val="005A532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1F4"/>
    <w:rsid w:val="005B6601"/>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04E"/>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946"/>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607"/>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17E"/>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85"/>
    <w:rsid w:val="006214C6"/>
    <w:rsid w:val="0062189F"/>
    <w:rsid w:val="00621B6F"/>
    <w:rsid w:val="00621C6F"/>
    <w:rsid w:val="00622244"/>
    <w:rsid w:val="006223A6"/>
    <w:rsid w:val="00622823"/>
    <w:rsid w:val="0062302D"/>
    <w:rsid w:val="006230FA"/>
    <w:rsid w:val="00623984"/>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0FB1"/>
    <w:rsid w:val="0064111F"/>
    <w:rsid w:val="00641865"/>
    <w:rsid w:val="0064195D"/>
    <w:rsid w:val="00641A1E"/>
    <w:rsid w:val="00641D0C"/>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499"/>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3FA"/>
    <w:rsid w:val="00657591"/>
    <w:rsid w:val="0065769A"/>
    <w:rsid w:val="00657E49"/>
    <w:rsid w:val="0066020C"/>
    <w:rsid w:val="00660CC6"/>
    <w:rsid w:val="00661161"/>
    <w:rsid w:val="006611B4"/>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A91"/>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8E3"/>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B37"/>
    <w:rsid w:val="006B2CCB"/>
    <w:rsid w:val="006B31A8"/>
    <w:rsid w:val="006B3460"/>
    <w:rsid w:val="006B3683"/>
    <w:rsid w:val="006B4128"/>
    <w:rsid w:val="006B414A"/>
    <w:rsid w:val="006B4B28"/>
    <w:rsid w:val="006B4B5D"/>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EB2"/>
    <w:rsid w:val="006C15B5"/>
    <w:rsid w:val="006C1A33"/>
    <w:rsid w:val="006C215D"/>
    <w:rsid w:val="006C2420"/>
    <w:rsid w:val="006C26D8"/>
    <w:rsid w:val="006C27B9"/>
    <w:rsid w:val="006C2D2D"/>
    <w:rsid w:val="006C30F5"/>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65B9"/>
    <w:rsid w:val="006E704E"/>
    <w:rsid w:val="006E75B7"/>
    <w:rsid w:val="006E7713"/>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6B"/>
    <w:rsid w:val="00701EBC"/>
    <w:rsid w:val="00702877"/>
    <w:rsid w:val="00703368"/>
    <w:rsid w:val="00703932"/>
    <w:rsid w:val="00704A70"/>
    <w:rsid w:val="00704D4A"/>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6B9"/>
    <w:rsid w:val="0074192A"/>
    <w:rsid w:val="00741B0C"/>
    <w:rsid w:val="00741DCC"/>
    <w:rsid w:val="00742263"/>
    <w:rsid w:val="00742341"/>
    <w:rsid w:val="00742CC8"/>
    <w:rsid w:val="00742DD0"/>
    <w:rsid w:val="00743524"/>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7AB"/>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C3C"/>
    <w:rsid w:val="007B4D47"/>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062"/>
    <w:rsid w:val="007D1938"/>
    <w:rsid w:val="007D1E09"/>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57"/>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051"/>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1EA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182"/>
    <w:rsid w:val="00860A65"/>
    <w:rsid w:val="00860A68"/>
    <w:rsid w:val="00860B0F"/>
    <w:rsid w:val="00860C24"/>
    <w:rsid w:val="00860ED6"/>
    <w:rsid w:val="00861050"/>
    <w:rsid w:val="0086236F"/>
    <w:rsid w:val="00862B9A"/>
    <w:rsid w:val="00862D31"/>
    <w:rsid w:val="00862F75"/>
    <w:rsid w:val="00863752"/>
    <w:rsid w:val="00863949"/>
    <w:rsid w:val="00864043"/>
    <w:rsid w:val="008652B5"/>
    <w:rsid w:val="008654F2"/>
    <w:rsid w:val="008657AB"/>
    <w:rsid w:val="00865DA2"/>
    <w:rsid w:val="00865E1F"/>
    <w:rsid w:val="00866085"/>
    <w:rsid w:val="0086665A"/>
    <w:rsid w:val="0086693C"/>
    <w:rsid w:val="00866B0F"/>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438"/>
    <w:rsid w:val="008729B7"/>
    <w:rsid w:val="00873025"/>
    <w:rsid w:val="00873523"/>
    <w:rsid w:val="00873700"/>
    <w:rsid w:val="00873B38"/>
    <w:rsid w:val="00873C81"/>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842"/>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6CE"/>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3FD2"/>
    <w:rsid w:val="008A4B78"/>
    <w:rsid w:val="008A4E03"/>
    <w:rsid w:val="008A562C"/>
    <w:rsid w:val="008A571C"/>
    <w:rsid w:val="008A6076"/>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0C8"/>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90F"/>
    <w:rsid w:val="008D1BFB"/>
    <w:rsid w:val="008D1F09"/>
    <w:rsid w:val="008D24A5"/>
    <w:rsid w:val="008D31AA"/>
    <w:rsid w:val="008D37D5"/>
    <w:rsid w:val="008D4AAF"/>
    <w:rsid w:val="008D4AD9"/>
    <w:rsid w:val="008D4B36"/>
    <w:rsid w:val="008D4D56"/>
    <w:rsid w:val="008D5204"/>
    <w:rsid w:val="008D5259"/>
    <w:rsid w:val="008D5845"/>
    <w:rsid w:val="008D58EC"/>
    <w:rsid w:val="008D5B55"/>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7E1"/>
    <w:rsid w:val="008E2D3B"/>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CB5"/>
    <w:rsid w:val="008F0D6B"/>
    <w:rsid w:val="008F1196"/>
    <w:rsid w:val="008F12DB"/>
    <w:rsid w:val="008F25D7"/>
    <w:rsid w:val="008F29E2"/>
    <w:rsid w:val="008F2C7C"/>
    <w:rsid w:val="008F2D07"/>
    <w:rsid w:val="008F2DB0"/>
    <w:rsid w:val="008F3009"/>
    <w:rsid w:val="008F3184"/>
    <w:rsid w:val="008F34F1"/>
    <w:rsid w:val="008F4406"/>
    <w:rsid w:val="008F54D0"/>
    <w:rsid w:val="008F5D60"/>
    <w:rsid w:val="008F64FF"/>
    <w:rsid w:val="008F6592"/>
    <w:rsid w:val="008F69DD"/>
    <w:rsid w:val="008F722F"/>
    <w:rsid w:val="008F764B"/>
    <w:rsid w:val="00900472"/>
    <w:rsid w:val="009008D0"/>
    <w:rsid w:val="009009DE"/>
    <w:rsid w:val="00900C98"/>
    <w:rsid w:val="00900DAE"/>
    <w:rsid w:val="00900EE2"/>
    <w:rsid w:val="009015C6"/>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578"/>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910"/>
    <w:rsid w:val="00945D40"/>
    <w:rsid w:val="00945F1F"/>
    <w:rsid w:val="0094600B"/>
    <w:rsid w:val="00946090"/>
    <w:rsid w:val="00946428"/>
    <w:rsid w:val="009465F2"/>
    <w:rsid w:val="00946B07"/>
    <w:rsid w:val="00947083"/>
    <w:rsid w:val="0094749B"/>
    <w:rsid w:val="009474DA"/>
    <w:rsid w:val="00947679"/>
    <w:rsid w:val="009478FE"/>
    <w:rsid w:val="00947B40"/>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FA6"/>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3E2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3C"/>
    <w:rsid w:val="00991BA0"/>
    <w:rsid w:val="0099258B"/>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D59"/>
    <w:rsid w:val="00995E19"/>
    <w:rsid w:val="00995EF7"/>
    <w:rsid w:val="00995F06"/>
    <w:rsid w:val="0099617F"/>
    <w:rsid w:val="00996265"/>
    <w:rsid w:val="0099644D"/>
    <w:rsid w:val="0099664D"/>
    <w:rsid w:val="0099699A"/>
    <w:rsid w:val="009974CA"/>
    <w:rsid w:val="00997746"/>
    <w:rsid w:val="009A07CA"/>
    <w:rsid w:val="009A14EB"/>
    <w:rsid w:val="009A16BB"/>
    <w:rsid w:val="009A18AB"/>
    <w:rsid w:val="009A1A62"/>
    <w:rsid w:val="009A1C34"/>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AF5"/>
    <w:rsid w:val="009A4B50"/>
    <w:rsid w:val="009A5EC0"/>
    <w:rsid w:val="009A62ED"/>
    <w:rsid w:val="009A635C"/>
    <w:rsid w:val="009A6653"/>
    <w:rsid w:val="009A6D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65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4334"/>
    <w:rsid w:val="009D504E"/>
    <w:rsid w:val="009D5318"/>
    <w:rsid w:val="009D5380"/>
    <w:rsid w:val="009D59D7"/>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E0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1A1"/>
    <w:rsid w:val="00A073FE"/>
    <w:rsid w:val="00A07515"/>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3E57"/>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0E61"/>
    <w:rsid w:val="00A710E2"/>
    <w:rsid w:val="00A710F0"/>
    <w:rsid w:val="00A713E1"/>
    <w:rsid w:val="00A715B2"/>
    <w:rsid w:val="00A71E2C"/>
    <w:rsid w:val="00A7241F"/>
    <w:rsid w:val="00A727DC"/>
    <w:rsid w:val="00A7293B"/>
    <w:rsid w:val="00A72DBF"/>
    <w:rsid w:val="00A73023"/>
    <w:rsid w:val="00A7329B"/>
    <w:rsid w:val="00A73783"/>
    <w:rsid w:val="00A737D1"/>
    <w:rsid w:val="00A73AE0"/>
    <w:rsid w:val="00A73C61"/>
    <w:rsid w:val="00A73D05"/>
    <w:rsid w:val="00A73E5E"/>
    <w:rsid w:val="00A7409B"/>
    <w:rsid w:val="00A743C4"/>
    <w:rsid w:val="00A743EF"/>
    <w:rsid w:val="00A7495A"/>
    <w:rsid w:val="00A74960"/>
    <w:rsid w:val="00A75655"/>
    <w:rsid w:val="00A75ABF"/>
    <w:rsid w:val="00A75CAA"/>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8A2"/>
    <w:rsid w:val="00A83E41"/>
    <w:rsid w:val="00A83E4A"/>
    <w:rsid w:val="00A84BED"/>
    <w:rsid w:val="00A84F57"/>
    <w:rsid w:val="00A85131"/>
    <w:rsid w:val="00A853B8"/>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704"/>
    <w:rsid w:val="00A91E1D"/>
    <w:rsid w:val="00A91E4E"/>
    <w:rsid w:val="00A938CF"/>
    <w:rsid w:val="00A9402B"/>
    <w:rsid w:val="00A94916"/>
    <w:rsid w:val="00A949C3"/>
    <w:rsid w:val="00A94EC8"/>
    <w:rsid w:val="00A951CD"/>
    <w:rsid w:val="00A95201"/>
    <w:rsid w:val="00A9522B"/>
    <w:rsid w:val="00A95444"/>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37E"/>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96B"/>
    <w:rsid w:val="00AA6E1E"/>
    <w:rsid w:val="00AA6EC4"/>
    <w:rsid w:val="00AA7124"/>
    <w:rsid w:val="00AA7584"/>
    <w:rsid w:val="00AA7D37"/>
    <w:rsid w:val="00AA7E33"/>
    <w:rsid w:val="00AB0B1C"/>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4D5"/>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71"/>
    <w:rsid w:val="00B111C1"/>
    <w:rsid w:val="00B113B5"/>
    <w:rsid w:val="00B11B6C"/>
    <w:rsid w:val="00B11BAC"/>
    <w:rsid w:val="00B11F09"/>
    <w:rsid w:val="00B12393"/>
    <w:rsid w:val="00B1239F"/>
    <w:rsid w:val="00B1290C"/>
    <w:rsid w:val="00B12E99"/>
    <w:rsid w:val="00B133B5"/>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99E"/>
    <w:rsid w:val="00B54C5F"/>
    <w:rsid w:val="00B54CC3"/>
    <w:rsid w:val="00B54F05"/>
    <w:rsid w:val="00B554E2"/>
    <w:rsid w:val="00B5566D"/>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03C"/>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0A"/>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55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E3F"/>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77"/>
    <w:rsid w:val="00BE1E20"/>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9F8"/>
    <w:rsid w:val="00BF7B80"/>
    <w:rsid w:val="00BF7C37"/>
    <w:rsid w:val="00C007D5"/>
    <w:rsid w:val="00C0087D"/>
    <w:rsid w:val="00C00B43"/>
    <w:rsid w:val="00C00C73"/>
    <w:rsid w:val="00C00C91"/>
    <w:rsid w:val="00C00CBA"/>
    <w:rsid w:val="00C0101D"/>
    <w:rsid w:val="00C014A8"/>
    <w:rsid w:val="00C014BE"/>
    <w:rsid w:val="00C024AC"/>
    <w:rsid w:val="00C024C6"/>
    <w:rsid w:val="00C028A2"/>
    <w:rsid w:val="00C028D7"/>
    <w:rsid w:val="00C02EBF"/>
    <w:rsid w:val="00C03058"/>
    <w:rsid w:val="00C03351"/>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301"/>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1F1C"/>
    <w:rsid w:val="00C429A2"/>
    <w:rsid w:val="00C432BA"/>
    <w:rsid w:val="00C4358E"/>
    <w:rsid w:val="00C437A8"/>
    <w:rsid w:val="00C438BD"/>
    <w:rsid w:val="00C43C23"/>
    <w:rsid w:val="00C44182"/>
    <w:rsid w:val="00C4445B"/>
    <w:rsid w:val="00C4540E"/>
    <w:rsid w:val="00C454A3"/>
    <w:rsid w:val="00C455CE"/>
    <w:rsid w:val="00C462FB"/>
    <w:rsid w:val="00C468A9"/>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358"/>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58A"/>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D89"/>
    <w:rsid w:val="00C64F3C"/>
    <w:rsid w:val="00C652C2"/>
    <w:rsid w:val="00C65AA3"/>
    <w:rsid w:val="00C66525"/>
    <w:rsid w:val="00C66738"/>
    <w:rsid w:val="00C66B54"/>
    <w:rsid w:val="00C6704E"/>
    <w:rsid w:val="00C672AA"/>
    <w:rsid w:val="00C67897"/>
    <w:rsid w:val="00C67955"/>
    <w:rsid w:val="00C67E21"/>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683"/>
    <w:rsid w:val="00C95903"/>
    <w:rsid w:val="00C95DDF"/>
    <w:rsid w:val="00C95F60"/>
    <w:rsid w:val="00C95FC5"/>
    <w:rsid w:val="00C973B5"/>
    <w:rsid w:val="00C9761A"/>
    <w:rsid w:val="00C977CC"/>
    <w:rsid w:val="00C97D2D"/>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B3"/>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1AC"/>
    <w:rsid w:val="00CD0012"/>
    <w:rsid w:val="00CD00F9"/>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5E1"/>
    <w:rsid w:val="00CD77F8"/>
    <w:rsid w:val="00CD7CAB"/>
    <w:rsid w:val="00CD7FA2"/>
    <w:rsid w:val="00CE0456"/>
    <w:rsid w:val="00CE04E1"/>
    <w:rsid w:val="00CE0921"/>
    <w:rsid w:val="00CE1510"/>
    <w:rsid w:val="00CE176E"/>
    <w:rsid w:val="00CE19D6"/>
    <w:rsid w:val="00CE24B5"/>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D36"/>
    <w:rsid w:val="00D06412"/>
    <w:rsid w:val="00D06506"/>
    <w:rsid w:val="00D07AAA"/>
    <w:rsid w:val="00D07FB0"/>
    <w:rsid w:val="00D10206"/>
    <w:rsid w:val="00D1055D"/>
    <w:rsid w:val="00D10583"/>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13"/>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1AC"/>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E3B"/>
    <w:rsid w:val="00D53602"/>
    <w:rsid w:val="00D5378A"/>
    <w:rsid w:val="00D53BC4"/>
    <w:rsid w:val="00D5460E"/>
    <w:rsid w:val="00D54BB2"/>
    <w:rsid w:val="00D54F57"/>
    <w:rsid w:val="00D550AA"/>
    <w:rsid w:val="00D550AD"/>
    <w:rsid w:val="00D553AA"/>
    <w:rsid w:val="00D560D0"/>
    <w:rsid w:val="00D5615D"/>
    <w:rsid w:val="00D561F0"/>
    <w:rsid w:val="00D56E4E"/>
    <w:rsid w:val="00D56F0A"/>
    <w:rsid w:val="00D57220"/>
    <w:rsid w:val="00D57B90"/>
    <w:rsid w:val="00D57DC7"/>
    <w:rsid w:val="00D60263"/>
    <w:rsid w:val="00D603B8"/>
    <w:rsid w:val="00D60CA9"/>
    <w:rsid w:val="00D60FAC"/>
    <w:rsid w:val="00D60FF9"/>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1EC"/>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CA2"/>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7D"/>
    <w:rsid w:val="00DA1B66"/>
    <w:rsid w:val="00DA1B78"/>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7E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75"/>
    <w:rsid w:val="00DD1EDA"/>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403"/>
    <w:rsid w:val="00DE2BDC"/>
    <w:rsid w:val="00DE2D53"/>
    <w:rsid w:val="00DE30AA"/>
    <w:rsid w:val="00DE38CB"/>
    <w:rsid w:val="00DE3B65"/>
    <w:rsid w:val="00DE3C1B"/>
    <w:rsid w:val="00DE3EE0"/>
    <w:rsid w:val="00DE4323"/>
    <w:rsid w:val="00DE5606"/>
    <w:rsid w:val="00DE5A29"/>
    <w:rsid w:val="00DE5C63"/>
    <w:rsid w:val="00DE5EA9"/>
    <w:rsid w:val="00DE6345"/>
    <w:rsid w:val="00DE6CD9"/>
    <w:rsid w:val="00DE6E28"/>
    <w:rsid w:val="00DE715E"/>
    <w:rsid w:val="00DE7B57"/>
    <w:rsid w:val="00DE7BB8"/>
    <w:rsid w:val="00DE7D68"/>
    <w:rsid w:val="00DF05EE"/>
    <w:rsid w:val="00DF09A2"/>
    <w:rsid w:val="00DF0DAD"/>
    <w:rsid w:val="00DF0ED6"/>
    <w:rsid w:val="00DF1189"/>
    <w:rsid w:val="00DF11EE"/>
    <w:rsid w:val="00DF125B"/>
    <w:rsid w:val="00DF16C3"/>
    <w:rsid w:val="00DF2331"/>
    <w:rsid w:val="00DF26C2"/>
    <w:rsid w:val="00DF3246"/>
    <w:rsid w:val="00DF3688"/>
    <w:rsid w:val="00DF3DC6"/>
    <w:rsid w:val="00DF3E78"/>
    <w:rsid w:val="00DF4024"/>
    <w:rsid w:val="00DF41AB"/>
    <w:rsid w:val="00DF46C3"/>
    <w:rsid w:val="00DF4EB9"/>
    <w:rsid w:val="00DF4EF4"/>
    <w:rsid w:val="00DF52E5"/>
    <w:rsid w:val="00DF53D8"/>
    <w:rsid w:val="00DF5429"/>
    <w:rsid w:val="00DF6415"/>
    <w:rsid w:val="00DF663D"/>
    <w:rsid w:val="00DF66C5"/>
    <w:rsid w:val="00DF66EF"/>
    <w:rsid w:val="00DF684F"/>
    <w:rsid w:val="00DF69C3"/>
    <w:rsid w:val="00DF768E"/>
    <w:rsid w:val="00DF794B"/>
    <w:rsid w:val="00DF7973"/>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AE"/>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82D"/>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6FB"/>
    <w:rsid w:val="00E17B1D"/>
    <w:rsid w:val="00E17B6D"/>
    <w:rsid w:val="00E209C7"/>
    <w:rsid w:val="00E212F3"/>
    <w:rsid w:val="00E219A3"/>
    <w:rsid w:val="00E22F3B"/>
    <w:rsid w:val="00E23563"/>
    <w:rsid w:val="00E236AB"/>
    <w:rsid w:val="00E236F5"/>
    <w:rsid w:val="00E237B9"/>
    <w:rsid w:val="00E23B86"/>
    <w:rsid w:val="00E23E7A"/>
    <w:rsid w:val="00E24088"/>
    <w:rsid w:val="00E242A7"/>
    <w:rsid w:val="00E2440E"/>
    <w:rsid w:val="00E24998"/>
    <w:rsid w:val="00E249BB"/>
    <w:rsid w:val="00E249E9"/>
    <w:rsid w:val="00E2561A"/>
    <w:rsid w:val="00E25E33"/>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5C3"/>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1AD"/>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3947"/>
    <w:rsid w:val="00E940FC"/>
    <w:rsid w:val="00E94138"/>
    <w:rsid w:val="00E943C1"/>
    <w:rsid w:val="00E9477F"/>
    <w:rsid w:val="00E94C74"/>
    <w:rsid w:val="00E94EBC"/>
    <w:rsid w:val="00E95974"/>
    <w:rsid w:val="00E95CC1"/>
    <w:rsid w:val="00E95D12"/>
    <w:rsid w:val="00E95EA8"/>
    <w:rsid w:val="00E96302"/>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33E"/>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2981"/>
    <w:rsid w:val="00EC31EC"/>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09"/>
    <w:rsid w:val="00ED3714"/>
    <w:rsid w:val="00ED39DA"/>
    <w:rsid w:val="00ED3D91"/>
    <w:rsid w:val="00ED4151"/>
    <w:rsid w:val="00ED43B8"/>
    <w:rsid w:val="00ED4AED"/>
    <w:rsid w:val="00ED4E84"/>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7EC"/>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541"/>
    <w:rsid w:val="00EF072B"/>
    <w:rsid w:val="00EF126D"/>
    <w:rsid w:val="00EF1475"/>
    <w:rsid w:val="00EF1498"/>
    <w:rsid w:val="00EF1572"/>
    <w:rsid w:val="00EF1594"/>
    <w:rsid w:val="00EF15F6"/>
    <w:rsid w:val="00EF1C60"/>
    <w:rsid w:val="00EF1F7E"/>
    <w:rsid w:val="00EF295D"/>
    <w:rsid w:val="00EF376D"/>
    <w:rsid w:val="00EF3776"/>
    <w:rsid w:val="00EF39A6"/>
    <w:rsid w:val="00EF3F8D"/>
    <w:rsid w:val="00EF4125"/>
    <w:rsid w:val="00EF41BF"/>
    <w:rsid w:val="00EF4694"/>
    <w:rsid w:val="00EF4BFB"/>
    <w:rsid w:val="00EF4C8F"/>
    <w:rsid w:val="00EF4D4F"/>
    <w:rsid w:val="00EF4E14"/>
    <w:rsid w:val="00EF53AD"/>
    <w:rsid w:val="00EF5608"/>
    <w:rsid w:val="00EF5AAF"/>
    <w:rsid w:val="00EF5E3E"/>
    <w:rsid w:val="00EF636C"/>
    <w:rsid w:val="00EF672A"/>
    <w:rsid w:val="00EF6B2B"/>
    <w:rsid w:val="00EF73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275"/>
    <w:rsid w:val="00F114CA"/>
    <w:rsid w:val="00F11AA7"/>
    <w:rsid w:val="00F11E29"/>
    <w:rsid w:val="00F11E39"/>
    <w:rsid w:val="00F1240C"/>
    <w:rsid w:val="00F12564"/>
    <w:rsid w:val="00F12967"/>
    <w:rsid w:val="00F129C3"/>
    <w:rsid w:val="00F129D0"/>
    <w:rsid w:val="00F12B22"/>
    <w:rsid w:val="00F13001"/>
    <w:rsid w:val="00F13047"/>
    <w:rsid w:val="00F137BE"/>
    <w:rsid w:val="00F139A1"/>
    <w:rsid w:val="00F13AE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742"/>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55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AFF"/>
    <w:rsid w:val="00F87E5C"/>
    <w:rsid w:val="00F90167"/>
    <w:rsid w:val="00F9018E"/>
    <w:rsid w:val="00F91702"/>
    <w:rsid w:val="00F919CE"/>
    <w:rsid w:val="00F92663"/>
    <w:rsid w:val="00F92727"/>
    <w:rsid w:val="00F92E81"/>
    <w:rsid w:val="00F93427"/>
    <w:rsid w:val="00F93511"/>
    <w:rsid w:val="00F9389C"/>
    <w:rsid w:val="00F93AF3"/>
    <w:rsid w:val="00F93F6A"/>
    <w:rsid w:val="00F94457"/>
    <w:rsid w:val="00F948F4"/>
    <w:rsid w:val="00F94D5D"/>
    <w:rsid w:val="00F95387"/>
    <w:rsid w:val="00F959E5"/>
    <w:rsid w:val="00F95DC0"/>
    <w:rsid w:val="00F95E6D"/>
    <w:rsid w:val="00F962D9"/>
    <w:rsid w:val="00F965DE"/>
    <w:rsid w:val="00F9671B"/>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8D2"/>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13"/>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6C7E0"/>
  <w15:docId w15:val="{E23E3DE2-41C0-426A-BE80-4BAD62AE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0076-6F7C-4FD9-9AA8-2E549641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8067</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2017-06-17T03:41:00Z</dcterms:created>
  <dcterms:modified xsi:type="dcterms:W3CDTF">2017-06-17T03:41:00Z</dcterms:modified>
</cp:coreProperties>
</file>