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26C51" w14:textId="3AC827B2" w:rsidR="00693AE2" w:rsidRPr="0056520D" w:rsidRDefault="00693AE2" w:rsidP="00693AE2">
      <w:pPr>
        <w:pStyle w:val="Header"/>
        <w:rPr>
          <w:lang w:val="de-DE"/>
        </w:rPr>
      </w:pPr>
      <w:r w:rsidRPr="0056520D">
        <w:rPr>
          <w:lang w:val="de-DE"/>
        </w:rPr>
        <w:t>3GPP TSG-RAN WG1</w:t>
      </w:r>
      <w:r w:rsidR="00416929">
        <w:rPr>
          <w:lang w:val="de-DE"/>
        </w:rPr>
        <w:t xml:space="preserve"> #</w:t>
      </w:r>
      <w:r>
        <w:t>9</w:t>
      </w:r>
      <w:r w:rsidR="00FA1A92">
        <w:t>9</w:t>
      </w:r>
      <w:r>
        <w:tab/>
      </w:r>
      <w:r>
        <w:rPr>
          <w:lang w:val="de-DE"/>
        </w:rPr>
        <w:tab/>
      </w:r>
      <w:r w:rsidR="00D22B67" w:rsidRPr="00D22B67">
        <w:rPr>
          <w:lang w:val="de-DE"/>
        </w:rPr>
        <w:t>R1-1912786</w:t>
      </w:r>
    </w:p>
    <w:p w14:paraId="5BF25463" w14:textId="1DE340FD" w:rsidR="00693AE2" w:rsidRDefault="00FA1A92" w:rsidP="00693AE2">
      <w:pPr>
        <w:pStyle w:val="Header"/>
        <w:rPr>
          <w:lang w:val="de-DE"/>
        </w:rPr>
      </w:pPr>
      <w:r>
        <w:rPr>
          <w:lang w:val="de-DE"/>
        </w:rPr>
        <w:t>Reno</w:t>
      </w:r>
      <w:r w:rsidR="00693AE2">
        <w:rPr>
          <w:lang w:val="de-DE"/>
        </w:rPr>
        <w:t xml:space="preserve">, </w:t>
      </w:r>
      <w:r>
        <w:rPr>
          <w:lang w:val="de-DE"/>
        </w:rPr>
        <w:t>USA</w:t>
      </w:r>
      <w:r w:rsidR="00693AE2">
        <w:rPr>
          <w:lang w:val="de-DE"/>
        </w:rPr>
        <w:t xml:space="preserve">, </w:t>
      </w:r>
      <w:r>
        <w:rPr>
          <w:lang w:val="de-DE"/>
        </w:rPr>
        <w:t>November</w:t>
      </w:r>
      <w:r w:rsidR="00693AE2">
        <w:rPr>
          <w:lang w:val="de-DE"/>
        </w:rPr>
        <w:t xml:space="preserve"> </w:t>
      </w:r>
      <w:r w:rsidR="00436517">
        <w:rPr>
          <w:lang w:val="de-DE"/>
        </w:rPr>
        <w:t>1</w:t>
      </w:r>
      <w:r>
        <w:rPr>
          <w:lang w:val="de-DE"/>
        </w:rPr>
        <w:t>8</w:t>
      </w:r>
      <w:r w:rsidR="00693AE2">
        <w:rPr>
          <w:lang w:val="de-DE"/>
        </w:rPr>
        <w:t>-</w:t>
      </w:r>
      <w:r w:rsidR="00712F97">
        <w:rPr>
          <w:lang w:val="de-DE"/>
        </w:rPr>
        <w:t>2</w:t>
      </w:r>
      <w:r>
        <w:rPr>
          <w:lang w:val="de-DE"/>
        </w:rPr>
        <w:t>2</w:t>
      </w:r>
      <w:r w:rsidR="00693AE2">
        <w:rPr>
          <w:lang w:val="de-DE"/>
        </w:rPr>
        <w:t>, 2019</w:t>
      </w:r>
    </w:p>
    <w:p w14:paraId="718953D8" w14:textId="77777777" w:rsidR="00693AE2" w:rsidRPr="000833FA" w:rsidRDefault="00693AE2" w:rsidP="00693AE2">
      <w:pPr>
        <w:pStyle w:val="Header"/>
      </w:pPr>
    </w:p>
    <w:p w14:paraId="3C6285F9" w14:textId="77777777" w:rsidR="00693AE2" w:rsidRPr="0003368D" w:rsidRDefault="00693AE2" w:rsidP="00693AE2">
      <w:pPr>
        <w:pStyle w:val="Header"/>
        <w:tabs>
          <w:tab w:val="clear" w:pos="4536"/>
          <w:tab w:val="left" w:pos="1800"/>
        </w:tabs>
        <w:ind w:left="1800" w:hanging="1800"/>
      </w:pPr>
      <w:r w:rsidRPr="0003368D">
        <w:t>Source:</w:t>
      </w:r>
      <w:r w:rsidRPr="0003368D">
        <w:tab/>
        <w:t>Ericsson</w:t>
      </w:r>
    </w:p>
    <w:p w14:paraId="2ABA68B7" w14:textId="1605C6ED" w:rsidR="00693AE2" w:rsidRPr="00E220C0" w:rsidRDefault="00693AE2" w:rsidP="00693AE2">
      <w:pPr>
        <w:pStyle w:val="Header"/>
        <w:tabs>
          <w:tab w:val="clear" w:pos="4536"/>
          <w:tab w:val="left" w:pos="1800"/>
        </w:tabs>
      </w:pPr>
      <w:r w:rsidRPr="0003368D">
        <w:t>Title:</w:t>
      </w:r>
      <w:bookmarkStart w:id="0" w:name="Title"/>
      <w:bookmarkEnd w:id="0"/>
      <w:r w:rsidRPr="0003368D">
        <w:tab/>
      </w:r>
      <w:r>
        <w:t xml:space="preserve">Reduced latency </w:t>
      </w:r>
      <w:proofErr w:type="spellStart"/>
      <w:r>
        <w:t>Scell</w:t>
      </w:r>
      <w:proofErr w:type="spellEnd"/>
      <w:r>
        <w:t xml:space="preserve"> management for NR CA</w:t>
      </w:r>
    </w:p>
    <w:p w14:paraId="4C50045B" w14:textId="71C996C5" w:rsidR="00693AE2" w:rsidRPr="00E220C0" w:rsidRDefault="00693AE2" w:rsidP="00693AE2">
      <w:pPr>
        <w:pStyle w:val="Header"/>
        <w:tabs>
          <w:tab w:val="left" w:pos="1800"/>
        </w:tabs>
      </w:pPr>
      <w:r w:rsidRPr="00E220C0">
        <w:t>Agenda Item:</w:t>
      </w:r>
      <w:bookmarkStart w:id="1" w:name="Source"/>
      <w:bookmarkEnd w:id="1"/>
      <w:r w:rsidRPr="00E220C0">
        <w:tab/>
      </w:r>
      <w:r>
        <w:t>7.2.13.</w:t>
      </w:r>
      <w:r w:rsidR="00B94706">
        <w:t>3</w:t>
      </w:r>
    </w:p>
    <w:p w14:paraId="34C3E2AA" w14:textId="77777777" w:rsidR="00693AE2" w:rsidRPr="0003368D" w:rsidRDefault="00693AE2" w:rsidP="00693AE2">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9DB51CC" w14:textId="77777777" w:rsidR="00693AE2" w:rsidRPr="002100D2" w:rsidRDefault="00693AE2" w:rsidP="00693AE2">
      <w:pPr>
        <w:pBdr>
          <w:bottom w:val="single" w:sz="4" w:space="1" w:color="auto"/>
        </w:pBdr>
        <w:tabs>
          <w:tab w:val="left" w:pos="2552"/>
        </w:tabs>
      </w:pPr>
    </w:p>
    <w:p w14:paraId="4DDDE83C" w14:textId="77777777" w:rsidR="00693AE2" w:rsidRDefault="00693AE2" w:rsidP="00693AE2">
      <w:pPr>
        <w:pStyle w:val="Heading1"/>
        <w:spacing w:before="180"/>
        <w:ind w:left="562" w:hanging="562"/>
      </w:pPr>
      <w:r>
        <w:t>Introduction</w:t>
      </w:r>
    </w:p>
    <w:p w14:paraId="6E56AF14" w14:textId="5CF3D6AE" w:rsidR="00436517" w:rsidRPr="00E96CF9" w:rsidRDefault="00235FA3" w:rsidP="00693AE2">
      <w:pPr>
        <w:pStyle w:val="BodyText"/>
        <w:rPr>
          <w:szCs w:val="20"/>
        </w:rPr>
      </w:pPr>
      <w:bookmarkStart w:id="3" w:name="_Ref178064866"/>
      <w:r w:rsidRPr="159382A1">
        <w:rPr>
          <w:lang w:val="en-AU"/>
        </w:rPr>
        <w:t>In</w:t>
      </w:r>
      <w:r w:rsidR="00FA1A92">
        <w:rPr>
          <w:lang w:val="en-AU"/>
        </w:rPr>
        <w:t xml:space="preserve"> this document, we discuss remaining details of the L1 based signalling for transitioning between dormancy and non-dormancy behaviour for activated </w:t>
      </w:r>
      <w:proofErr w:type="spellStart"/>
      <w:r w:rsidR="00FA1A92">
        <w:rPr>
          <w:lang w:val="en-AU"/>
        </w:rPr>
        <w:t>SCells</w:t>
      </w:r>
      <w:proofErr w:type="spellEnd"/>
      <w:r w:rsidR="00FA1A92">
        <w:rPr>
          <w:lang w:val="en-AU"/>
        </w:rPr>
        <w:t>.</w:t>
      </w:r>
    </w:p>
    <w:bookmarkEnd w:id="3"/>
    <w:p w14:paraId="1CC7D15D" w14:textId="77777777" w:rsidR="00693AE2" w:rsidRDefault="00693AE2" w:rsidP="00693AE2">
      <w:pPr>
        <w:pStyle w:val="Heading1"/>
      </w:pPr>
      <w:r>
        <w:t>Discussion</w:t>
      </w:r>
    </w:p>
    <w:p w14:paraId="0526EC2E" w14:textId="23C70D4F" w:rsidR="006B4C06" w:rsidRDefault="00FA1A92" w:rsidP="00B1181E">
      <w:pPr>
        <w:pStyle w:val="Heading2"/>
        <w:rPr>
          <w:u w:val="single"/>
        </w:rPr>
      </w:pPr>
      <w:r>
        <w:rPr>
          <w:u w:val="single"/>
        </w:rPr>
        <w:t xml:space="preserve">Dormant BWP </w:t>
      </w:r>
    </w:p>
    <w:p w14:paraId="1CDA18E1" w14:textId="12F3ACB3" w:rsidR="00FA1A92" w:rsidRDefault="00BF3BA3" w:rsidP="006B4C06">
      <w:pPr>
        <w:pStyle w:val="BodyText"/>
      </w:pPr>
      <w:r>
        <w:t>It was</w:t>
      </w:r>
      <w:r w:rsidR="00B16862">
        <w:t xml:space="preserve"> </w:t>
      </w:r>
      <w:r>
        <w:t xml:space="preserve">agreed </w:t>
      </w:r>
      <w:r w:rsidR="00B16862">
        <w:t xml:space="preserve">in </w:t>
      </w:r>
      <w:r w:rsidR="00FA1A92">
        <w:t>RAN1#98bis</w:t>
      </w:r>
      <w:r>
        <w:t xml:space="preserve"> that </w:t>
      </w:r>
      <w:r w:rsidR="00B16862">
        <w:t>switching to/from</w:t>
      </w:r>
      <w:r>
        <w:t xml:space="preserve"> a</w:t>
      </w:r>
      <w:r w:rsidR="00B16862">
        <w:t xml:space="preserve"> dormant BWP </w:t>
      </w:r>
      <w:r>
        <w:t xml:space="preserve">will be used as a mechanism of transitioning to/from dormancy for activated </w:t>
      </w:r>
      <w:proofErr w:type="spellStart"/>
      <w:r>
        <w:t>SCells</w:t>
      </w:r>
      <w:proofErr w:type="spellEnd"/>
      <w:r w:rsidR="00B16862">
        <w:t xml:space="preserve">. </w:t>
      </w:r>
    </w:p>
    <w:p w14:paraId="630469B8" w14:textId="4C078B7E" w:rsidR="00BF3BA3" w:rsidRDefault="00BF3BA3" w:rsidP="006B4C06">
      <w:pPr>
        <w:pStyle w:val="BodyText"/>
      </w:pPr>
      <w:r>
        <w:t>Also, i</w:t>
      </w:r>
      <w:r w:rsidR="006435D9">
        <w:t>n RAN2#107bis it was agreed to “</w:t>
      </w:r>
      <w:r w:rsidR="006435D9" w:rsidRPr="006435D9">
        <w:rPr>
          <w:i/>
          <w:lang w:val="en-GB"/>
        </w:rPr>
        <w:t xml:space="preserve">introduce ‘dormancy’ behaviour for NR </w:t>
      </w:r>
      <w:proofErr w:type="spellStart"/>
      <w:r w:rsidR="006435D9" w:rsidRPr="006435D9">
        <w:rPr>
          <w:i/>
          <w:lang w:val="en-GB"/>
        </w:rPr>
        <w:t>SCell</w:t>
      </w:r>
      <w:proofErr w:type="spellEnd"/>
      <w:r w:rsidR="006435D9" w:rsidRPr="006435D9">
        <w:rPr>
          <w:i/>
          <w:lang w:val="en-GB"/>
        </w:rPr>
        <w:t xml:space="preserve">, i.e. the UE stops monitoring PDCCH on </w:t>
      </w:r>
      <w:proofErr w:type="spellStart"/>
      <w:r w:rsidR="006435D9" w:rsidRPr="006435D9">
        <w:rPr>
          <w:i/>
          <w:lang w:val="en-GB"/>
        </w:rPr>
        <w:t>SCell</w:t>
      </w:r>
      <w:proofErr w:type="spellEnd"/>
      <w:r w:rsidR="006435D9" w:rsidRPr="006435D9">
        <w:rPr>
          <w:i/>
          <w:lang w:val="en-GB"/>
        </w:rPr>
        <w:t xml:space="preserve"> but continue performing CSI measurements, AGC and beam management, if configured</w:t>
      </w:r>
      <w:r w:rsidR="006435D9">
        <w:rPr>
          <w:lang w:val="en-GB"/>
        </w:rPr>
        <w:t xml:space="preserve"> </w:t>
      </w:r>
      <w:r w:rsidR="006435D9">
        <w:t>”</w:t>
      </w:r>
    </w:p>
    <w:p w14:paraId="34A2D109" w14:textId="5F72EA1A" w:rsidR="006435D9" w:rsidRDefault="00BF3BA3" w:rsidP="006B4C06">
      <w:pPr>
        <w:pStyle w:val="BodyText"/>
      </w:pPr>
      <w:r>
        <w:t xml:space="preserve">Considering both the above agreements, the </w:t>
      </w:r>
      <w:r w:rsidR="006435D9">
        <w:t xml:space="preserve">UE should not perform PDCCH monitoring when switching to dormant BWP. </w:t>
      </w:r>
    </w:p>
    <w:p w14:paraId="13B61C43" w14:textId="700745ED" w:rsidR="009F1149" w:rsidRDefault="009F1149" w:rsidP="006B4C06">
      <w:pPr>
        <w:pStyle w:val="BodyText"/>
        <w:rPr>
          <w:b/>
          <w:u w:val="single"/>
        </w:rPr>
      </w:pPr>
      <w:r w:rsidRPr="009F1149">
        <w:rPr>
          <w:b/>
          <w:u w:val="single"/>
        </w:rPr>
        <w:t>Observation</w:t>
      </w:r>
      <w:r>
        <w:rPr>
          <w:b/>
          <w:u w:val="single"/>
        </w:rPr>
        <w:t xml:space="preserve"> 1</w:t>
      </w:r>
    </w:p>
    <w:p w14:paraId="3CBDBA5E" w14:textId="3F10A881" w:rsidR="009F1149" w:rsidRPr="009F1149" w:rsidRDefault="00C55E7D" w:rsidP="00AD2C53">
      <w:pPr>
        <w:pStyle w:val="BodyText"/>
        <w:numPr>
          <w:ilvl w:val="0"/>
          <w:numId w:val="2"/>
        </w:numPr>
        <w:rPr>
          <w:b/>
        </w:rPr>
      </w:pPr>
      <w:r>
        <w:rPr>
          <w:b/>
        </w:rPr>
        <w:t>According to current RAN2 agreements,</w:t>
      </w:r>
      <w:r w:rsidR="009F1149">
        <w:rPr>
          <w:b/>
        </w:rPr>
        <w:t xml:space="preserve"> UE should stop PDCCH monitoring when switched to dormant BWP on </w:t>
      </w:r>
      <w:proofErr w:type="gramStart"/>
      <w:r w:rsidR="009F1149">
        <w:rPr>
          <w:b/>
        </w:rPr>
        <w:t>an</w:t>
      </w:r>
      <w:proofErr w:type="gramEnd"/>
      <w:r w:rsidR="009F1149">
        <w:rPr>
          <w:b/>
        </w:rPr>
        <w:t xml:space="preserve"> </w:t>
      </w:r>
      <w:proofErr w:type="spellStart"/>
      <w:r w:rsidR="009F1149">
        <w:rPr>
          <w:b/>
        </w:rPr>
        <w:t>Scell</w:t>
      </w:r>
      <w:proofErr w:type="spellEnd"/>
    </w:p>
    <w:p w14:paraId="6A87128C" w14:textId="587F43E7" w:rsidR="00CD73E8" w:rsidRDefault="00CD73E8" w:rsidP="006B4C06">
      <w:pPr>
        <w:pStyle w:val="BodyText"/>
      </w:pPr>
      <w:r>
        <w:t>In Rel</w:t>
      </w:r>
      <w:r w:rsidR="0083521B">
        <w:t>-</w:t>
      </w:r>
      <w:r>
        <w:t xml:space="preserve">15, two options for configuring BWP#0 were specified (i.e., Option 1 and Option 2 described in Annex B.2 of 38.331). </w:t>
      </w:r>
    </w:p>
    <w:p w14:paraId="4B607813" w14:textId="79A6AE61" w:rsidR="00826CA1" w:rsidRDefault="00826CA1" w:rsidP="006B4C06">
      <w:pPr>
        <w:pStyle w:val="BodyText"/>
      </w:pPr>
    </w:p>
    <w:p w14:paraId="0A7CA931" w14:textId="10B33A8F" w:rsidR="009F1149" w:rsidRDefault="009F1149" w:rsidP="009F1149">
      <w:pPr>
        <w:pStyle w:val="BodyText"/>
        <w:jc w:val="center"/>
      </w:pPr>
      <w:r>
        <w:object w:dxaOrig="12221" w:dyaOrig="3291" w14:anchorId="6F867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2pt;height:102.05pt" o:ole="">
            <v:imagedata r:id="rId11" o:title=""/>
          </v:shape>
          <o:OLEObject Type="Embed" ProgID="Visio.Drawing.15" ShapeID="_x0000_i1025" DrawAspect="Content" ObjectID="_1634756366" r:id="rId12"/>
        </w:object>
      </w:r>
    </w:p>
    <w:p w14:paraId="59167CA1" w14:textId="2628B46B" w:rsidR="009F1149" w:rsidRDefault="009F1149" w:rsidP="009F1149">
      <w:pPr>
        <w:pStyle w:val="BodyText"/>
        <w:jc w:val="center"/>
        <w:rPr>
          <w:rFonts w:ascii="Arial" w:hAnsi="Arial" w:cs="Arial"/>
          <w:b/>
          <w:u w:val="single"/>
        </w:rPr>
      </w:pPr>
      <w:r>
        <w:rPr>
          <w:rFonts w:ascii="Arial" w:hAnsi="Arial" w:cs="Arial"/>
          <w:b/>
          <w:u w:val="single"/>
        </w:rPr>
        <w:t xml:space="preserve">Figure 1-1 </w:t>
      </w:r>
      <w:r w:rsidR="00CA2489">
        <w:rPr>
          <w:rFonts w:ascii="Arial" w:hAnsi="Arial" w:cs="Arial"/>
          <w:b/>
          <w:u w:val="single"/>
        </w:rPr>
        <w:t>D</w:t>
      </w:r>
      <w:r w:rsidR="00640FE3">
        <w:rPr>
          <w:rFonts w:ascii="Arial" w:hAnsi="Arial" w:cs="Arial"/>
          <w:b/>
          <w:u w:val="single"/>
        </w:rPr>
        <w:t>ormant BWP with ‘</w:t>
      </w:r>
      <w:r w:rsidRPr="009F1149">
        <w:rPr>
          <w:rFonts w:ascii="Arial" w:hAnsi="Arial" w:cs="Arial"/>
          <w:b/>
          <w:u w:val="single"/>
        </w:rPr>
        <w:t>BWP#0 configuration without dedicated configuration</w:t>
      </w:r>
      <w:r>
        <w:rPr>
          <w:rFonts w:ascii="Arial" w:hAnsi="Arial" w:cs="Arial"/>
          <w:b/>
          <w:u w:val="single"/>
        </w:rPr>
        <w:t xml:space="preserve"> </w:t>
      </w:r>
      <w:r w:rsidR="00E70EA6">
        <w:rPr>
          <w:rFonts w:ascii="Arial" w:hAnsi="Arial" w:cs="Arial"/>
          <w:b/>
          <w:u w:val="single"/>
        </w:rPr>
        <w:br/>
      </w:r>
      <w:r>
        <w:rPr>
          <w:rFonts w:ascii="Arial" w:hAnsi="Arial" w:cs="Arial"/>
          <w:b/>
          <w:u w:val="single"/>
        </w:rPr>
        <w:t>(Option 1)</w:t>
      </w:r>
      <w:r w:rsidR="00640FE3">
        <w:rPr>
          <w:rFonts w:ascii="Arial" w:hAnsi="Arial" w:cs="Arial"/>
          <w:b/>
          <w:u w:val="single"/>
        </w:rPr>
        <w:t>’</w:t>
      </w:r>
    </w:p>
    <w:p w14:paraId="7D712305" w14:textId="78598075" w:rsidR="009F1149" w:rsidRDefault="009F1149" w:rsidP="009F1149">
      <w:pPr>
        <w:pStyle w:val="BodyText"/>
        <w:jc w:val="center"/>
        <w:rPr>
          <w:rFonts w:ascii="Arial" w:hAnsi="Arial" w:cs="Arial"/>
          <w:b/>
          <w:u w:val="single"/>
        </w:rPr>
      </w:pPr>
    </w:p>
    <w:p w14:paraId="1CA1FC45" w14:textId="3E74B16E" w:rsidR="009F1149" w:rsidRPr="009F1149" w:rsidRDefault="009F1149" w:rsidP="009F1149">
      <w:pPr>
        <w:pStyle w:val="BodyText"/>
        <w:jc w:val="center"/>
        <w:rPr>
          <w:rFonts w:ascii="Arial" w:hAnsi="Arial" w:cs="Arial"/>
          <w:b/>
          <w:u w:val="single"/>
        </w:rPr>
      </w:pPr>
      <w:r>
        <w:object w:dxaOrig="7811" w:dyaOrig="3291" w14:anchorId="6A85BFED">
          <v:shape id="_x0000_i1026" type="#_x0000_t75" style="width:246.05pt;height:103.55pt" o:ole="">
            <v:imagedata r:id="rId13" o:title=""/>
          </v:shape>
          <o:OLEObject Type="Embed" ProgID="Visio.Drawing.15" ShapeID="_x0000_i1026" DrawAspect="Content" ObjectID="_1634756367" r:id="rId14"/>
        </w:object>
      </w:r>
    </w:p>
    <w:p w14:paraId="35F7F1AB" w14:textId="03FEF535" w:rsidR="00826CA1" w:rsidRDefault="00826CA1" w:rsidP="006B4C06">
      <w:pPr>
        <w:pStyle w:val="BodyText"/>
      </w:pPr>
    </w:p>
    <w:p w14:paraId="2FEBF4CB" w14:textId="290299F9" w:rsidR="009F1149" w:rsidRDefault="009F1149" w:rsidP="009F1149">
      <w:pPr>
        <w:pStyle w:val="BodyText"/>
        <w:jc w:val="center"/>
        <w:rPr>
          <w:rFonts w:ascii="Arial" w:hAnsi="Arial" w:cs="Arial"/>
          <w:b/>
          <w:u w:val="single"/>
        </w:rPr>
      </w:pPr>
      <w:r>
        <w:rPr>
          <w:rFonts w:ascii="Arial" w:hAnsi="Arial" w:cs="Arial"/>
          <w:b/>
          <w:u w:val="single"/>
        </w:rPr>
        <w:t xml:space="preserve">Figure 1-2 </w:t>
      </w:r>
      <w:r w:rsidR="00640FE3">
        <w:rPr>
          <w:rFonts w:ascii="Arial" w:hAnsi="Arial" w:cs="Arial"/>
          <w:b/>
          <w:u w:val="single"/>
        </w:rPr>
        <w:t>Dormant BWP with ‘</w:t>
      </w:r>
      <w:r w:rsidRPr="009F1149">
        <w:rPr>
          <w:rFonts w:ascii="Arial" w:hAnsi="Arial" w:cs="Arial"/>
          <w:b/>
          <w:u w:val="single"/>
        </w:rPr>
        <w:t>BWP#0 configuration with dedicated configuration</w:t>
      </w:r>
      <w:r>
        <w:rPr>
          <w:rFonts w:ascii="Arial" w:hAnsi="Arial" w:cs="Arial"/>
          <w:b/>
          <w:u w:val="single"/>
        </w:rPr>
        <w:t xml:space="preserve"> (Option 2)</w:t>
      </w:r>
      <w:r w:rsidR="00640FE3">
        <w:rPr>
          <w:rFonts w:ascii="Arial" w:hAnsi="Arial" w:cs="Arial"/>
          <w:b/>
          <w:u w:val="single"/>
        </w:rPr>
        <w:t>’</w:t>
      </w:r>
    </w:p>
    <w:p w14:paraId="67119BB0" w14:textId="0DA044A2" w:rsidR="00826CA1" w:rsidRDefault="009F1149" w:rsidP="006B4C06">
      <w:pPr>
        <w:pStyle w:val="BodyText"/>
      </w:pPr>
      <w:r>
        <w:lastRenderedPageBreak/>
        <w:t xml:space="preserve">As shown in Figure 1-1 above, with Option 1, BWP#0 cannot be configured as dormant BWP since parameters within </w:t>
      </w:r>
      <w:proofErr w:type="spellStart"/>
      <w:r w:rsidRPr="00CD73E8">
        <w:rPr>
          <w:bCs/>
          <w:iCs/>
          <w:lang w:val="en-GB"/>
        </w:rPr>
        <w:t>ServingCellConfigCommon</w:t>
      </w:r>
      <w:proofErr w:type="spellEnd"/>
      <w:r>
        <w:t xml:space="preserve"> cannot be modified on </w:t>
      </w:r>
      <w:r w:rsidR="005E4200">
        <w:t xml:space="preserve">a </w:t>
      </w:r>
      <w:r>
        <w:t xml:space="preserve">UE specific basis. Then </w:t>
      </w:r>
      <w:r w:rsidR="000E4FE4">
        <w:t>for this case</w:t>
      </w:r>
      <w:r>
        <w:t>, the UE needs to be configured with at least two BWPs in addition to BWP#0</w:t>
      </w:r>
      <w:r w:rsidR="00175AB4">
        <w:t xml:space="preserve"> for supporting dormancy on the </w:t>
      </w:r>
      <w:proofErr w:type="spellStart"/>
      <w:r w:rsidR="00175AB4">
        <w:t>Scell</w:t>
      </w:r>
      <w:proofErr w:type="spellEnd"/>
      <w:r w:rsidR="00175AB4">
        <w:t xml:space="preserve"> (e.g. one of BWP X or Y in Figure 1-1 should be configured as dormant BWP).</w:t>
      </w:r>
    </w:p>
    <w:p w14:paraId="36AE01E9" w14:textId="034E8DE2" w:rsidR="00175AB4" w:rsidRDefault="00175AB4" w:rsidP="006B4C06">
      <w:pPr>
        <w:pStyle w:val="BodyText"/>
      </w:pPr>
      <w:r>
        <w:t xml:space="preserve">As shown in Figure 1-2 above, with Option 2, it </w:t>
      </w:r>
      <w:r w:rsidR="00F777B4">
        <w:t>may be</w:t>
      </w:r>
      <w:r>
        <w:t xml:space="preserve"> possible to configure BWP#0 as dormant BWP provided UE is also configured with at least one additional BWP (BWP X) which is not a dormant BWP.</w:t>
      </w:r>
      <w:r w:rsidR="00F777B4">
        <w:t xml:space="preserve"> However, in this case the initial BWP</w:t>
      </w:r>
      <w:r w:rsidR="00D926AA">
        <w:t xml:space="preserve"> (i.e., BWP#0)</w:t>
      </w:r>
      <w:r w:rsidR="00F777B4">
        <w:t xml:space="preserve"> </w:t>
      </w:r>
      <w:r w:rsidR="00A71E20">
        <w:t xml:space="preserve">which is usually the default BWP </w:t>
      </w:r>
      <w:r w:rsidR="00F777B4">
        <w:t>will not have PDCCH monitoring</w:t>
      </w:r>
      <w:r w:rsidR="00A71E20">
        <w:t>.</w:t>
      </w:r>
    </w:p>
    <w:p w14:paraId="2F117743" w14:textId="2BB77164" w:rsidR="00A06368" w:rsidRDefault="001D6A97" w:rsidP="006B4C06">
      <w:pPr>
        <w:pStyle w:val="BodyText"/>
      </w:pPr>
      <w:r>
        <w:t>Considering above aspects</w:t>
      </w:r>
      <w:r w:rsidR="006328B9">
        <w:t xml:space="preserve">, BWP#0 </w:t>
      </w:r>
      <w:r w:rsidR="003E3514">
        <w:t>is generally not suitable to be</w:t>
      </w:r>
      <w:r w:rsidR="007476A7">
        <w:t xml:space="preserve"> set as dormant BWP. </w:t>
      </w:r>
    </w:p>
    <w:p w14:paraId="2A74C5EA" w14:textId="797F24E3" w:rsidR="00A06368" w:rsidRDefault="009627F8" w:rsidP="006B4C06">
      <w:pPr>
        <w:pStyle w:val="BodyText"/>
      </w:pPr>
      <w:r>
        <w:t>W</w:t>
      </w:r>
      <w:r w:rsidR="00BF3BA3">
        <w:t>e propose following for dormant BWP definition</w:t>
      </w:r>
      <w:r>
        <w:t>.</w:t>
      </w:r>
    </w:p>
    <w:p w14:paraId="39216152" w14:textId="6DF034C4" w:rsidR="00C746D4" w:rsidRPr="00615F68" w:rsidRDefault="00C746D4" w:rsidP="00C746D4">
      <w:pPr>
        <w:pStyle w:val="BodyText"/>
        <w:rPr>
          <w:b/>
          <w:u w:val="single"/>
        </w:rPr>
      </w:pPr>
      <w:r w:rsidRPr="00615F68">
        <w:rPr>
          <w:b/>
          <w:u w:val="single"/>
        </w:rPr>
        <w:t>Proposal 1</w:t>
      </w:r>
    </w:p>
    <w:p w14:paraId="5AD4073B" w14:textId="3ADAE851" w:rsidR="00422A8A" w:rsidRPr="00422A8A" w:rsidRDefault="00C746D4" w:rsidP="00AD2C53">
      <w:pPr>
        <w:pStyle w:val="BodyText"/>
        <w:numPr>
          <w:ilvl w:val="0"/>
          <w:numId w:val="2"/>
        </w:numPr>
        <w:rPr>
          <w:b/>
        </w:rPr>
      </w:pPr>
      <w:r w:rsidRPr="00615F68">
        <w:rPr>
          <w:b/>
        </w:rPr>
        <w:t xml:space="preserve">The dormant BWP is not configured with PDCCH monitoring (e.g. the IE </w:t>
      </w:r>
      <w:proofErr w:type="spellStart"/>
      <w:r w:rsidRPr="00615F68">
        <w:rPr>
          <w:b/>
        </w:rPr>
        <w:t>pdcch</w:t>
      </w:r>
      <w:proofErr w:type="spellEnd"/>
      <w:r w:rsidRPr="00615F68">
        <w:rPr>
          <w:b/>
        </w:rPr>
        <w:t>-Config is absent in the BWP configuration)</w:t>
      </w:r>
    </w:p>
    <w:p w14:paraId="59BAAA12" w14:textId="3B008736" w:rsidR="00C746D4" w:rsidRPr="00615F68" w:rsidRDefault="00C746D4" w:rsidP="00AD2C53">
      <w:pPr>
        <w:pStyle w:val="BodyText"/>
        <w:numPr>
          <w:ilvl w:val="0"/>
          <w:numId w:val="2"/>
        </w:numPr>
        <w:rPr>
          <w:b/>
        </w:rPr>
      </w:pPr>
      <w:r w:rsidRPr="00615F68">
        <w:rPr>
          <w:b/>
        </w:rPr>
        <w:t xml:space="preserve">The dormant BWP is configured only when UE is configured with at least one other UE-specific RRC configured BWP (i.e., </w:t>
      </w:r>
      <w:r w:rsidR="001D6A97" w:rsidRPr="00615F68">
        <w:rPr>
          <w:b/>
        </w:rPr>
        <w:t xml:space="preserve">a </w:t>
      </w:r>
      <w:r w:rsidRPr="00615F68">
        <w:rPr>
          <w:b/>
        </w:rPr>
        <w:t>‘regular BWP’)</w:t>
      </w:r>
    </w:p>
    <w:p w14:paraId="10BB711B" w14:textId="29CBD923" w:rsidR="00C746D4" w:rsidRPr="00615F68" w:rsidRDefault="00C746D4" w:rsidP="00AD2C53">
      <w:pPr>
        <w:pStyle w:val="BodyText"/>
        <w:numPr>
          <w:ilvl w:val="0"/>
          <w:numId w:val="2"/>
        </w:numPr>
        <w:rPr>
          <w:b/>
        </w:rPr>
      </w:pPr>
      <w:r w:rsidRPr="00615F68">
        <w:rPr>
          <w:b/>
        </w:rPr>
        <w:t xml:space="preserve">UE determines via RRC configuration, which </w:t>
      </w:r>
      <w:r w:rsidR="00422A8A">
        <w:rPr>
          <w:b/>
        </w:rPr>
        <w:t xml:space="preserve">DL </w:t>
      </w:r>
      <w:r w:rsidRPr="00615F68">
        <w:rPr>
          <w:b/>
        </w:rPr>
        <w:t>BWP among the UE-specific RRC configured</w:t>
      </w:r>
      <w:r w:rsidR="00AC0764">
        <w:rPr>
          <w:b/>
        </w:rPr>
        <w:t xml:space="preserve"> </w:t>
      </w:r>
      <w:r w:rsidRPr="00615F68">
        <w:rPr>
          <w:b/>
        </w:rPr>
        <w:t xml:space="preserve">BWPs is the dormant BWP. </w:t>
      </w:r>
    </w:p>
    <w:p w14:paraId="11951593" w14:textId="77777777" w:rsidR="007437A3" w:rsidRDefault="007437A3" w:rsidP="006B4C06">
      <w:pPr>
        <w:pStyle w:val="BodyText"/>
      </w:pPr>
    </w:p>
    <w:p w14:paraId="755C7903" w14:textId="1A4FF327" w:rsidR="008461B2" w:rsidRDefault="00DF630C" w:rsidP="006B4C06">
      <w:pPr>
        <w:pStyle w:val="BodyText"/>
        <w:rPr>
          <w:bCs/>
          <w:iCs/>
          <w:lang w:val="en-GB"/>
        </w:rPr>
      </w:pPr>
      <w:r>
        <w:t>Regarding identification of dormant BWP among the RRC configured BWPs,</w:t>
      </w:r>
      <w:r w:rsidR="008461B2">
        <w:t xml:space="preserve"> the most straightforward option would be to configure the dormant BWP ID explicitly via RRC (i.e., </w:t>
      </w:r>
      <w:r w:rsidR="00BE00EB">
        <w:t>a</w:t>
      </w:r>
      <w:r w:rsidR="000E4FE4">
        <w:t>dding a</w:t>
      </w:r>
      <w:r w:rsidR="00BE00EB">
        <w:t xml:space="preserve"> new field </w:t>
      </w:r>
      <w:proofErr w:type="spellStart"/>
      <w:r w:rsidR="00BE00EB" w:rsidRPr="00BE00EB">
        <w:rPr>
          <w:i/>
        </w:rPr>
        <w:t>dormantBWP</w:t>
      </w:r>
      <w:proofErr w:type="spellEnd"/>
      <w:r w:rsidR="00BE00EB" w:rsidRPr="00BE00EB">
        <w:rPr>
          <w:i/>
        </w:rPr>
        <w:t>-Id</w:t>
      </w:r>
      <w:r w:rsidR="00BE00EB" w:rsidRPr="00BE00EB">
        <w:t xml:space="preserve"> </w:t>
      </w:r>
      <w:r w:rsidR="008461B2">
        <w:t xml:space="preserve">as part of </w:t>
      </w:r>
      <w:proofErr w:type="spellStart"/>
      <w:r w:rsidR="008461B2" w:rsidRPr="00747451">
        <w:rPr>
          <w:bCs/>
          <w:iCs/>
          <w:lang w:val="en-GB"/>
        </w:rPr>
        <w:t>ServingCellConfig</w:t>
      </w:r>
      <w:proofErr w:type="spellEnd"/>
      <w:r w:rsidR="008461B2">
        <w:rPr>
          <w:bCs/>
          <w:iCs/>
          <w:lang w:val="en-GB"/>
        </w:rPr>
        <w:t xml:space="preserve">). </w:t>
      </w:r>
    </w:p>
    <w:p w14:paraId="29287589" w14:textId="4054F3D0" w:rsidR="008461B2" w:rsidRPr="00615F68" w:rsidRDefault="008461B2" w:rsidP="008461B2">
      <w:pPr>
        <w:pStyle w:val="BodyText"/>
        <w:rPr>
          <w:b/>
          <w:u w:val="single"/>
        </w:rPr>
      </w:pPr>
      <w:r w:rsidRPr="00615F68">
        <w:rPr>
          <w:b/>
          <w:u w:val="single"/>
        </w:rPr>
        <w:t>Proposal 2</w:t>
      </w:r>
    </w:p>
    <w:p w14:paraId="3F72D053" w14:textId="0D166C56" w:rsidR="007E0EE1" w:rsidRPr="00E96CF9" w:rsidRDefault="008461B2" w:rsidP="00AD2C53">
      <w:pPr>
        <w:pStyle w:val="BodyText"/>
        <w:numPr>
          <w:ilvl w:val="0"/>
          <w:numId w:val="3"/>
        </w:numPr>
        <w:rPr>
          <w:b/>
          <w:u w:val="single"/>
        </w:rPr>
      </w:pPr>
      <w:r w:rsidRPr="00615F68">
        <w:rPr>
          <w:b/>
        </w:rPr>
        <w:t xml:space="preserve">Dormant BWP ID </w:t>
      </w:r>
      <w:r w:rsidR="00923456">
        <w:rPr>
          <w:b/>
        </w:rPr>
        <w:t xml:space="preserve">is </w:t>
      </w:r>
      <w:r w:rsidRPr="00615F68">
        <w:rPr>
          <w:b/>
        </w:rPr>
        <w:t xml:space="preserve">explicitly configured via RRC as part of </w:t>
      </w:r>
      <w:proofErr w:type="spellStart"/>
      <w:r w:rsidRPr="00615F68">
        <w:rPr>
          <w:b/>
          <w:bCs/>
          <w:iCs/>
          <w:lang w:val="en-GB"/>
        </w:rPr>
        <w:t>ServingCellConfig</w:t>
      </w:r>
      <w:proofErr w:type="spellEnd"/>
    </w:p>
    <w:p w14:paraId="05BDEA4F" w14:textId="792814CD" w:rsidR="00615F68" w:rsidRDefault="00DC43C7" w:rsidP="006B4C06">
      <w:pPr>
        <w:pStyle w:val="BodyText"/>
      </w:pPr>
      <w:r>
        <w:t xml:space="preserve">When dormant BWP is configured for </w:t>
      </w:r>
      <w:proofErr w:type="gramStart"/>
      <w:r>
        <w:t>an</w:t>
      </w:r>
      <w:proofErr w:type="gramEnd"/>
      <w:r>
        <w:t xml:space="preserve"> </w:t>
      </w:r>
      <w:proofErr w:type="spellStart"/>
      <w:r>
        <w:t>Scell</w:t>
      </w:r>
      <w:proofErr w:type="spellEnd"/>
      <w:r>
        <w:t xml:space="preserve">, in most cases it increases the DCI payload size for the </w:t>
      </w:r>
      <w:proofErr w:type="spellStart"/>
      <w:r>
        <w:t>Scell</w:t>
      </w:r>
      <w:proofErr w:type="spellEnd"/>
      <w:r>
        <w:t xml:space="preserve"> by 1 additional bit for the </w:t>
      </w:r>
      <w:r w:rsidR="00CA011B">
        <w:t>“</w:t>
      </w:r>
      <w:r w:rsidR="00CA011B" w:rsidRPr="002625EB">
        <w:rPr>
          <w:rFonts w:hint="eastAsia"/>
          <w:lang w:eastAsia="zh-CN"/>
        </w:rPr>
        <w:t>Bandwidth part indicator</w:t>
      </w:r>
      <w:r w:rsidR="00CA011B">
        <w:t>” field. For example, assuming Option 2 BWP#0 configuration, without a dormant BWP</w:t>
      </w:r>
      <w:r w:rsidR="003E59B9">
        <w:t>,</w:t>
      </w:r>
      <w:r w:rsidR="00CA011B">
        <w:t xml:space="preserve"> it is possible to operate </w:t>
      </w:r>
      <w:proofErr w:type="gramStart"/>
      <w:r w:rsidR="00CA011B">
        <w:t>an</w:t>
      </w:r>
      <w:proofErr w:type="gramEnd"/>
      <w:r w:rsidR="00CA011B">
        <w:t xml:space="preserve"> </w:t>
      </w:r>
      <w:proofErr w:type="spellStart"/>
      <w:r w:rsidR="00CA011B">
        <w:t>Scell</w:t>
      </w:r>
      <w:proofErr w:type="spellEnd"/>
      <w:r w:rsidR="00CA011B">
        <w:t xml:space="preserve"> with 0 bit BWP indicator field, but configuring a dormant BWP would require a 1 bit field. Similarly, with Option 1 BWP#0 configuration, the </w:t>
      </w:r>
      <w:proofErr w:type="gramStart"/>
      <w:r w:rsidR="00CA011B">
        <w:t>1 bit</w:t>
      </w:r>
      <w:proofErr w:type="gramEnd"/>
      <w:r w:rsidR="00CA011B">
        <w:t xml:space="preserve"> field needs to be increased to two bits</w:t>
      </w:r>
      <w:r w:rsidR="003E59B9">
        <w:t xml:space="preserve"> in many cases</w:t>
      </w:r>
      <w:r w:rsidR="00CA011B">
        <w:t xml:space="preserve">. </w:t>
      </w:r>
    </w:p>
    <w:p w14:paraId="0D7C228C" w14:textId="7B6C3AD6" w:rsidR="00665106" w:rsidRDefault="000E4FE4" w:rsidP="006B4C06">
      <w:pPr>
        <w:pStyle w:val="BodyText"/>
      </w:pPr>
      <w:r>
        <w:t xml:space="preserve">Also, using the </w:t>
      </w:r>
      <w:proofErr w:type="spellStart"/>
      <w:r>
        <w:t>Scell</w:t>
      </w:r>
      <w:proofErr w:type="spellEnd"/>
      <w:r>
        <w:t xml:space="preserve"> PDCCH DCI for switching to dormant BWP, would imply that the corresponding scheduled PDSCH </w:t>
      </w:r>
      <w:proofErr w:type="gramStart"/>
      <w:r>
        <w:t>has to</w:t>
      </w:r>
      <w:proofErr w:type="gramEnd"/>
      <w:r>
        <w:t xml:space="preserve"> be considered as a null resource to avoid unnecessary uplink transmission from the UE (HARQ feedback, </w:t>
      </w:r>
      <w:proofErr w:type="spellStart"/>
      <w:r>
        <w:t>etc</w:t>
      </w:r>
      <w:proofErr w:type="spellEnd"/>
      <w:r>
        <w:t xml:space="preserve">) – this </w:t>
      </w:r>
      <w:r w:rsidR="007064E9">
        <w:t xml:space="preserve">is </w:t>
      </w:r>
      <w:r>
        <w:t xml:space="preserve">mainly since that PDSCH cannot be retransmitted in case </w:t>
      </w:r>
      <w:r w:rsidR="00665106">
        <w:t xml:space="preserve">of </w:t>
      </w:r>
      <w:r>
        <w:t>HARQ</w:t>
      </w:r>
      <w:r w:rsidR="00665106">
        <w:t xml:space="preserve"> retransmissions</w:t>
      </w:r>
      <w:r>
        <w:t xml:space="preserve">. </w:t>
      </w:r>
      <w:proofErr w:type="gramStart"/>
      <w:r>
        <w:t xml:space="preserve">In essence, </w:t>
      </w:r>
      <w:r w:rsidR="00665106">
        <w:t>if</w:t>
      </w:r>
      <w:proofErr w:type="gramEnd"/>
      <w:r>
        <w:t xml:space="preserve"> </w:t>
      </w:r>
      <w:proofErr w:type="spellStart"/>
      <w:r>
        <w:t>Scell</w:t>
      </w:r>
      <w:proofErr w:type="spellEnd"/>
      <w:r>
        <w:t xml:space="preserve"> PDCCH </w:t>
      </w:r>
      <w:r w:rsidR="00665106">
        <w:t xml:space="preserve">DCI is used </w:t>
      </w:r>
      <w:r>
        <w:t xml:space="preserve">for switching from a regular to dormant BWP the last scheduled </w:t>
      </w:r>
      <w:r w:rsidR="00665106">
        <w:t>PDSCH</w:t>
      </w:r>
      <w:r>
        <w:t xml:space="preserve"> </w:t>
      </w:r>
      <w:r w:rsidR="00665106">
        <w:t>is impacted</w:t>
      </w:r>
      <w:r>
        <w:t xml:space="preserve">. </w:t>
      </w:r>
      <w:r w:rsidR="00AA29C2">
        <w:t>Also given no (subsequent) data scheduling is possible in a dormant BWP, it is unnecessary to require UE to decode PDSCH in a dormant BWP and provide valid HARQ feedback.</w:t>
      </w:r>
    </w:p>
    <w:p w14:paraId="12529F0B" w14:textId="5097661E" w:rsidR="00665106" w:rsidRDefault="00665106" w:rsidP="006B4C06">
      <w:pPr>
        <w:pStyle w:val="BodyText"/>
      </w:pPr>
      <w:r>
        <w:t xml:space="preserve">Considering the above, using </w:t>
      </w:r>
      <w:proofErr w:type="spellStart"/>
      <w:r>
        <w:t>Pcell</w:t>
      </w:r>
      <w:proofErr w:type="spellEnd"/>
      <w:r>
        <w:t xml:space="preserve"> indication for switching between regular and dormant BWP is generally preferable and the additional bit in the </w:t>
      </w:r>
      <w:proofErr w:type="spellStart"/>
      <w:r>
        <w:t>Scell</w:t>
      </w:r>
      <w:proofErr w:type="spellEnd"/>
      <w:r>
        <w:t xml:space="preserve"> DCI is </w:t>
      </w:r>
      <w:r w:rsidR="00AA29C2">
        <w:t>unnecessary</w:t>
      </w:r>
      <w:r>
        <w:t xml:space="preserve">. Also, </w:t>
      </w:r>
      <w:r w:rsidR="00A71E20">
        <w:t>in case</w:t>
      </w:r>
      <w:r>
        <w:t xml:space="preserve"> dormant BWP is </w:t>
      </w:r>
      <w:r w:rsidR="00A71E20">
        <w:t xml:space="preserve">also </w:t>
      </w:r>
      <w:r>
        <w:t xml:space="preserve">configured to be same as default BWP, the BWP inactivity timer provides one more option to switch to dormant BWP, making the extra </w:t>
      </w:r>
      <w:proofErr w:type="spellStart"/>
      <w:r>
        <w:t>Scell</w:t>
      </w:r>
      <w:proofErr w:type="spellEnd"/>
      <w:r>
        <w:t xml:space="preserve"> DCI bit even more redundant.</w:t>
      </w:r>
    </w:p>
    <w:p w14:paraId="3529EC33" w14:textId="4CA21D91" w:rsidR="007E0EE1" w:rsidRDefault="00615F68" w:rsidP="006B4C06">
      <w:pPr>
        <w:pStyle w:val="BodyText"/>
      </w:pPr>
      <w:r>
        <w:t>Th</w:t>
      </w:r>
      <w:r w:rsidR="00563504">
        <w:t>is</w:t>
      </w:r>
      <w:r>
        <w:t xml:space="preserve"> extra overhead can be avoided by not counting the dormant BWP as part of the </w:t>
      </w:r>
      <w:r w:rsidRPr="002625EB">
        <w:rPr>
          <w:rFonts w:hint="eastAsia"/>
          <w:lang w:eastAsia="zh-CN"/>
        </w:rPr>
        <w:t xml:space="preserve">number of BWPs </w:t>
      </w:r>
      <w:r>
        <w:rPr>
          <w:lang w:eastAsia="zh-CN"/>
        </w:rPr>
        <w:t>(</w:t>
      </w:r>
      <w:r w:rsidRPr="002625EB">
        <w:rPr>
          <w:position w:val="-14"/>
        </w:rPr>
        <w:object w:dxaOrig="800" w:dyaOrig="380" w14:anchorId="4D1A2166">
          <v:shape id="_x0000_i1027" type="#_x0000_t75" style="width:31.95pt;height:17.35pt" o:ole="">
            <v:imagedata r:id="rId15" o:title=""/>
          </v:shape>
          <o:OLEObject Type="Embed" ProgID="Equation.DSMT4" ShapeID="_x0000_i1027" DrawAspect="Content" ObjectID="_1634756368" r:id="rId16"/>
        </w:object>
      </w:r>
      <w:r>
        <w:t>)</w:t>
      </w:r>
      <w:r w:rsidRPr="002625EB">
        <w:rPr>
          <w:rFonts w:hint="eastAsia"/>
          <w:lang w:eastAsia="zh-CN"/>
        </w:rPr>
        <w:t xml:space="preserve"> configured by higher layers</w:t>
      </w:r>
      <w:r>
        <w:t xml:space="preserve"> while determining DCI payload of the </w:t>
      </w:r>
      <w:proofErr w:type="spellStart"/>
      <w:r>
        <w:t>Scells</w:t>
      </w:r>
      <w:proofErr w:type="spellEnd"/>
      <w:r>
        <w:t xml:space="preserve">. </w:t>
      </w:r>
    </w:p>
    <w:p w14:paraId="5249E669" w14:textId="15E3DE27" w:rsidR="00615F68" w:rsidRPr="007437A3" w:rsidRDefault="00615F68" w:rsidP="00615F68">
      <w:pPr>
        <w:pStyle w:val="BodyText"/>
        <w:rPr>
          <w:b/>
          <w:u w:val="single"/>
        </w:rPr>
      </w:pPr>
      <w:r w:rsidRPr="007437A3">
        <w:rPr>
          <w:b/>
          <w:u w:val="single"/>
        </w:rPr>
        <w:t>Proposal 3</w:t>
      </w:r>
    </w:p>
    <w:p w14:paraId="781918E4" w14:textId="18A04C5C" w:rsidR="00615F68" w:rsidRPr="007437A3" w:rsidRDefault="00615F68" w:rsidP="00AD2C53">
      <w:pPr>
        <w:pStyle w:val="BodyText"/>
        <w:numPr>
          <w:ilvl w:val="0"/>
          <w:numId w:val="3"/>
        </w:numPr>
        <w:rPr>
          <w:b/>
          <w:u w:val="single"/>
        </w:rPr>
      </w:pPr>
      <w:r w:rsidRPr="007437A3">
        <w:rPr>
          <w:b/>
        </w:rPr>
        <w:t xml:space="preserve">When </w:t>
      </w:r>
      <w:proofErr w:type="gramStart"/>
      <w:r w:rsidRPr="007437A3">
        <w:rPr>
          <w:b/>
        </w:rPr>
        <w:t>an</w:t>
      </w:r>
      <w:proofErr w:type="gramEnd"/>
      <w:r w:rsidRPr="007437A3">
        <w:rPr>
          <w:b/>
        </w:rPr>
        <w:t xml:space="preserve"> </w:t>
      </w:r>
      <w:proofErr w:type="spellStart"/>
      <w:r w:rsidRPr="007437A3">
        <w:rPr>
          <w:b/>
        </w:rPr>
        <w:t>Scell</w:t>
      </w:r>
      <w:proofErr w:type="spellEnd"/>
      <w:r w:rsidRPr="007437A3">
        <w:rPr>
          <w:b/>
        </w:rPr>
        <w:t xml:space="preserve"> is configured with a dormant BWP, the dormant BWP is not counted when determining the size of BWP indicator field for the </w:t>
      </w:r>
      <w:proofErr w:type="spellStart"/>
      <w:r w:rsidRPr="007437A3">
        <w:rPr>
          <w:b/>
        </w:rPr>
        <w:t>Scell</w:t>
      </w:r>
      <w:proofErr w:type="spellEnd"/>
      <w:r w:rsidRPr="007437A3">
        <w:rPr>
          <w:b/>
        </w:rPr>
        <w:t xml:space="preserve"> DCI. </w:t>
      </w:r>
    </w:p>
    <w:p w14:paraId="30DB35C4" w14:textId="7E02CABA" w:rsidR="0051562B" w:rsidRDefault="0051562B" w:rsidP="0051562B">
      <w:pPr>
        <w:pStyle w:val="BodyText"/>
      </w:pPr>
      <w:bookmarkStart w:id="4" w:name="_GoBack"/>
      <w:bookmarkEnd w:id="4"/>
    </w:p>
    <w:p w14:paraId="154D95F4" w14:textId="0919523A" w:rsidR="00AC0764" w:rsidRDefault="00AC0764" w:rsidP="00AC0764">
      <w:pPr>
        <w:pStyle w:val="Heading2"/>
        <w:rPr>
          <w:u w:val="single"/>
        </w:rPr>
      </w:pPr>
      <w:r>
        <w:rPr>
          <w:u w:val="single"/>
        </w:rPr>
        <w:t>Dormancy and SRS transmissions</w:t>
      </w:r>
    </w:p>
    <w:p w14:paraId="6BDB68AF" w14:textId="77777777" w:rsidR="00665106" w:rsidRDefault="00665106" w:rsidP="0051562B">
      <w:pPr>
        <w:pStyle w:val="BodyText"/>
      </w:pPr>
    </w:p>
    <w:p w14:paraId="24D6B369" w14:textId="7F1953D5" w:rsidR="007258AB" w:rsidRDefault="00AC0764" w:rsidP="0051562B">
      <w:pPr>
        <w:pStyle w:val="BodyText"/>
      </w:pPr>
      <w:r>
        <w:t xml:space="preserve">When dormancy is indicated for </w:t>
      </w:r>
      <w:proofErr w:type="gramStart"/>
      <w:r>
        <w:t>an</w:t>
      </w:r>
      <w:proofErr w:type="gramEnd"/>
      <w:r>
        <w:t xml:space="preserve"> </w:t>
      </w:r>
      <w:proofErr w:type="spellStart"/>
      <w:r>
        <w:t>Scell</w:t>
      </w:r>
      <w:proofErr w:type="spellEnd"/>
      <w:r>
        <w:t xml:space="preserve">, in addition to stopping PDCCH monitoring, the UE should also stop periodic SRS transmissions on the </w:t>
      </w:r>
      <w:proofErr w:type="spellStart"/>
      <w:r>
        <w:t>Scell</w:t>
      </w:r>
      <w:proofErr w:type="spellEnd"/>
      <w:r>
        <w:t xml:space="preserve"> (if configured). </w:t>
      </w:r>
    </w:p>
    <w:p w14:paraId="4C28375B" w14:textId="5BAD8574" w:rsidR="007437A3" w:rsidRDefault="00AC0764" w:rsidP="0051562B">
      <w:pPr>
        <w:pStyle w:val="BodyText"/>
      </w:pPr>
      <w:r>
        <w:lastRenderedPageBreak/>
        <w:t xml:space="preserve">To specify this, one option is to create the notion of an UL dormant BWP (configured without periodic SRS transmission), and a DL dormant BWP (configured without PDCCH monitoring) and assume that UE switches to the UL dormant BWP on the </w:t>
      </w:r>
      <w:proofErr w:type="spellStart"/>
      <w:r>
        <w:t>Scell</w:t>
      </w:r>
      <w:proofErr w:type="spellEnd"/>
      <w:r>
        <w:t xml:space="preserve"> along with the DL dormant BWP when the </w:t>
      </w:r>
      <w:proofErr w:type="spellStart"/>
      <w:r>
        <w:t>Pcell</w:t>
      </w:r>
      <w:proofErr w:type="spellEnd"/>
      <w:r>
        <w:t xml:space="preserve"> indicates </w:t>
      </w:r>
      <w:r w:rsidR="007258AB">
        <w:t xml:space="preserve">transition to dormancy. </w:t>
      </w:r>
    </w:p>
    <w:p w14:paraId="2AE5A9D4" w14:textId="184FDB0A" w:rsidR="007258AB" w:rsidRDefault="007258AB" w:rsidP="0051562B">
      <w:pPr>
        <w:pStyle w:val="BodyText"/>
      </w:pPr>
      <w:r>
        <w:t>Another more straightforward option is to directly specify that UE does no</w:t>
      </w:r>
      <w:r w:rsidR="00962CF0">
        <w:t>t</w:t>
      </w:r>
      <w:r>
        <w:t xml:space="preserve"> perform periodic SRS transmissions on </w:t>
      </w:r>
      <w:proofErr w:type="gramStart"/>
      <w:r>
        <w:t>an</w:t>
      </w:r>
      <w:proofErr w:type="gramEnd"/>
      <w:r>
        <w:t xml:space="preserve"> </w:t>
      </w:r>
      <w:proofErr w:type="spellStart"/>
      <w:r>
        <w:t>Scell</w:t>
      </w:r>
      <w:proofErr w:type="spellEnd"/>
      <w:r>
        <w:t xml:space="preserve"> when </w:t>
      </w:r>
      <w:proofErr w:type="spellStart"/>
      <w:r>
        <w:t>Pcell</w:t>
      </w:r>
      <w:proofErr w:type="spellEnd"/>
      <w:r>
        <w:t xml:space="preserve"> indicates transition </w:t>
      </w:r>
      <w:r w:rsidR="00665106">
        <w:t xml:space="preserve">to </w:t>
      </w:r>
      <w:r>
        <w:t xml:space="preserve">dormancy for that </w:t>
      </w:r>
      <w:proofErr w:type="spellStart"/>
      <w:r>
        <w:t>Scell</w:t>
      </w:r>
      <w:proofErr w:type="spellEnd"/>
      <w:r>
        <w:t xml:space="preserve">. i.e., </w:t>
      </w:r>
      <w:r w:rsidR="00665106">
        <w:t>only</w:t>
      </w:r>
      <w:r>
        <w:t xml:space="preserve"> configure a DL dormant BWP for the </w:t>
      </w:r>
      <w:proofErr w:type="spellStart"/>
      <w:r>
        <w:t>Scell</w:t>
      </w:r>
      <w:proofErr w:type="spellEnd"/>
      <w:r>
        <w:t xml:space="preserve"> and specify that SRS transmissions (at least periodic SRS transmissions) are stopped when switch to the DL dormant BWP is indicated. We prefer this option.</w:t>
      </w:r>
    </w:p>
    <w:p w14:paraId="73D1EF94" w14:textId="0CFD0624" w:rsidR="007258AB" w:rsidRDefault="007258AB" w:rsidP="007258AB">
      <w:pPr>
        <w:pStyle w:val="BodyText"/>
        <w:rPr>
          <w:b/>
          <w:u w:val="single"/>
        </w:rPr>
      </w:pPr>
      <w:r w:rsidRPr="007437A3">
        <w:rPr>
          <w:b/>
          <w:u w:val="single"/>
        </w:rPr>
        <w:t xml:space="preserve">Proposal </w:t>
      </w:r>
      <w:r>
        <w:rPr>
          <w:b/>
          <w:u w:val="single"/>
        </w:rPr>
        <w:t>4</w:t>
      </w:r>
    </w:p>
    <w:p w14:paraId="675E4EB8" w14:textId="4B5E3374" w:rsidR="007258AB" w:rsidRDefault="007258AB" w:rsidP="00AD2C53">
      <w:pPr>
        <w:pStyle w:val="BodyText"/>
        <w:numPr>
          <w:ilvl w:val="0"/>
          <w:numId w:val="4"/>
        </w:numPr>
        <w:rPr>
          <w:b/>
        </w:rPr>
      </w:pPr>
      <w:r w:rsidRPr="007258AB">
        <w:rPr>
          <w:b/>
        </w:rPr>
        <w:t xml:space="preserve">When </w:t>
      </w:r>
      <w:r>
        <w:rPr>
          <w:b/>
        </w:rPr>
        <w:t xml:space="preserve">transition to dormant BWP is indicated for </w:t>
      </w:r>
      <w:proofErr w:type="gramStart"/>
      <w:r>
        <w:rPr>
          <w:b/>
        </w:rPr>
        <w:t>an</w:t>
      </w:r>
      <w:proofErr w:type="gramEnd"/>
      <w:r>
        <w:rPr>
          <w:b/>
        </w:rPr>
        <w:t xml:space="preserve"> </w:t>
      </w:r>
      <w:proofErr w:type="spellStart"/>
      <w:r>
        <w:rPr>
          <w:b/>
        </w:rPr>
        <w:t>Scell</w:t>
      </w:r>
      <w:proofErr w:type="spellEnd"/>
      <w:r>
        <w:rPr>
          <w:b/>
        </w:rPr>
        <w:t xml:space="preserve">, UE stops transmitting periodic SRS on the </w:t>
      </w:r>
      <w:proofErr w:type="spellStart"/>
      <w:r>
        <w:rPr>
          <w:b/>
        </w:rPr>
        <w:t>Scell</w:t>
      </w:r>
      <w:proofErr w:type="spellEnd"/>
      <w:r>
        <w:rPr>
          <w:b/>
        </w:rPr>
        <w:t xml:space="preserve">. </w:t>
      </w:r>
    </w:p>
    <w:p w14:paraId="77E8B9AF" w14:textId="1CE909E7" w:rsidR="007258AB" w:rsidRDefault="007258AB" w:rsidP="00AD2C53">
      <w:pPr>
        <w:pStyle w:val="BodyText"/>
        <w:numPr>
          <w:ilvl w:val="0"/>
          <w:numId w:val="4"/>
        </w:numPr>
        <w:rPr>
          <w:b/>
        </w:rPr>
      </w:pPr>
      <w:r>
        <w:rPr>
          <w:b/>
        </w:rPr>
        <w:t>No separate UL dormant BWP configuration is introduced.</w:t>
      </w:r>
    </w:p>
    <w:p w14:paraId="332DAD8C" w14:textId="77777777" w:rsidR="00451AF0" w:rsidRPr="007258AB" w:rsidRDefault="00451AF0" w:rsidP="00451AF0">
      <w:pPr>
        <w:pStyle w:val="BodyText"/>
        <w:ind w:left="720"/>
        <w:rPr>
          <w:b/>
        </w:rPr>
      </w:pPr>
    </w:p>
    <w:p w14:paraId="09D45A76" w14:textId="62B575A8" w:rsidR="00D64909" w:rsidRDefault="00EC669C" w:rsidP="00B1181E">
      <w:pPr>
        <w:pStyle w:val="Heading2"/>
        <w:rPr>
          <w:u w:val="single"/>
        </w:rPr>
      </w:pPr>
      <w:r>
        <w:rPr>
          <w:u w:val="single"/>
        </w:rPr>
        <w:t>L1 indication for dormancy</w:t>
      </w:r>
    </w:p>
    <w:p w14:paraId="4CC09F11" w14:textId="28D314A1" w:rsidR="00EC669C" w:rsidRDefault="00EC669C" w:rsidP="00EC669C">
      <w:pPr>
        <w:pStyle w:val="BodyText"/>
      </w:pPr>
      <w:r>
        <w:t xml:space="preserve">In RAN1#98bis, </w:t>
      </w:r>
      <w:r w:rsidR="00F85071">
        <w:t xml:space="preserve">it was agreed </w:t>
      </w:r>
      <w:r w:rsidR="00B62625">
        <w:t xml:space="preserve">that transitions to/from dormancy of </w:t>
      </w:r>
      <w:proofErr w:type="spellStart"/>
      <w:r w:rsidR="00B62625">
        <w:t>Scells</w:t>
      </w:r>
      <w:proofErr w:type="spellEnd"/>
      <w:r w:rsidR="00B62625">
        <w:t xml:space="preserve"> are indicated via an </w:t>
      </w:r>
      <w:r w:rsidR="00B62625" w:rsidRPr="00B62625">
        <w:t>explicit information field</w:t>
      </w:r>
      <w:r w:rsidR="00B62625">
        <w:t xml:space="preserve"> in </w:t>
      </w:r>
      <w:proofErr w:type="spellStart"/>
      <w:r w:rsidR="00B62625">
        <w:t>Pcell</w:t>
      </w:r>
      <w:proofErr w:type="spellEnd"/>
      <w:r w:rsidR="00B62625">
        <w:t xml:space="preserve"> PDCCH DCI formats 0-1, 1-1. </w:t>
      </w:r>
      <w:r w:rsidR="00F85071">
        <w:t xml:space="preserve"> </w:t>
      </w:r>
      <w:r w:rsidR="00B62625">
        <w:t xml:space="preserve">From the perspective of whether the </w:t>
      </w:r>
      <w:proofErr w:type="spellStart"/>
      <w:r w:rsidR="00B62625">
        <w:t>Pcell</w:t>
      </w:r>
      <w:proofErr w:type="spellEnd"/>
      <w:r w:rsidR="00B62625">
        <w:t xml:space="preserve"> PDCCH DCI format with dormancy indication can also be used for scheduling data on the </w:t>
      </w:r>
      <w:proofErr w:type="spellStart"/>
      <w:r w:rsidR="00B62625">
        <w:t>Pcell</w:t>
      </w:r>
      <w:proofErr w:type="spellEnd"/>
      <w:r w:rsidR="00B62625">
        <w:t>, the following working assumption was made in email discussion [</w:t>
      </w:r>
      <w:r w:rsidR="006263F7">
        <w:t>98b-NR-24</w:t>
      </w:r>
      <w:r w:rsidR="00B62625">
        <w:t>] .</w:t>
      </w:r>
    </w:p>
    <w:p w14:paraId="4B755B30" w14:textId="77777777" w:rsidR="006263F7" w:rsidRPr="006263F7" w:rsidRDefault="006263F7" w:rsidP="00AD2C53">
      <w:pPr>
        <w:numPr>
          <w:ilvl w:val="0"/>
          <w:numId w:val="5"/>
        </w:numPr>
        <w:spacing w:after="160" w:line="252" w:lineRule="auto"/>
        <w:rPr>
          <w:i/>
          <w:szCs w:val="22"/>
        </w:rPr>
      </w:pPr>
      <w:r w:rsidRPr="006263F7">
        <w:rPr>
          <w:i/>
        </w:rPr>
        <w:t xml:space="preserve">For the L1 based </w:t>
      </w:r>
      <w:proofErr w:type="spellStart"/>
      <w:r w:rsidRPr="006263F7">
        <w:rPr>
          <w:i/>
        </w:rPr>
        <w:t>Scell</w:t>
      </w:r>
      <w:proofErr w:type="spellEnd"/>
      <w:r w:rsidRPr="006263F7">
        <w:rPr>
          <w:i/>
        </w:rPr>
        <w:t xml:space="preserve"> dormancy indication sent on primary cell within active time </w:t>
      </w:r>
    </w:p>
    <w:p w14:paraId="70382CA2" w14:textId="77777777" w:rsidR="006263F7" w:rsidRPr="006263F7" w:rsidRDefault="006263F7" w:rsidP="00AD2C53">
      <w:pPr>
        <w:numPr>
          <w:ilvl w:val="1"/>
          <w:numId w:val="5"/>
        </w:numPr>
        <w:spacing w:after="160" w:line="252" w:lineRule="auto"/>
        <w:rPr>
          <w:i/>
        </w:rPr>
      </w:pPr>
      <w:r w:rsidRPr="006263F7">
        <w:rPr>
          <w:i/>
        </w:rPr>
        <w:t xml:space="preserve">Support the following two cases for the PDCCH with dormancy indication  </w:t>
      </w:r>
    </w:p>
    <w:p w14:paraId="361527C8" w14:textId="77777777" w:rsidR="006263F7" w:rsidRPr="006263F7" w:rsidRDefault="006263F7" w:rsidP="00AD2C53">
      <w:pPr>
        <w:numPr>
          <w:ilvl w:val="2"/>
          <w:numId w:val="5"/>
        </w:numPr>
        <w:spacing w:after="160" w:line="252" w:lineRule="auto"/>
        <w:rPr>
          <w:i/>
        </w:rPr>
      </w:pPr>
      <w:r w:rsidRPr="006263F7">
        <w:rPr>
          <w:i/>
        </w:rPr>
        <w:t xml:space="preserve">Case 1: The PDCCH schedules data for primary cell </w:t>
      </w:r>
      <w:proofErr w:type="gramStart"/>
      <w:r w:rsidRPr="006263F7">
        <w:rPr>
          <w:i/>
        </w:rPr>
        <w:t>and also</w:t>
      </w:r>
      <w:proofErr w:type="gramEnd"/>
      <w:r w:rsidRPr="006263F7">
        <w:rPr>
          <w:i/>
        </w:rPr>
        <w:t xml:space="preserve"> indicates dormancy for </w:t>
      </w:r>
      <w:proofErr w:type="spellStart"/>
      <w:r w:rsidRPr="006263F7">
        <w:rPr>
          <w:i/>
        </w:rPr>
        <w:t>Scell</w:t>
      </w:r>
      <w:proofErr w:type="spellEnd"/>
      <w:r w:rsidRPr="006263F7">
        <w:rPr>
          <w:i/>
        </w:rPr>
        <w:t>(s)</w:t>
      </w:r>
    </w:p>
    <w:p w14:paraId="64A3F0E8" w14:textId="77777777" w:rsidR="006263F7" w:rsidRPr="006263F7" w:rsidRDefault="006263F7" w:rsidP="00AD2C53">
      <w:pPr>
        <w:numPr>
          <w:ilvl w:val="3"/>
          <w:numId w:val="6"/>
        </w:numPr>
        <w:spacing w:after="160" w:line="252" w:lineRule="auto"/>
        <w:rPr>
          <w:i/>
        </w:rPr>
      </w:pPr>
      <w:r w:rsidRPr="006263F7">
        <w:rPr>
          <w:i/>
        </w:rPr>
        <w:t>X2=5 (Note: X2 is upper bound)</w:t>
      </w:r>
    </w:p>
    <w:p w14:paraId="005DD88A" w14:textId="434FFA27" w:rsidR="006263F7" w:rsidRPr="006263F7" w:rsidRDefault="006263F7" w:rsidP="00AD2C53">
      <w:pPr>
        <w:numPr>
          <w:ilvl w:val="3"/>
          <w:numId w:val="6"/>
        </w:numPr>
        <w:spacing w:after="160" w:line="252" w:lineRule="auto"/>
        <w:rPr>
          <w:i/>
        </w:rPr>
      </w:pPr>
      <w:r w:rsidRPr="006263F7">
        <w:rPr>
          <w:i/>
        </w:rPr>
        <w:t>Discuss detailed design of explicit information field in DCI and associated RRC signaling in RAN1#99</w:t>
      </w:r>
    </w:p>
    <w:p w14:paraId="2B48DAF5" w14:textId="77777777" w:rsidR="006263F7" w:rsidRPr="006263F7" w:rsidRDefault="006263F7" w:rsidP="00AD2C53">
      <w:pPr>
        <w:numPr>
          <w:ilvl w:val="2"/>
          <w:numId w:val="5"/>
        </w:numPr>
        <w:spacing w:after="160" w:line="252" w:lineRule="auto"/>
        <w:rPr>
          <w:i/>
        </w:rPr>
      </w:pPr>
      <w:r w:rsidRPr="006263F7">
        <w:rPr>
          <w:i/>
        </w:rPr>
        <w:t xml:space="preserve">Case 2: The PDCCH indicates dormancy for </w:t>
      </w:r>
      <w:proofErr w:type="spellStart"/>
      <w:r w:rsidRPr="006263F7">
        <w:rPr>
          <w:i/>
        </w:rPr>
        <w:t>Scell</w:t>
      </w:r>
      <w:proofErr w:type="spellEnd"/>
      <w:r w:rsidRPr="006263F7">
        <w:rPr>
          <w:i/>
        </w:rPr>
        <w:t>(s) without scheduling data</w:t>
      </w:r>
    </w:p>
    <w:p w14:paraId="2504C505" w14:textId="77777777" w:rsidR="006263F7" w:rsidRPr="006263F7" w:rsidRDefault="006263F7" w:rsidP="00AD2C53">
      <w:pPr>
        <w:numPr>
          <w:ilvl w:val="3"/>
          <w:numId w:val="7"/>
        </w:numPr>
        <w:rPr>
          <w:i/>
        </w:rPr>
      </w:pPr>
      <w:r w:rsidRPr="006263F7">
        <w:rPr>
          <w:i/>
        </w:rPr>
        <w:t>Discuss detailed design of explicit information field in DCI in RAN1#99</w:t>
      </w:r>
    </w:p>
    <w:p w14:paraId="430714C7" w14:textId="77777777" w:rsidR="006263F7" w:rsidRPr="006263F7" w:rsidRDefault="006263F7" w:rsidP="00AD2C53">
      <w:pPr>
        <w:numPr>
          <w:ilvl w:val="1"/>
          <w:numId w:val="5"/>
        </w:numPr>
        <w:spacing w:after="160" w:line="252" w:lineRule="auto"/>
        <w:rPr>
          <w:i/>
        </w:rPr>
      </w:pPr>
      <w:r w:rsidRPr="006263F7">
        <w:rPr>
          <w:i/>
        </w:rPr>
        <w:t xml:space="preserve">UE is indicated whether the PDCCH with dormancy indication is according to Case 1 or Case 2 </w:t>
      </w:r>
    </w:p>
    <w:p w14:paraId="01B4E678" w14:textId="77777777" w:rsidR="006263F7" w:rsidRPr="006263F7" w:rsidRDefault="006263F7" w:rsidP="00AD2C53">
      <w:pPr>
        <w:numPr>
          <w:ilvl w:val="2"/>
          <w:numId w:val="5"/>
        </w:numPr>
        <w:spacing w:after="160" w:line="252" w:lineRule="auto"/>
        <w:rPr>
          <w:i/>
        </w:rPr>
      </w:pPr>
      <w:r w:rsidRPr="006263F7">
        <w:rPr>
          <w:i/>
        </w:rPr>
        <w:t>FFS details: e.g. a dedicated bit for the differentiation, a reserved combination of DCI fields etc.</w:t>
      </w:r>
    </w:p>
    <w:p w14:paraId="13FA4AB6" w14:textId="77777777" w:rsidR="006263F7" w:rsidRPr="006263F7" w:rsidRDefault="006263F7" w:rsidP="00AD2C53">
      <w:pPr>
        <w:numPr>
          <w:ilvl w:val="2"/>
          <w:numId w:val="5"/>
        </w:numPr>
        <w:spacing w:after="160" w:line="252" w:lineRule="auto"/>
        <w:rPr>
          <w:i/>
        </w:rPr>
      </w:pPr>
      <w:r w:rsidRPr="006263F7">
        <w:rPr>
          <w:i/>
        </w:rPr>
        <w:t>Note: no new RRC signaling introduced specifically for this indication</w:t>
      </w:r>
    </w:p>
    <w:p w14:paraId="4B7422FB" w14:textId="6AC5FA5C" w:rsidR="0022600C" w:rsidRPr="00E96CF9" w:rsidRDefault="006263F7" w:rsidP="006263F7">
      <w:pPr>
        <w:pStyle w:val="BodyText"/>
      </w:pPr>
      <w:r>
        <w:t>To indicate differentiation between Case 1 and Case 2 above, two approaches were discussed in RAN1#98bis. One is to introduce an explicit differentiation bit in the DCI and other is to use a reserved combination of DCI fields for the indication. Our preference is to rely on FDRA bits set to all 1s (or all 0s if only type 2 RA is used for the UE) as an implicit indication for the differentiation</w:t>
      </w:r>
      <w:r w:rsidR="00DA22D3">
        <w:t xml:space="preserve"> as this avoids the need for defining an additional bitfield.</w:t>
      </w:r>
    </w:p>
    <w:p w14:paraId="55C75CD7" w14:textId="482F734C" w:rsidR="006263F7" w:rsidRDefault="006263F7" w:rsidP="006263F7">
      <w:pPr>
        <w:pStyle w:val="BodyText"/>
        <w:rPr>
          <w:b/>
          <w:u w:val="single"/>
        </w:rPr>
      </w:pPr>
      <w:r w:rsidRPr="007437A3">
        <w:rPr>
          <w:b/>
          <w:u w:val="single"/>
        </w:rPr>
        <w:t xml:space="preserve">Proposal </w:t>
      </w:r>
      <w:r w:rsidR="00B60051">
        <w:rPr>
          <w:b/>
          <w:u w:val="single"/>
        </w:rPr>
        <w:t>5</w:t>
      </w:r>
    </w:p>
    <w:p w14:paraId="25402F88" w14:textId="53DBBE25" w:rsidR="006263F7" w:rsidRPr="0022600C" w:rsidRDefault="00DA22D3" w:rsidP="00AD2C53">
      <w:pPr>
        <w:pStyle w:val="BodyText"/>
        <w:numPr>
          <w:ilvl w:val="0"/>
          <w:numId w:val="4"/>
        </w:numPr>
        <w:rPr>
          <w:b/>
        </w:rPr>
      </w:pPr>
      <w:r>
        <w:rPr>
          <w:b/>
        </w:rPr>
        <w:t>For the purpose of dormancy indication,</w:t>
      </w:r>
      <w:r w:rsidR="006263F7" w:rsidRPr="0022600C">
        <w:rPr>
          <w:b/>
        </w:rPr>
        <w:t xml:space="preserve"> Case 2 (i.e., </w:t>
      </w:r>
      <w:proofErr w:type="spellStart"/>
      <w:r w:rsidR="006263F7" w:rsidRPr="0022600C">
        <w:rPr>
          <w:b/>
        </w:rPr>
        <w:t>Scell</w:t>
      </w:r>
      <w:proofErr w:type="spellEnd"/>
      <w:r w:rsidR="006263F7" w:rsidRPr="0022600C">
        <w:rPr>
          <w:b/>
        </w:rPr>
        <w:t xml:space="preserve"> dormancy indication without </w:t>
      </w:r>
      <w:proofErr w:type="spellStart"/>
      <w:r>
        <w:rPr>
          <w:b/>
        </w:rPr>
        <w:t>Pcell</w:t>
      </w:r>
      <w:proofErr w:type="spellEnd"/>
      <w:r>
        <w:rPr>
          <w:b/>
        </w:rPr>
        <w:t xml:space="preserve"> </w:t>
      </w:r>
      <w:r w:rsidR="006263F7" w:rsidRPr="0022600C">
        <w:rPr>
          <w:b/>
        </w:rPr>
        <w:t xml:space="preserve">data scheduling) is assumed </w:t>
      </w:r>
      <w:r>
        <w:rPr>
          <w:b/>
        </w:rPr>
        <w:t>if</w:t>
      </w:r>
    </w:p>
    <w:p w14:paraId="1E9120B6" w14:textId="75D9D954" w:rsidR="006263F7" w:rsidRPr="0022600C" w:rsidRDefault="006263F7" w:rsidP="00AD2C53">
      <w:pPr>
        <w:pStyle w:val="BodyText"/>
        <w:numPr>
          <w:ilvl w:val="1"/>
          <w:numId w:val="4"/>
        </w:numPr>
        <w:rPr>
          <w:b/>
        </w:rPr>
      </w:pPr>
      <w:r w:rsidRPr="0022600C">
        <w:rPr>
          <w:b/>
        </w:rPr>
        <w:t xml:space="preserve">FDRA field </w:t>
      </w:r>
      <w:r w:rsidR="00CD0A73">
        <w:rPr>
          <w:b/>
        </w:rPr>
        <w:t xml:space="preserve">in PDCCH DCI format 0-1,1-1 is </w:t>
      </w:r>
      <w:r w:rsidRPr="0022600C">
        <w:rPr>
          <w:b/>
        </w:rPr>
        <w:t xml:space="preserve">set to all 1s </w:t>
      </w:r>
      <w:r w:rsidR="00CD0A73">
        <w:rPr>
          <w:b/>
        </w:rPr>
        <w:t xml:space="preserve">(when </w:t>
      </w:r>
      <w:r w:rsidRPr="0022600C">
        <w:rPr>
          <w:b/>
        </w:rPr>
        <w:t xml:space="preserve">type 1 RA </w:t>
      </w:r>
      <w:r w:rsidR="00ED5A14">
        <w:rPr>
          <w:b/>
        </w:rPr>
        <w:t xml:space="preserve">is </w:t>
      </w:r>
      <w:r w:rsidRPr="0022600C">
        <w:rPr>
          <w:b/>
        </w:rPr>
        <w:t>used for UE</w:t>
      </w:r>
      <w:r w:rsidR="00CD0A73">
        <w:rPr>
          <w:b/>
        </w:rPr>
        <w:t>)</w:t>
      </w:r>
    </w:p>
    <w:p w14:paraId="5E9AAA99" w14:textId="295E6886" w:rsidR="006263F7" w:rsidRPr="00E96CF9" w:rsidRDefault="006263F7" w:rsidP="00AD2C53">
      <w:pPr>
        <w:pStyle w:val="BodyText"/>
        <w:numPr>
          <w:ilvl w:val="1"/>
          <w:numId w:val="4"/>
        </w:numPr>
        <w:rPr>
          <w:b/>
        </w:rPr>
      </w:pPr>
      <w:r w:rsidRPr="0022600C">
        <w:rPr>
          <w:b/>
        </w:rPr>
        <w:t xml:space="preserve">FDRA field </w:t>
      </w:r>
      <w:r w:rsidR="00CD0A73">
        <w:rPr>
          <w:b/>
        </w:rPr>
        <w:t>in PDCCH DCI format 0-1,1-1 is</w:t>
      </w:r>
      <w:r w:rsidR="00CD0A73" w:rsidRPr="0022600C">
        <w:rPr>
          <w:b/>
        </w:rPr>
        <w:t xml:space="preserve"> </w:t>
      </w:r>
      <w:r w:rsidRPr="0022600C">
        <w:rPr>
          <w:b/>
        </w:rPr>
        <w:t xml:space="preserve">set to all 0s </w:t>
      </w:r>
      <w:r w:rsidR="00923456">
        <w:rPr>
          <w:b/>
        </w:rPr>
        <w:t>(when</w:t>
      </w:r>
      <w:r w:rsidRPr="0022600C">
        <w:rPr>
          <w:b/>
        </w:rPr>
        <w:t xml:space="preserve"> only type 2 RA </w:t>
      </w:r>
      <w:r w:rsidR="00ED5A14">
        <w:rPr>
          <w:b/>
        </w:rPr>
        <w:t xml:space="preserve">is </w:t>
      </w:r>
      <w:r w:rsidRPr="0022600C">
        <w:rPr>
          <w:b/>
        </w:rPr>
        <w:t>used for UE</w:t>
      </w:r>
      <w:r w:rsidR="00923456">
        <w:rPr>
          <w:b/>
        </w:rPr>
        <w:t>)</w:t>
      </w:r>
    </w:p>
    <w:p w14:paraId="1C69AF4E" w14:textId="191E7CB1" w:rsidR="006263F7" w:rsidRDefault="00DA22D3" w:rsidP="00EC669C">
      <w:pPr>
        <w:pStyle w:val="BodyText"/>
      </w:pPr>
      <w:r>
        <w:t xml:space="preserve">Then regarding details of the explicit indication, for Case 1 the agreed definition of explicit indication field for outside active time indication can </w:t>
      </w:r>
      <w:r w:rsidR="004F0DEA">
        <w:t xml:space="preserve">also </w:t>
      </w:r>
      <w:r>
        <w:t>be reused for inside active time. The possibility of having a separate design for inside active time was discussed in the email discussion but in our view the additional benefit of defining one more indication mechanism is not clear especially considering similar RRC overhead.</w:t>
      </w:r>
    </w:p>
    <w:p w14:paraId="2A0420A0" w14:textId="4CB094A8" w:rsidR="00324BAE" w:rsidRPr="00324BAE" w:rsidRDefault="00324BAE" w:rsidP="00324BAE">
      <w:pPr>
        <w:pStyle w:val="BodyText"/>
        <w:rPr>
          <w:b/>
          <w:u w:val="single"/>
        </w:rPr>
      </w:pPr>
      <w:r w:rsidRPr="00324BAE">
        <w:rPr>
          <w:b/>
          <w:u w:val="single"/>
        </w:rPr>
        <w:lastRenderedPageBreak/>
        <w:t>Proposal 6</w:t>
      </w:r>
    </w:p>
    <w:p w14:paraId="2486208F" w14:textId="77777777" w:rsidR="00324BAE" w:rsidRPr="00324BAE" w:rsidRDefault="00324BAE" w:rsidP="00324BAE">
      <w:pPr>
        <w:pStyle w:val="BodyText"/>
        <w:numPr>
          <w:ilvl w:val="0"/>
          <w:numId w:val="4"/>
        </w:numPr>
        <w:rPr>
          <w:b/>
        </w:rPr>
      </w:pPr>
      <w:r w:rsidRPr="00324BAE">
        <w:rPr>
          <w:b/>
        </w:rPr>
        <w:t xml:space="preserve">For the purpose of </w:t>
      </w:r>
      <w:proofErr w:type="spellStart"/>
      <w:r w:rsidRPr="00324BAE">
        <w:rPr>
          <w:b/>
        </w:rPr>
        <w:t>Scell</w:t>
      </w:r>
      <w:proofErr w:type="spellEnd"/>
      <w:r w:rsidRPr="00324BAE">
        <w:rPr>
          <w:b/>
        </w:rPr>
        <w:t xml:space="preserve"> dormancy indication for Case 1 (i.e., </w:t>
      </w:r>
      <w:proofErr w:type="spellStart"/>
      <w:r w:rsidRPr="00324BAE">
        <w:rPr>
          <w:b/>
        </w:rPr>
        <w:t>Scell</w:t>
      </w:r>
      <w:proofErr w:type="spellEnd"/>
      <w:r w:rsidRPr="00324BAE">
        <w:rPr>
          <w:b/>
        </w:rPr>
        <w:t xml:space="preserve"> dormancy indication with </w:t>
      </w:r>
      <w:proofErr w:type="spellStart"/>
      <w:r w:rsidRPr="00324BAE">
        <w:rPr>
          <w:b/>
        </w:rPr>
        <w:t>Pcell</w:t>
      </w:r>
      <w:proofErr w:type="spellEnd"/>
      <w:r w:rsidRPr="00324BAE">
        <w:rPr>
          <w:b/>
        </w:rPr>
        <w:t xml:space="preserve"> data scheduling)</w:t>
      </w:r>
    </w:p>
    <w:p w14:paraId="07B7CEDD" w14:textId="5992A784" w:rsidR="00324BAE" w:rsidRPr="00324BAE" w:rsidRDefault="00324BAE" w:rsidP="00324BAE">
      <w:pPr>
        <w:pStyle w:val="BodyText"/>
        <w:numPr>
          <w:ilvl w:val="1"/>
          <w:numId w:val="4"/>
        </w:numPr>
        <w:rPr>
          <w:b/>
        </w:rPr>
      </w:pPr>
      <w:r w:rsidRPr="00324BAE">
        <w:rPr>
          <w:b/>
        </w:rPr>
        <w:t xml:space="preserve">The explicit information field in DCI format 0-1, 1-1 used for dormancy indication is a bitmap with up to 5 bits appended to scheduling DCI, and 1 bit per group of configured </w:t>
      </w:r>
      <w:proofErr w:type="spellStart"/>
      <w:r w:rsidRPr="00324BAE">
        <w:rPr>
          <w:b/>
        </w:rPr>
        <w:t>Scells</w:t>
      </w:r>
      <w:proofErr w:type="spellEnd"/>
      <w:r w:rsidRPr="00324BAE">
        <w:rPr>
          <w:b/>
        </w:rPr>
        <w:t xml:space="preserve"> </w:t>
      </w:r>
    </w:p>
    <w:p w14:paraId="36F7A782" w14:textId="4ABB5F33" w:rsidR="00324BAE" w:rsidRPr="00324BAE" w:rsidRDefault="00324BAE" w:rsidP="00324BAE">
      <w:pPr>
        <w:pStyle w:val="BodyText"/>
        <w:numPr>
          <w:ilvl w:val="2"/>
          <w:numId w:val="4"/>
        </w:numPr>
        <w:rPr>
          <w:b/>
        </w:rPr>
      </w:pPr>
      <w:r w:rsidRPr="00324BAE">
        <w:rPr>
          <w:b/>
        </w:rPr>
        <w:t xml:space="preserve">Each </w:t>
      </w:r>
      <w:proofErr w:type="spellStart"/>
      <w:r w:rsidRPr="00324BAE">
        <w:rPr>
          <w:b/>
        </w:rPr>
        <w:t>Scell</w:t>
      </w:r>
      <w:proofErr w:type="spellEnd"/>
      <w:r w:rsidRPr="00324BAE">
        <w:rPr>
          <w:b/>
        </w:rPr>
        <w:t xml:space="preserve"> group can have one/multiple </w:t>
      </w:r>
      <w:proofErr w:type="spellStart"/>
      <w:r w:rsidRPr="00324BAE">
        <w:rPr>
          <w:b/>
        </w:rPr>
        <w:t>Scells</w:t>
      </w:r>
      <w:proofErr w:type="spellEnd"/>
      <w:r w:rsidRPr="00324BAE">
        <w:rPr>
          <w:b/>
        </w:rPr>
        <w:t xml:space="preserve"> and up to 5 </w:t>
      </w:r>
      <w:proofErr w:type="spellStart"/>
      <w:r w:rsidRPr="00324BAE">
        <w:rPr>
          <w:b/>
        </w:rPr>
        <w:t>Scell</w:t>
      </w:r>
      <w:proofErr w:type="spellEnd"/>
      <w:r w:rsidRPr="00324BAE">
        <w:rPr>
          <w:b/>
        </w:rPr>
        <w:t xml:space="preserve"> groups can be configured via RRC. </w:t>
      </w:r>
    </w:p>
    <w:p w14:paraId="09FA6D40" w14:textId="7CCB2A6F" w:rsidR="00DA22D3" w:rsidRDefault="00923456" w:rsidP="00EC669C">
      <w:pPr>
        <w:pStyle w:val="BodyText"/>
      </w:pPr>
      <w:r>
        <w:t>For Case 2, as we discussed in our earlier contributions</w:t>
      </w:r>
      <w:r w:rsidR="00C1366B">
        <w:t xml:space="preserve"> (e.g. [1]),</w:t>
      </w:r>
      <w:r>
        <w:t xml:space="preserve"> it is preferable to have an approach that </w:t>
      </w:r>
      <w:r w:rsidR="00C1366B">
        <w:t xml:space="preserve">has </w:t>
      </w:r>
      <w:r w:rsidR="00C1366B" w:rsidRPr="00C713C6">
        <w:t>same level of flexibility as CA activation/deactivation MAC/CE</w:t>
      </w:r>
      <w:r w:rsidR="00C1366B">
        <w:t xml:space="preserve"> to </w:t>
      </w:r>
      <w:r w:rsidR="00D36474">
        <w:t xml:space="preserve">efficiently indicate dormancy for </w:t>
      </w:r>
      <w:r w:rsidR="00C1366B" w:rsidRPr="007D663F">
        <w:t>various CA configurations including inter-band CA (with multiple frequency bands), intra-band CA and FR1-F</w:t>
      </w:r>
      <w:r w:rsidR="00C1366B">
        <w:t>R</w:t>
      </w:r>
      <w:r w:rsidR="00C1366B" w:rsidRPr="007D663F">
        <w:t>2 CA</w:t>
      </w:r>
      <w:r w:rsidR="00C1366B">
        <w:t xml:space="preserve">. </w:t>
      </w:r>
      <w:r w:rsidR="00D36474">
        <w:t xml:space="preserve">Also as discussed in the email discussion, if DCI formats 0-1, 1-1 are not used for data </w:t>
      </w:r>
      <w:r w:rsidR="007F6D5A">
        <w:t>scheduling,</w:t>
      </w:r>
      <w:r w:rsidR="00D36474">
        <w:t xml:space="preserve"> there </w:t>
      </w:r>
      <w:r w:rsidR="00FE755D">
        <w:t xml:space="preserve">are </w:t>
      </w:r>
      <w:r w:rsidR="00D36474">
        <w:t>several DCI fields which are unnecessary</w:t>
      </w:r>
      <w:r w:rsidR="007F6D5A">
        <w:t xml:space="preserve"> (MCS, NDI, RV, HARQ process number, Antenna ports indication etc.)</w:t>
      </w:r>
      <w:r w:rsidR="00D36474">
        <w:t xml:space="preserve">, and </w:t>
      </w:r>
      <w:proofErr w:type="spellStart"/>
      <w:r w:rsidR="00D36474">
        <w:t>Scell</w:t>
      </w:r>
      <w:proofErr w:type="spellEnd"/>
      <w:r w:rsidR="00D36474">
        <w:t xml:space="preserve"> dormancy can be indicated on a 1 bit per </w:t>
      </w:r>
      <w:r w:rsidR="007F6D5A">
        <w:t xml:space="preserve">configured </w:t>
      </w:r>
      <w:proofErr w:type="spellStart"/>
      <w:r w:rsidR="00D36474">
        <w:t>Scell</w:t>
      </w:r>
      <w:proofErr w:type="spellEnd"/>
      <w:r w:rsidR="00D36474">
        <w:t xml:space="preserve"> basis without impacting DCI size.</w:t>
      </w:r>
      <w:r w:rsidR="007F6D5A">
        <w:t xml:space="preserve"> </w:t>
      </w:r>
    </w:p>
    <w:p w14:paraId="718C8D42" w14:textId="2EBAA92D" w:rsidR="00324BAE" w:rsidRDefault="00324BAE" w:rsidP="00324BAE">
      <w:pPr>
        <w:pStyle w:val="BodyText"/>
        <w:rPr>
          <w:b/>
          <w:u w:val="single"/>
        </w:rPr>
      </w:pPr>
      <w:r w:rsidRPr="007437A3">
        <w:rPr>
          <w:b/>
          <w:u w:val="single"/>
        </w:rPr>
        <w:t xml:space="preserve">Proposal </w:t>
      </w:r>
      <w:r>
        <w:rPr>
          <w:b/>
          <w:u w:val="single"/>
        </w:rPr>
        <w:t>7</w:t>
      </w:r>
    </w:p>
    <w:p w14:paraId="5BA0B380" w14:textId="77777777" w:rsidR="00324BAE" w:rsidRPr="00324BAE" w:rsidRDefault="00324BAE" w:rsidP="00324BAE">
      <w:pPr>
        <w:pStyle w:val="BodyText"/>
        <w:numPr>
          <w:ilvl w:val="0"/>
          <w:numId w:val="4"/>
        </w:numPr>
        <w:rPr>
          <w:b/>
        </w:rPr>
      </w:pPr>
      <w:r w:rsidRPr="00324BAE">
        <w:rPr>
          <w:b/>
        </w:rPr>
        <w:t xml:space="preserve">For the purpose of </w:t>
      </w:r>
      <w:proofErr w:type="spellStart"/>
      <w:r w:rsidRPr="00324BAE">
        <w:rPr>
          <w:b/>
        </w:rPr>
        <w:t>Scell</w:t>
      </w:r>
      <w:proofErr w:type="spellEnd"/>
      <w:r w:rsidRPr="00324BAE">
        <w:rPr>
          <w:b/>
        </w:rPr>
        <w:t xml:space="preserve"> dormancy indication for Case 2 (i.e., </w:t>
      </w:r>
      <w:proofErr w:type="spellStart"/>
      <w:r w:rsidRPr="00324BAE">
        <w:rPr>
          <w:b/>
        </w:rPr>
        <w:t>Scell</w:t>
      </w:r>
      <w:proofErr w:type="spellEnd"/>
      <w:r w:rsidRPr="00324BAE">
        <w:rPr>
          <w:b/>
        </w:rPr>
        <w:t xml:space="preserve"> dormancy indication without </w:t>
      </w:r>
      <w:proofErr w:type="spellStart"/>
      <w:r w:rsidRPr="00324BAE">
        <w:rPr>
          <w:b/>
        </w:rPr>
        <w:t>Pcell</w:t>
      </w:r>
      <w:proofErr w:type="spellEnd"/>
      <w:r w:rsidRPr="00324BAE">
        <w:rPr>
          <w:b/>
        </w:rPr>
        <w:t xml:space="preserve"> data scheduling), </w:t>
      </w:r>
    </w:p>
    <w:p w14:paraId="3F13249E" w14:textId="77777777" w:rsidR="00324BAE" w:rsidRPr="00324BAE" w:rsidRDefault="00324BAE" w:rsidP="00324BAE">
      <w:pPr>
        <w:pStyle w:val="BodyText"/>
        <w:numPr>
          <w:ilvl w:val="1"/>
          <w:numId w:val="4"/>
        </w:numPr>
        <w:rPr>
          <w:b/>
        </w:rPr>
      </w:pPr>
      <w:r w:rsidRPr="00324BAE">
        <w:rPr>
          <w:b/>
        </w:rPr>
        <w:t xml:space="preserve">The explicit information field in DCI format 0-1, 1-1 used for dormancy indication is a bitmap with 1 bit per configured </w:t>
      </w:r>
      <w:proofErr w:type="spellStart"/>
      <w:r w:rsidRPr="00324BAE">
        <w:rPr>
          <w:b/>
        </w:rPr>
        <w:t>Scell</w:t>
      </w:r>
      <w:proofErr w:type="spellEnd"/>
      <w:r w:rsidRPr="00324BAE">
        <w:rPr>
          <w:b/>
        </w:rPr>
        <w:t xml:space="preserve"> </w:t>
      </w:r>
    </w:p>
    <w:p w14:paraId="5C70A98C" w14:textId="77777777" w:rsidR="00324BAE" w:rsidRPr="00324BAE" w:rsidRDefault="00324BAE" w:rsidP="00324BAE">
      <w:pPr>
        <w:pStyle w:val="BodyText"/>
        <w:numPr>
          <w:ilvl w:val="1"/>
          <w:numId w:val="4"/>
        </w:numPr>
        <w:rPr>
          <w:b/>
        </w:rPr>
      </w:pPr>
      <w:r w:rsidRPr="00324BAE">
        <w:rPr>
          <w:b/>
        </w:rPr>
        <w:t>At least the fields associated with PDSCH, PUSCH data scheduling (e.g. MCS, NDI, RV, HARQ process number, Antenna ports indication) are not present when DCI formats 0-1, 1-1 are used for Case 2 dormancy indication.</w:t>
      </w:r>
    </w:p>
    <w:p w14:paraId="3F6E08A0" w14:textId="77777777" w:rsidR="00C45445" w:rsidRPr="00EC669C" w:rsidRDefault="00C45445" w:rsidP="00EC669C">
      <w:pPr>
        <w:pStyle w:val="BodyText"/>
      </w:pPr>
    </w:p>
    <w:p w14:paraId="4B7D17B6" w14:textId="7B55135A" w:rsidR="00437317" w:rsidRDefault="00437317" w:rsidP="00B1181E">
      <w:pPr>
        <w:pStyle w:val="Heading2"/>
        <w:rPr>
          <w:u w:val="single"/>
        </w:rPr>
      </w:pPr>
      <w:r>
        <w:rPr>
          <w:u w:val="single"/>
        </w:rPr>
        <w:t>Dormancy and Cross-carrier scheduling</w:t>
      </w:r>
    </w:p>
    <w:p w14:paraId="67B770BA" w14:textId="388F3C26" w:rsidR="00E96CF9" w:rsidRDefault="00020D25" w:rsidP="005D5F2E">
      <w:pPr>
        <w:pStyle w:val="BodyText"/>
      </w:pPr>
      <w:r>
        <w:t xml:space="preserve">When </w:t>
      </w:r>
      <w:proofErr w:type="gramStart"/>
      <w:r>
        <w:t>an</w:t>
      </w:r>
      <w:proofErr w:type="gramEnd"/>
      <w:r>
        <w:t xml:space="preserve"> </w:t>
      </w:r>
      <w:proofErr w:type="spellStart"/>
      <w:r>
        <w:t>Scell</w:t>
      </w:r>
      <w:proofErr w:type="spellEnd"/>
      <w:r>
        <w:t xml:space="preserve"> is configured for cross-carrier scheduling</w:t>
      </w:r>
      <w:r w:rsidR="00127CCA">
        <w:t xml:space="preserve"> (CCS)</w:t>
      </w:r>
      <w:r>
        <w:t xml:space="preserve">, the PDCCH monitoring for that </w:t>
      </w:r>
      <w:proofErr w:type="spellStart"/>
      <w:r>
        <w:t>Scell</w:t>
      </w:r>
      <w:proofErr w:type="spellEnd"/>
      <w:r>
        <w:t xml:space="preserve"> is </w:t>
      </w:r>
      <w:r w:rsidR="00127CCA">
        <w:t xml:space="preserve">done on </w:t>
      </w:r>
      <w:r>
        <w:t xml:space="preserve">another </w:t>
      </w:r>
      <w:r w:rsidR="00127CCA">
        <w:t xml:space="preserve">cell (i.e., the scheduling cell). </w:t>
      </w:r>
      <w:r w:rsidR="00E96CF9">
        <w:t xml:space="preserve">The agreed framework for dormancy indication (i.e., switching to/from a dormant BWP) can be directly applied also for </w:t>
      </w:r>
      <w:proofErr w:type="gramStart"/>
      <w:r w:rsidR="00E96CF9">
        <w:t>an</w:t>
      </w:r>
      <w:proofErr w:type="gramEnd"/>
      <w:r w:rsidR="00E96CF9">
        <w:t xml:space="preserve"> </w:t>
      </w:r>
      <w:proofErr w:type="spellStart"/>
      <w:r w:rsidR="00E96CF9">
        <w:t>Scell</w:t>
      </w:r>
      <w:proofErr w:type="spellEnd"/>
      <w:r w:rsidR="00E96CF9">
        <w:t xml:space="preserve"> that is cross-carrier scheduled, if the </w:t>
      </w:r>
      <w:proofErr w:type="spellStart"/>
      <w:r w:rsidR="00E96CF9">
        <w:t>Scell</w:t>
      </w:r>
      <w:proofErr w:type="spellEnd"/>
      <w:r w:rsidR="00E96CF9">
        <w:t xml:space="preserve"> is configured with a dormant BWP.</w:t>
      </w:r>
    </w:p>
    <w:p w14:paraId="641DE752" w14:textId="6DF45DEB" w:rsidR="00AC7A63" w:rsidRPr="00E96CF9" w:rsidRDefault="00E96CF9" w:rsidP="00AC7A63">
      <w:pPr>
        <w:pStyle w:val="BodyText"/>
        <w:rPr>
          <w:b/>
          <w:u w:val="single"/>
        </w:rPr>
      </w:pPr>
      <w:r w:rsidRPr="00E96CF9">
        <w:rPr>
          <w:b/>
          <w:u w:val="single"/>
        </w:rPr>
        <w:t xml:space="preserve">Observation </w:t>
      </w:r>
      <w:r w:rsidR="00395869">
        <w:rPr>
          <w:b/>
          <w:u w:val="single"/>
        </w:rPr>
        <w:t>2</w:t>
      </w:r>
    </w:p>
    <w:p w14:paraId="29EF773F" w14:textId="54F64716" w:rsidR="001D00C3" w:rsidRPr="00E96CF9" w:rsidRDefault="00E96CF9" w:rsidP="00AD2C53">
      <w:pPr>
        <w:pStyle w:val="BodyText"/>
        <w:numPr>
          <w:ilvl w:val="0"/>
          <w:numId w:val="8"/>
        </w:numPr>
        <w:rPr>
          <w:b/>
        </w:rPr>
      </w:pPr>
      <w:r w:rsidRPr="00E96CF9">
        <w:rPr>
          <w:b/>
        </w:rPr>
        <w:t xml:space="preserve">The agreed framework for dormancy indication (i.e., switching to/from a dormant BWP) can be directly applied also for </w:t>
      </w:r>
      <w:proofErr w:type="gramStart"/>
      <w:r w:rsidRPr="00E96CF9">
        <w:rPr>
          <w:b/>
        </w:rPr>
        <w:t>an</w:t>
      </w:r>
      <w:proofErr w:type="gramEnd"/>
      <w:r w:rsidRPr="00E96CF9">
        <w:rPr>
          <w:b/>
        </w:rPr>
        <w:t xml:space="preserve"> </w:t>
      </w:r>
      <w:proofErr w:type="spellStart"/>
      <w:r w:rsidRPr="00E96CF9">
        <w:rPr>
          <w:b/>
        </w:rPr>
        <w:t>Scell</w:t>
      </w:r>
      <w:proofErr w:type="spellEnd"/>
      <w:r w:rsidRPr="00E96CF9">
        <w:rPr>
          <w:b/>
        </w:rPr>
        <w:t xml:space="preserve"> that is cross-carrier scheduled, if the </w:t>
      </w:r>
      <w:proofErr w:type="spellStart"/>
      <w:r w:rsidRPr="00E96CF9">
        <w:rPr>
          <w:b/>
        </w:rPr>
        <w:t>Scell</w:t>
      </w:r>
      <w:proofErr w:type="spellEnd"/>
      <w:r w:rsidRPr="00E96CF9">
        <w:rPr>
          <w:b/>
        </w:rPr>
        <w:t xml:space="preserve"> is configured with a dormant BWP.</w:t>
      </w:r>
    </w:p>
    <w:p w14:paraId="07120CC9" w14:textId="77777777" w:rsidR="00E96CF9" w:rsidRPr="007F6D5A" w:rsidRDefault="00E96CF9" w:rsidP="00E96CF9">
      <w:pPr>
        <w:pStyle w:val="BodyText"/>
        <w:ind w:left="720"/>
        <w:rPr>
          <w:b/>
        </w:rPr>
      </w:pPr>
    </w:p>
    <w:p w14:paraId="1D465DB3" w14:textId="0C859696" w:rsidR="00565F92" w:rsidRDefault="00C52589" w:rsidP="00B1181E">
      <w:pPr>
        <w:pStyle w:val="Heading2"/>
        <w:rPr>
          <w:u w:val="single"/>
        </w:rPr>
      </w:pPr>
      <w:r>
        <w:rPr>
          <w:u w:val="single"/>
        </w:rPr>
        <w:t xml:space="preserve">Application delay </w:t>
      </w:r>
      <w:r w:rsidR="007753E7">
        <w:rPr>
          <w:u w:val="single"/>
        </w:rPr>
        <w:t>for</w:t>
      </w:r>
      <w:r w:rsidR="00061200">
        <w:rPr>
          <w:u w:val="single"/>
        </w:rPr>
        <w:t xml:space="preserve"> </w:t>
      </w:r>
      <w:r w:rsidR="002E3CE3">
        <w:rPr>
          <w:u w:val="single"/>
        </w:rPr>
        <w:t>dormancy</w:t>
      </w:r>
    </w:p>
    <w:p w14:paraId="50D636D6" w14:textId="219CD234" w:rsidR="00E07BEF" w:rsidRDefault="001D00C3" w:rsidP="002E3CE3">
      <w:pPr>
        <w:pStyle w:val="BodyText"/>
      </w:pPr>
      <w:r>
        <w:t>As discussed in [1],</w:t>
      </w:r>
      <w:r w:rsidR="00746EF3">
        <w:t xml:space="preserve"> beam management and related TCI state handling (e.g. for FR2) are expected to be ongoing on the </w:t>
      </w:r>
      <w:proofErr w:type="spellStart"/>
      <w:r w:rsidR="00746EF3">
        <w:t>Scell</w:t>
      </w:r>
      <w:proofErr w:type="spellEnd"/>
      <w:r w:rsidR="00746EF3">
        <w:t xml:space="preserve">, regardless of whether dormancy or non-dormancy behavior is indicated for the </w:t>
      </w:r>
      <w:proofErr w:type="spellStart"/>
      <w:r w:rsidR="00746EF3">
        <w:t>Scell</w:t>
      </w:r>
      <w:proofErr w:type="spellEnd"/>
      <w:r w:rsidR="00746EF3">
        <w:t>. So, these aspects need not be considered for the application delay.</w:t>
      </w:r>
      <w:r w:rsidR="009A24CA">
        <w:t xml:space="preserve"> Whether additional relaxation is needed to help the UE hardware transition from relatively low power state with dormancy (where it does not expect to receive PDCCH on activated </w:t>
      </w:r>
      <w:proofErr w:type="spellStart"/>
      <w:r w:rsidR="009A24CA">
        <w:t>Scell</w:t>
      </w:r>
      <w:proofErr w:type="spellEnd"/>
      <w:r w:rsidR="009A24CA">
        <w:t xml:space="preserve">) to non-dormancy (where PDCCH reception is expected) can be discussed </w:t>
      </w:r>
      <w:r>
        <w:t>in RAN4</w:t>
      </w:r>
      <w:r w:rsidR="009A24CA">
        <w:t xml:space="preserve">. Such additional relaxation can be </w:t>
      </w:r>
      <w:proofErr w:type="gramStart"/>
      <w:r w:rsidR="009A24CA">
        <w:t>similar to</w:t>
      </w:r>
      <w:proofErr w:type="gramEnd"/>
      <w:r w:rsidR="009A24CA">
        <w:t xml:space="preserve"> application delay between cross-slot and same-slot scheduling being discussed in </w:t>
      </w:r>
      <w:r w:rsidR="0051324C">
        <w:t xml:space="preserve">the </w:t>
      </w:r>
      <w:r w:rsidR="009A24CA">
        <w:t>UE power savings WI.</w:t>
      </w:r>
    </w:p>
    <w:p w14:paraId="2F4BB1F5" w14:textId="048CF0FF" w:rsidR="001D00C3" w:rsidRDefault="001D00C3" w:rsidP="001D00C3">
      <w:pPr>
        <w:pStyle w:val="BodyText"/>
      </w:pPr>
      <w:r>
        <w:t xml:space="preserve">According to RAN1#98bis agreements, transition to/from dormancy on a </w:t>
      </w:r>
      <w:proofErr w:type="spellStart"/>
      <w:r>
        <w:t>Scell</w:t>
      </w:r>
      <w:proofErr w:type="spellEnd"/>
      <w:r>
        <w:t xml:space="preserve"> is same as transitioning to/from dormant BWP on the </w:t>
      </w:r>
      <w:proofErr w:type="spellStart"/>
      <w:r>
        <w:t>Scell</w:t>
      </w:r>
      <w:proofErr w:type="spellEnd"/>
      <w:r>
        <w:t>. Given this, at least from RAN1 perspective the application delay for dormancy can assumed to be same as the BWP switching delay. This assumption can be updated later if RAN4 agrees on a different switching delay for transition from dormant BWP to non-dormant BWP (i.e., as per RAN4 input in [2]).</w:t>
      </w:r>
    </w:p>
    <w:p w14:paraId="606BC1D9" w14:textId="446258A2" w:rsidR="001D00C3" w:rsidRDefault="001D00C3" w:rsidP="001D00C3">
      <w:pPr>
        <w:pStyle w:val="BodyText"/>
        <w:rPr>
          <w:b/>
          <w:u w:val="single"/>
        </w:rPr>
      </w:pPr>
      <w:r>
        <w:rPr>
          <w:b/>
          <w:u w:val="single"/>
        </w:rPr>
        <w:t xml:space="preserve">Observation </w:t>
      </w:r>
      <w:r w:rsidR="00395869">
        <w:rPr>
          <w:b/>
          <w:u w:val="single"/>
        </w:rPr>
        <w:t>3</w:t>
      </w:r>
    </w:p>
    <w:p w14:paraId="20F87A8D" w14:textId="1DB7D5D9" w:rsidR="001D00C3" w:rsidRPr="007F6D5A" w:rsidRDefault="001D00C3" w:rsidP="00AD2C53">
      <w:pPr>
        <w:pStyle w:val="BodyText"/>
        <w:numPr>
          <w:ilvl w:val="0"/>
          <w:numId w:val="4"/>
        </w:numPr>
      </w:pPr>
      <w:r>
        <w:rPr>
          <w:b/>
        </w:rPr>
        <w:t xml:space="preserve">From RAN1 perspective, </w:t>
      </w:r>
      <w:r w:rsidR="00E96CF9">
        <w:rPr>
          <w:b/>
        </w:rPr>
        <w:t xml:space="preserve">it </w:t>
      </w:r>
      <w:r w:rsidR="00492614">
        <w:rPr>
          <w:b/>
        </w:rPr>
        <w:t>can be</w:t>
      </w:r>
      <w:r w:rsidR="00E96CF9">
        <w:rPr>
          <w:b/>
        </w:rPr>
        <w:t xml:space="preserve"> assumed that switching delay from a </w:t>
      </w:r>
      <w:r>
        <w:rPr>
          <w:b/>
        </w:rPr>
        <w:t xml:space="preserve">dormant BWP </w:t>
      </w:r>
      <w:r w:rsidR="00E96CF9">
        <w:rPr>
          <w:b/>
        </w:rPr>
        <w:t>to a non-dormant BWP is specified by RAN4. Whether this delay is same or different from Rel</w:t>
      </w:r>
      <w:r w:rsidR="0051638B">
        <w:rPr>
          <w:b/>
        </w:rPr>
        <w:t>-</w:t>
      </w:r>
      <w:r w:rsidR="00E96CF9">
        <w:rPr>
          <w:b/>
        </w:rPr>
        <w:t>15 BWP switching delay will be decided by RAN4.</w:t>
      </w:r>
    </w:p>
    <w:p w14:paraId="30E07DED" w14:textId="77777777" w:rsidR="001D00C3" w:rsidRDefault="001D00C3" w:rsidP="002E3CE3">
      <w:pPr>
        <w:pStyle w:val="BodyText"/>
      </w:pPr>
    </w:p>
    <w:p w14:paraId="5DBD7ED2" w14:textId="77777777" w:rsidR="00693AE2" w:rsidRDefault="00693AE2" w:rsidP="00693AE2">
      <w:pPr>
        <w:pStyle w:val="Heading1"/>
      </w:pPr>
      <w:r>
        <w:t>Conclusions</w:t>
      </w:r>
    </w:p>
    <w:p w14:paraId="161C67F8" w14:textId="49DC6D34" w:rsidR="009A0C3C" w:rsidRDefault="00B60051" w:rsidP="00A06C15">
      <w:pPr>
        <w:pStyle w:val="BodyText"/>
        <w:rPr>
          <w:lang w:val="en-AU"/>
        </w:rPr>
      </w:pPr>
      <w:r>
        <w:rPr>
          <w:lang w:val="en-AU"/>
        </w:rPr>
        <w:t xml:space="preserve">In this document we discuss remaining details of L1 signalling for </w:t>
      </w:r>
      <w:proofErr w:type="spellStart"/>
      <w:r>
        <w:rPr>
          <w:lang w:val="en-AU"/>
        </w:rPr>
        <w:t>Scell</w:t>
      </w:r>
      <w:proofErr w:type="spellEnd"/>
      <w:r>
        <w:rPr>
          <w:lang w:val="en-AU"/>
        </w:rPr>
        <w:t xml:space="preserve"> dormancy and make the following observations and proposals</w:t>
      </w:r>
    </w:p>
    <w:p w14:paraId="53145AE9" w14:textId="77777777" w:rsidR="00B60051" w:rsidRDefault="00B60051" w:rsidP="00B60051">
      <w:pPr>
        <w:pStyle w:val="BodyText"/>
        <w:rPr>
          <w:b/>
          <w:u w:val="single"/>
        </w:rPr>
      </w:pPr>
      <w:r w:rsidRPr="009F1149">
        <w:rPr>
          <w:b/>
          <w:u w:val="single"/>
        </w:rPr>
        <w:t>Observation</w:t>
      </w:r>
      <w:r>
        <w:rPr>
          <w:b/>
          <w:u w:val="single"/>
        </w:rPr>
        <w:t xml:space="preserve"> 1</w:t>
      </w:r>
    </w:p>
    <w:p w14:paraId="35E14A2D" w14:textId="0BEDC225" w:rsidR="00B60051" w:rsidRPr="00CF1BCB" w:rsidRDefault="00B60051" w:rsidP="00AD2C53">
      <w:pPr>
        <w:pStyle w:val="BodyText"/>
        <w:numPr>
          <w:ilvl w:val="0"/>
          <w:numId w:val="2"/>
        </w:numPr>
      </w:pPr>
      <w:r w:rsidRPr="00CF1BCB">
        <w:t xml:space="preserve">According to current RAN2 agreements, UE should stop PDCCH monitoring when switched to dormant BWP on </w:t>
      </w:r>
      <w:proofErr w:type="gramStart"/>
      <w:r w:rsidRPr="00CF1BCB">
        <w:t>an</w:t>
      </w:r>
      <w:proofErr w:type="gramEnd"/>
      <w:r w:rsidRPr="00CF1BCB">
        <w:t xml:space="preserve"> </w:t>
      </w:r>
      <w:proofErr w:type="spellStart"/>
      <w:r w:rsidRPr="00CF1BCB">
        <w:t>Scell</w:t>
      </w:r>
      <w:proofErr w:type="spellEnd"/>
      <w:r w:rsidR="009627F8">
        <w:t>.</w:t>
      </w:r>
    </w:p>
    <w:p w14:paraId="202596A9" w14:textId="6D14C12C" w:rsidR="00E96CF9" w:rsidRPr="00E96CF9" w:rsidRDefault="00E96CF9" w:rsidP="00E96CF9">
      <w:pPr>
        <w:pStyle w:val="BodyText"/>
        <w:rPr>
          <w:b/>
          <w:u w:val="single"/>
        </w:rPr>
      </w:pPr>
      <w:r w:rsidRPr="00E96CF9">
        <w:rPr>
          <w:b/>
          <w:u w:val="single"/>
        </w:rPr>
        <w:t xml:space="preserve">Observation </w:t>
      </w:r>
      <w:r w:rsidR="00395869">
        <w:rPr>
          <w:b/>
          <w:u w:val="single"/>
        </w:rPr>
        <w:t>2</w:t>
      </w:r>
    </w:p>
    <w:p w14:paraId="5D119E32" w14:textId="77777777" w:rsidR="00E96CF9" w:rsidRPr="00E96CF9" w:rsidRDefault="00E96CF9" w:rsidP="00AD2C53">
      <w:pPr>
        <w:pStyle w:val="BodyText"/>
        <w:numPr>
          <w:ilvl w:val="0"/>
          <w:numId w:val="8"/>
        </w:numPr>
      </w:pPr>
      <w:r w:rsidRPr="00E96CF9">
        <w:t xml:space="preserve">The agreed framework for dormancy indication (i.e., switching to/from a dormant BWP) can be directly applied also for </w:t>
      </w:r>
      <w:proofErr w:type="gramStart"/>
      <w:r w:rsidRPr="00E96CF9">
        <w:t>an</w:t>
      </w:r>
      <w:proofErr w:type="gramEnd"/>
      <w:r w:rsidRPr="00E96CF9">
        <w:t xml:space="preserve"> </w:t>
      </w:r>
      <w:proofErr w:type="spellStart"/>
      <w:r w:rsidRPr="00E96CF9">
        <w:t>Scell</w:t>
      </w:r>
      <w:proofErr w:type="spellEnd"/>
      <w:r w:rsidRPr="00E96CF9">
        <w:t xml:space="preserve"> that is cross-carrier scheduled, if the </w:t>
      </w:r>
      <w:proofErr w:type="spellStart"/>
      <w:r w:rsidRPr="00E96CF9">
        <w:t>Scell</w:t>
      </w:r>
      <w:proofErr w:type="spellEnd"/>
      <w:r w:rsidRPr="00E96CF9">
        <w:t xml:space="preserve"> is configured with a dormant BWP.</w:t>
      </w:r>
    </w:p>
    <w:p w14:paraId="51B9E2D1" w14:textId="4C605417" w:rsidR="00E96CF9" w:rsidRDefault="00E96CF9" w:rsidP="00E96CF9">
      <w:pPr>
        <w:pStyle w:val="BodyText"/>
        <w:rPr>
          <w:b/>
          <w:u w:val="single"/>
        </w:rPr>
      </w:pPr>
      <w:r>
        <w:rPr>
          <w:b/>
          <w:u w:val="single"/>
        </w:rPr>
        <w:t xml:space="preserve">Observation </w:t>
      </w:r>
      <w:r w:rsidR="00395869">
        <w:rPr>
          <w:b/>
          <w:u w:val="single"/>
        </w:rPr>
        <w:t>3</w:t>
      </w:r>
    </w:p>
    <w:p w14:paraId="633F40E5" w14:textId="7FA750B2" w:rsidR="00E96CF9" w:rsidRPr="00E96CF9" w:rsidRDefault="00E96CF9" w:rsidP="00AD2C53">
      <w:pPr>
        <w:pStyle w:val="BodyText"/>
        <w:numPr>
          <w:ilvl w:val="0"/>
          <w:numId w:val="4"/>
        </w:numPr>
      </w:pPr>
      <w:r w:rsidRPr="00E96CF9">
        <w:t xml:space="preserve">From RAN1 perspective, it </w:t>
      </w:r>
      <w:r w:rsidR="00492614">
        <w:t>can be</w:t>
      </w:r>
      <w:r w:rsidRPr="00E96CF9">
        <w:t xml:space="preserve"> assumed that switching delay from a dormant BWP to a non-dormant BWP is specified by RAN4. Whether this delay is same or different from Rel</w:t>
      </w:r>
      <w:r w:rsidR="00595988">
        <w:t>-</w:t>
      </w:r>
      <w:r w:rsidRPr="00E96CF9">
        <w:t>15 BWP switching delay will be decided by RAN4.</w:t>
      </w:r>
    </w:p>
    <w:p w14:paraId="08C94533" w14:textId="77777777" w:rsidR="00B60051" w:rsidRPr="00615F68" w:rsidRDefault="00B60051" w:rsidP="00B60051">
      <w:pPr>
        <w:pStyle w:val="BodyText"/>
        <w:rPr>
          <w:b/>
          <w:u w:val="single"/>
        </w:rPr>
      </w:pPr>
      <w:r w:rsidRPr="00615F68">
        <w:rPr>
          <w:b/>
          <w:u w:val="single"/>
        </w:rPr>
        <w:t>Proposal 1</w:t>
      </w:r>
    </w:p>
    <w:p w14:paraId="2C706795" w14:textId="77777777" w:rsidR="00B60051" w:rsidRPr="00CF1BCB" w:rsidRDefault="00B60051" w:rsidP="00AD2C53">
      <w:pPr>
        <w:pStyle w:val="BodyText"/>
        <w:numPr>
          <w:ilvl w:val="0"/>
          <w:numId w:val="2"/>
        </w:numPr>
      </w:pPr>
      <w:r w:rsidRPr="00CF1BCB">
        <w:t xml:space="preserve">The dormant BWP is not configured with PDCCH monitoring (e.g. the IE </w:t>
      </w:r>
      <w:proofErr w:type="spellStart"/>
      <w:r w:rsidRPr="00CF1BCB">
        <w:t>pdcch</w:t>
      </w:r>
      <w:proofErr w:type="spellEnd"/>
      <w:r w:rsidRPr="00CF1BCB">
        <w:t>-Config is absent in the BWP configuration)</w:t>
      </w:r>
    </w:p>
    <w:p w14:paraId="6F427F7D" w14:textId="77777777" w:rsidR="00B60051" w:rsidRPr="00CF1BCB" w:rsidRDefault="00B60051" w:rsidP="00AD2C53">
      <w:pPr>
        <w:pStyle w:val="BodyText"/>
        <w:numPr>
          <w:ilvl w:val="0"/>
          <w:numId w:val="2"/>
        </w:numPr>
      </w:pPr>
      <w:r w:rsidRPr="00CF1BCB">
        <w:t>The dormant BWP is configured only when UE is configured with at least one other UE-specific RRC configured BWP (i.e., a ‘regular BWP’)</w:t>
      </w:r>
    </w:p>
    <w:p w14:paraId="0DA25698" w14:textId="59C57C00" w:rsidR="00B60051" w:rsidRPr="00CF1BCB" w:rsidRDefault="00B60051" w:rsidP="00AD2C53">
      <w:pPr>
        <w:pStyle w:val="BodyText"/>
        <w:numPr>
          <w:ilvl w:val="0"/>
          <w:numId w:val="2"/>
        </w:numPr>
      </w:pPr>
      <w:r w:rsidRPr="00CF1BCB">
        <w:t xml:space="preserve">UE determines via RRC configuration, which DL BWP among the UE-specific RRC configured BWPs is the dormant BWP. </w:t>
      </w:r>
    </w:p>
    <w:p w14:paraId="2B2DC37E" w14:textId="77777777" w:rsidR="00B60051" w:rsidRPr="00615F68" w:rsidRDefault="00B60051" w:rsidP="00B60051">
      <w:pPr>
        <w:pStyle w:val="BodyText"/>
        <w:rPr>
          <w:b/>
          <w:u w:val="single"/>
        </w:rPr>
      </w:pPr>
      <w:r w:rsidRPr="00615F68">
        <w:rPr>
          <w:b/>
          <w:u w:val="single"/>
        </w:rPr>
        <w:t>Proposal 2</w:t>
      </w:r>
    </w:p>
    <w:p w14:paraId="79C87045" w14:textId="3B3DC67B" w:rsidR="00B60051" w:rsidRPr="006374C9" w:rsidRDefault="00B60051" w:rsidP="00AD2C53">
      <w:pPr>
        <w:pStyle w:val="BodyText"/>
        <w:numPr>
          <w:ilvl w:val="0"/>
          <w:numId w:val="3"/>
        </w:numPr>
        <w:rPr>
          <w:u w:val="single"/>
        </w:rPr>
      </w:pPr>
      <w:r w:rsidRPr="006374C9">
        <w:t xml:space="preserve">Dormant BWP ID is explicitly configured via RRC as part of </w:t>
      </w:r>
      <w:proofErr w:type="spellStart"/>
      <w:r w:rsidRPr="006374C9">
        <w:rPr>
          <w:bCs/>
          <w:i/>
          <w:iCs/>
          <w:lang w:val="en-GB"/>
        </w:rPr>
        <w:t>ServingCellConfig</w:t>
      </w:r>
      <w:proofErr w:type="spellEnd"/>
      <w:r w:rsidR="009627F8">
        <w:rPr>
          <w:bCs/>
          <w:i/>
          <w:iCs/>
          <w:lang w:val="en-GB"/>
        </w:rPr>
        <w:t>.</w:t>
      </w:r>
    </w:p>
    <w:p w14:paraId="68FE8570" w14:textId="71EF060F" w:rsidR="00B60051" w:rsidRPr="007437A3" w:rsidRDefault="00B60051" w:rsidP="00B60051">
      <w:pPr>
        <w:pStyle w:val="BodyText"/>
        <w:rPr>
          <w:b/>
          <w:u w:val="single"/>
        </w:rPr>
      </w:pPr>
      <w:r w:rsidRPr="007437A3">
        <w:rPr>
          <w:b/>
          <w:u w:val="single"/>
        </w:rPr>
        <w:t>Proposal 3</w:t>
      </w:r>
    </w:p>
    <w:p w14:paraId="48198552" w14:textId="4DCE5A58" w:rsidR="009A0C3C" w:rsidRPr="00CF1BCB" w:rsidRDefault="00B60051" w:rsidP="00AD2C53">
      <w:pPr>
        <w:pStyle w:val="BodyText"/>
        <w:numPr>
          <w:ilvl w:val="0"/>
          <w:numId w:val="3"/>
        </w:numPr>
        <w:rPr>
          <w:u w:val="single"/>
        </w:rPr>
      </w:pPr>
      <w:r w:rsidRPr="00CF1BCB">
        <w:t xml:space="preserve">When </w:t>
      </w:r>
      <w:proofErr w:type="gramStart"/>
      <w:r w:rsidRPr="00CF1BCB">
        <w:t>an</w:t>
      </w:r>
      <w:proofErr w:type="gramEnd"/>
      <w:r w:rsidRPr="00CF1BCB">
        <w:t xml:space="preserve"> </w:t>
      </w:r>
      <w:proofErr w:type="spellStart"/>
      <w:r w:rsidRPr="00CF1BCB">
        <w:t>Scell</w:t>
      </w:r>
      <w:proofErr w:type="spellEnd"/>
      <w:r w:rsidRPr="00CF1BCB">
        <w:t xml:space="preserve"> is configured with a dormant BWP, the dormant BWP is not counted when determining the size of BWP indicator field for the </w:t>
      </w:r>
      <w:proofErr w:type="spellStart"/>
      <w:r w:rsidRPr="00CF1BCB">
        <w:t>Scell</w:t>
      </w:r>
      <w:proofErr w:type="spellEnd"/>
      <w:r w:rsidRPr="00CF1BCB">
        <w:t xml:space="preserve"> DCI. </w:t>
      </w:r>
    </w:p>
    <w:p w14:paraId="60841024" w14:textId="77777777" w:rsidR="00B60051" w:rsidRDefault="00B60051" w:rsidP="00B60051">
      <w:pPr>
        <w:pStyle w:val="BodyText"/>
        <w:rPr>
          <w:b/>
          <w:u w:val="single"/>
        </w:rPr>
      </w:pPr>
      <w:r w:rsidRPr="007437A3">
        <w:rPr>
          <w:b/>
          <w:u w:val="single"/>
        </w:rPr>
        <w:t xml:space="preserve">Proposal </w:t>
      </w:r>
      <w:r>
        <w:rPr>
          <w:b/>
          <w:u w:val="single"/>
        </w:rPr>
        <w:t>4</w:t>
      </w:r>
    </w:p>
    <w:p w14:paraId="456C1CA1" w14:textId="77777777" w:rsidR="00B60051" w:rsidRPr="00CF1BCB" w:rsidRDefault="00B60051" w:rsidP="00AD2C53">
      <w:pPr>
        <w:pStyle w:val="BodyText"/>
        <w:numPr>
          <w:ilvl w:val="0"/>
          <w:numId w:val="4"/>
        </w:numPr>
      </w:pPr>
      <w:r w:rsidRPr="00CF1BCB">
        <w:t xml:space="preserve">When transition to dormant BWP is indicated for </w:t>
      </w:r>
      <w:proofErr w:type="gramStart"/>
      <w:r w:rsidRPr="00CF1BCB">
        <w:t>an</w:t>
      </w:r>
      <w:proofErr w:type="gramEnd"/>
      <w:r w:rsidRPr="00CF1BCB">
        <w:t xml:space="preserve"> </w:t>
      </w:r>
      <w:proofErr w:type="spellStart"/>
      <w:r w:rsidRPr="00CF1BCB">
        <w:t>Scell</w:t>
      </w:r>
      <w:proofErr w:type="spellEnd"/>
      <w:r w:rsidRPr="00CF1BCB">
        <w:t xml:space="preserve">, UE stops transmitting periodic SRS on the </w:t>
      </w:r>
      <w:proofErr w:type="spellStart"/>
      <w:r w:rsidRPr="00CF1BCB">
        <w:t>Scell</w:t>
      </w:r>
      <w:proofErr w:type="spellEnd"/>
      <w:r w:rsidRPr="00CF1BCB">
        <w:t xml:space="preserve">. </w:t>
      </w:r>
    </w:p>
    <w:p w14:paraId="2845E46C" w14:textId="2700B5AB" w:rsidR="00B60051" w:rsidRPr="00CF1BCB" w:rsidRDefault="00B60051" w:rsidP="00AD2C53">
      <w:pPr>
        <w:pStyle w:val="BodyText"/>
        <w:numPr>
          <w:ilvl w:val="0"/>
          <w:numId w:val="4"/>
        </w:numPr>
      </w:pPr>
      <w:r w:rsidRPr="00CF1BCB">
        <w:t>No separate UL dormant BWP configuration is introduced.</w:t>
      </w:r>
    </w:p>
    <w:p w14:paraId="52B1B338" w14:textId="3BB84BEF" w:rsidR="00B60051" w:rsidRDefault="00B60051" w:rsidP="00B60051">
      <w:pPr>
        <w:pStyle w:val="BodyText"/>
        <w:rPr>
          <w:b/>
          <w:u w:val="single"/>
        </w:rPr>
      </w:pPr>
      <w:r w:rsidRPr="007437A3">
        <w:rPr>
          <w:b/>
          <w:u w:val="single"/>
        </w:rPr>
        <w:t xml:space="preserve">Proposal </w:t>
      </w:r>
      <w:r>
        <w:rPr>
          <w:b/>
          <w:u w:val="single"/>
        </w:rPr>
        <w:t>5</w:t>
      </w:r>
    </w:p>
    <w:p w14:paraId="0635506D" w14:textId="77777777" w:rsidR="00B60051" w:rsidRPr="00CF1BCB" w:rsidRDefault="00B60051" w:rsidP="00AD2C53">
      <w:pPr>
        <w:pStyle w:val="BodyText"/>
        <w:numPr>
          <w:ilvl w:val="0"/>
          <w:numId w:val="4"/>
        </w:numPr>
      </w:pPr>
      <w:r w:rsidRPr="00CF1BCB">
        <w:t xml:space="preserve">For the purpose of dormancy indication, Case 2 (i.e., </w:t>
      </w:r>
      <w:proofErr w:type="spellStart"/>
      <w:r w:rsidRPr="00CF1BCB">
        <w:t>Scell</w:t>
      </w:r>
      <w:proofErr w:type="spellEnd"/>
      <w:r w:rsidRPr="00CF1BCB">
        <w:t xml:space="preserve"> dormancy indication without </w:t>
      </w:r>
      <w:proofErr w:type="spellStart"/>
      <w:r w:rsidRPr="00CF1BCB">
        <w:t>Pcell</w:t>
      </w:r>
      <w:proofErr w:type="spellEnd"/>
      <w:r w:rsidRPr="00CF1BCB">
        <w:t xml:space="preserve"> data scheduling) is assumed if</w:t>
      </w:r>
    </w:p>
    <w:p w14:paraId="465B1A59" w14:textId="56A40295" w:rsidR="00B60051" w:rsidRPr="00CF1BCB" w:rsidRDefault="00B60051" w:rsidP="00AD2C53">
      <w:pPr>
        <w:pStyle w:val="BodyText"/>
        <w:numPr>
          <w:ilvl w:val="1"/>
          <w:numId w:val="4"/>
        </w:numPr>
      </w:pPr>
      <w:r w:rsidRPr="00CF1BCB">
        <w:t xml:space="preserve">FDRA field in PDCCH DCI format 0-1,1-1 is set to all 1s (when type 1 RA </w:t>
      </w:r>
      <w:r w:rsidR="00492614">
        <w:t xml:space="preserve">is </w:t>
      </w:r>
      <w:r w:rsidRPr="00CF1BCB">
        <w:t>used for UE)</w:t>
      </w:r>
    </w:p>
    <w:p w14:paraId="136629FD" w14:textId="347B1A8D" w:rsidR="00B60051" w:rsidRPr="00CF1BCB" w:rsidRDefault="00B60051" w:rsidP="00AD2C53">
      <w:pPr>
        <w:pStyle w:val="BodyText"/>
        <w:numPr>
          <w:ilvl w:val="1"/>
          <w:numId w:val="4"/>
        </w:numPr>
      </w:pPr>
      <w:r w:rsidRPr="00CF1BCB">
        <w:t xml:space="preserve">FDRA field in PDCCH DCI format 0-1,1-1 is set to all 0s (when only type 2 RA </w:t>
      </w:r>
      <w:r w:rsidR="00492614">
        <w:t xml:space="preserve">is </w:t>
      </w:r>
      <w:r w:rsidRPr="00CF1BCB">
        <w:t>used for UE)</w:t>
      </w:r>
    </w:p>
    <w:p w14:paraId="72F0DAB6" w14:textId="77777777" w:rsidR="00B60051" w:rsidRDefault="00B60051" w:rsidP="00B60051">
      <w:pPr>
        <w:pStyle w:val="BodyText"/>
        <w:rPr>
          <w:b/>
          <w:u w:val="single"/>
        </w:rPr>
      </w:pPr>
      <w:r w:rsidRPr="007437A3">
        <w:rPr>
          <w:b/>
          <w:u w:val="single"/>
        </w:rPr>
        <w:t xml:space="preserve">Proposal </w:t>
      </w:r>
      <w:r>
        <w:rPr>
          <w:b/>
          <w:u w:val="single"/>
        </w:rPr>
        <w:t>6</w:t>
      </w:r>
    </w:p>
    <w:p w14:paraId="1D035E66" w14:textId="29E35135" w:rsidR="00B60051" w:rsidRPr="00CF1BCB" w:rsidRDefault="00B60051" w:rsidP="00AD2C53">
      <w:pPr>
        <w:pStyle w:val="BodyText"/>
        <w:numPr>
          <w:ilvl w:val="0"/>
          <w:numId w:val="4"/>
        </w:numPr>
      </w:pPr>
      <w:r w:rsidRPr="00CF1BCB">
        <w:t xml:space="preserve">For the purpose of </w:t>
      </w:r>
      <w:proofErr w:type="spellStart"/>
      <w:r w:rsidR="00C03E7B">
        <w:t>Scell</w:t>
      </w:r>
      <w:proofErr w:type="spellEnd"/>
      <w:r w:rsidR="00C03E7B">
        <w:t xml:space="preserve"> </w:t>
      </w:r>
      <w:r w:rsidRPr="00CF1BCB">
        <w:t xml:space="preserve">dormancy indication for Case 1 (i.e., </w:t>
      </w:r>
      <w:proofErr w:type="spellStart"/>
      <w:r w:rsidRPr="00CF1BCB">
        <w:t>Scell</w:t>
      </w:r>
      <w:proofErr w:type="spellEnd"/>
      <w:r w:rsidRPr="00CF1BCB">
        <w:t xml:space="preserve"> dormancy indication with </w:t>
      </w:r>
      <w:proofErr w:type="spellStart"/>
      <w:r w:rsidRPr="00CF1BCB">
        <w:t>Pcell</w:t>
      </w:r>
      <w:proofErr w:type="spellEnd"/>
      <w:r w:rsidRPr="00CF1BCB">
        <w:t xml:space="preserve"> data scheduling)</w:t>
      </w:r>
    </w:p>
    <w:p w14:paraId="25492049" w14:textId="44281356" w:rsidR="00B60051" w:rsidRPr="00CF1BCB" w:rsidRDefault="00B60051" w:rsidP="00AD2C53">
      <w:pPr>
        <w:pStyle w:val="BodyText"/>
        <w:numPr>
          <w:ilvl w:val="1"/>
          <w:numId w:val="4"/>
        </w:numPr>
      </w:pPr>
      <w:r w:rsidRPr="00CF1BCB">
        <w:t xml:space="preserve">The explicit information field in DCI format 0-1, 1-1 used for dormancy indication is a bitmap with up to 5 bits appended to scheduling DCI, and 1 bit per group of configured </w:t>
      </w:r>
      <w:proofErr w:type="spellStart"/>
      <w:r w:rsidRPr="00CF1BCB">
        <w:t>Scells</w:t>
      </w:r>
      <w:proofErr w:type="spellEnd"/>
      <w:r w:rsidRPr="00CF1BCB">
        <w:t xml:space="preserve"> </w:t>
      </w:r>
    </w:p>
    <w:p w14:paraId="016850F6" w14:textId="77777777" w:rsidR="00B60051" w:rsidRPr="00CD0A73" w:rsidRDefault="00B60051" w:rsidP="00AD2C53">
      <w:pPr>
        <w:pStyle w:val="BodyText"/>
        <w:numPr>
          <w:ilvl w:val="2"/>
          <w:numId w:val="4"/>
        </w:numPr>
        <w:rPr>
          <w:b/>
        </w:rPr>
      </w:pPr>
      <w:r w:rsidRPr="00CF1BCB">
        <w:t xml:space="preserve">Each </w:t>
      </w:r>
      <w:proofErr w:type="spellStart"/>
      <w:r w:rsidRPr="00CF1BCB">
        <w:t>Scell</w:t>
      </w:r>
      <w:proofErr w:type="spellEnd"/>
      <w:r w:rsidRPr="00CF1BCB">
        <w:t xml:space="preserve"> group can have one/multiple </w:t>
      </w:r>
      <w:proofErr w:type="spellStart"/>
      <w:r w:rsidRPr="00CF1BCB">
        <w:t>Scells</w:t>
      </w:r>
      <w:proofErr w:type="spellEnd"/>
      <w:r w:rsidRPr="00CF1BCB">
        <w:t xml:space="preserve"> and up to 5 </w:t>
      </w:r>
      <w:proofErr w:type="spellStart"/>
      <w:r w:rsidRPr="00CF1BCB">
        <w:t>Scell</w:t>
      </w:r>
      <w:proofErr w:type="spellEnd"/>
      <w:r w:rsidRPr="00CF1BCB">
        <w:t xml:space="preserve"> groups can be configured via RRC</w:t>
      </w:r>
      <w:r w:rsidRPr="00CD0A73">
        <w:rPr>
          <w:b/>
        </w:rPr>
        <w:t xml:space="preserve">. </w:t>
      </w:r>
    </w:p>
    <w:p w14:paraId="5AD512B6" w14:textId="77777777" w:rsidR="00B60051" w:rsidRDefault="00B60051" w:rsidP="00B60051">
      <w:pPr>
        <w:pStyle w:val="BodyText"/>
        <w:rPr>
          <w:b/>
          <w:u w:val="single"/>
        </w:rPr>
      </w:pPr>
      <w:r w:rsidRPr="007437A3">
        <w:rPr>
          <w:b/>
          <w:u w:val="single"/>
        </w:rPr>
        <w:t xml:space="preserve">Proposal </w:t>
      </w:r>
      <w:r>
        <w:rPr>
          <w:b/>
          <w:u w:val="single"/>
        </w:rPr>
        <w:t>7</w:t>
      </w:r>
    </w:p>
    <w:p w14:paraId="0B5D3229" w14:textId="6E7EC15D" w:rsidR="00C03E7B" w:rsidRDefault="00B60051" w:rsidP="00AD2C53">
      <w:pPr>
        <w:pStyle w:val="BodyText"/>
        <w:numPr>
          <w:ilvl w:val="0"/>
          <w:numId w:val="4"/>
        </w:numPr>
      </w:pPr>
      <w:r w:rsidRPr="00CF1BCB">
        <w:lastRenderedPageBreak/>
        <w:t xml:space="preserve">For the purpose of </w:t>
      </w:r>
      <w:proofErr w:type="spellStart"/>
      <w:r w:rsidR="00C03E7B">
        <w:t>Scell</w:t>
      </w:r>
      <w:proofErr w:type="spellEnd"/>
      <w:r w:rsidR="00C03E7B">
        <w:t xml:space="preserve"> </w:t>
      </w:r>
      <w:r w:rsidRPr="00CF1BCB">
        <w:t xml:space="preserve">dormancy indication for Case 2 (i.e., </w:t>
      </w:r>
      <w:proofErr w:type="spellStart"/>
      <w:r w:rsidRPr="00CF1BCB">
        <w:t>Scell</w:t>
      </w:r>
      <w:proofErr w:type="spellEnd"/>
      <w:r w:rsidRPr="00CF1BCB">
        <w:t xml:space="preserve"> dormancy indication without </w:t>
      </w:r>
      <w:proofErr w:type="spellStart"/>
      <w:r w:rsidRPr="00CF1BCB">
        <w:t>Pcell</w:t>
      </w:r>
      <w:proofErr w:type="spellEnd"/>
      <w:r w:rsidRPr="00CF1BCB">
        <w:t xml:space="preserve"> data scheduling), </w:t>
      </w:r>
    </w:p>
    <w:p w14:paraId="3B3BC7B4" w14:textId="6E556901" w:rsidR="00B60051" w:rsidRPr="00CF1BCB" w:rsidRDefault="00C03E7B" w:rsidP="00C03E7B">
      <w:pPr>
        <w:pStyle w:val="BodyText"/>
        <w:numPr>
          <w:ilvl w:val="1"/>
          <w:numId w:val="4"/>
        </w:numPr>
      </w:pPr>
      <w:r w:rsidRPr="00CF1BCB">
        <w:t>The explicit information field in DCI format 0-1, 1-1 used for dormancy indication is a bitmap</w:t>
      </w:r>
      <w:r>
        <w:t xml:space="preserve"> </w:t>
      </w:r>
      <w:r w:rsidR="00B60051" w:rsidRPr="00CF1BCB">
        <w:t xml:space="preserve">with 1 bit per configured </w:t>
      </w:r>
      <w:proofErr w:type="spellStart"/>
      <w:r w:rsidR="00B60051" w:rsidRPr="00CF1BCB">
        <w:t>Scell</w:t>
      </w:r>
      <w:proofErr w:type="spellEnd"/>
      <w:r w:rsidR="00B60051" w:rsidRPr="00CF1BCB">
        <w:t xml:space="preserve"> </w:t>
      </w:r>
    </w:p>
    <w:p w14:paraId="12D09102" w14:textId="53E512B6" w:rsidR="00B60051" w:rsidRPr="003A5DC6" w:rsidRDefault="00B60051" w:rsidP="00C03E7B">
      <w:pPr>
        <w:pStyle w:val="BodyText"/>
        <w:numPr>
          <w:ilvl w:val="1"/>
          <w:numId w:val="4"/>
        </w:numPr>
      </w:pPr>
      <w:r w:rsidRPr="00CF1BCB">
        <w:t xml:space="preserve">At least </w:t>
      </w:r>
      <w:r w:rsidR="00C03E7B">
        <w:t xml:space="preserve">the </w:t>
      </w:r>
      <w:r w:rsidRPr="00CF1BCB">
        <w:t>fields associated with PDSCH,</w:t>
      </w:r>
      <w:r w:rsidR="0000165E">
        <w:t xml:space="preserve"> </w:t>
      </w:r>
      <w:r w:rsidRPr="00CF1BCB">
        <w:t>PUSCH data scheduling (e.g. MCS, NDI, RV, HARQ process number, Antenna ports indication) are not present when DCI formats 0-1, 1-1 are used for Case 2 dormancy indication.</w:t>
      </w:r>
    </w:p>
    <w:p w14:paraId="0F83334F" w14:textId="77777777" w:rsidR="00693AE2" w:rsidRDefault="00693AE2" w:rsidP="00693AE2">
      <w:pPr>
        <w:pStyle w:val="Heading1"/>
      </w:pPr>
      <w:r>
        <w:t>References</w:t>
      </w:r>
    </w:p>
    <w:p w14:paraId="6D92F633" w14:textId="1B9007F6" w:rsidR="001D3B44" w:rsidRDefault="00942632" w:rsidP="00693AE2">
      <w:pPr>
        <w:pStyle w:val="BodyText"/>
      </w:pPr>
      <w:r>
        <w:t>[</w:t>
      </w:r>
      <w:r w:rsidR="003A38AF">
        <w:t>1</w:t>
      </w:r>
      <w:r>
        <w:t xml:space="preserve">] </w:t>
      </w:r>
      <w:r w:rsidR="007A714B">
        <w:rPr>
          <w:lang w:val="de-DE"/>
        </w:rPr>
        <w:t>R1-19</w:t>
      </w:r>
      <w:r w:rsidR="003A38AF">
        <w:rPr>
          <w:lang w:val="de-DE"/>
        </w:rPr>
        <w:t>11015</w:t>
      </w:r>
      <w:r w:rsidR="007A714B">
        <w:rPr>
          <w:lang w:val="de-DE"/>
        </w:rPr>
        <w:t xml:space="preserve"> – </w:t>
      </w:r>
      <w:r w:rsidR="007A714B">
        <w:t xml:space="preserve">“Reduced latency </w:t>
      </w:r>
      <w:proofErr w:type="spellStart"/>
      <w:r w:rsidR="007A714B">
        <w:t>Scell</w:t>
      </w:r>
      <w:proofErr w:type="spellEnd"/>
      <w:r w:rsidR="007A714B">
        <w:t xml:space="preserve"> management for NR-NR CA”, Ericsson, RAN1 </w:t>
      </w:r>
      <w:r>
        <w:t>98bis</w:t>
      </w:r>
      <w:r w:rsidR="007A714B">
        <w:t xml:space="preserve">, </w:t>
      </w:r>
      <w:r w:rsidR="003A38AF">
        <w:t>Chongqing</w:t>
      </w:r>
      <w:r>
        <w:t xml:space="preserve">, </w:t>
      </w:r>
      <w:r w:rsidR="003A38AF">
        <w:t>China</w:t>
      </w:r>
      <w:r w:rsidR="007A714B">
        <w:t xml:space="preserve">, </w:t>
      </w:r>
      <w:r w:rsidR="003A38AF">
        <w:t>October</w:t>
      </w:r>
      <w:r w:rsidR="007A714B">
        <w:t xml:space="preserve"> 2019. </w:t>
      </w:r>
    </w:p>
    <w:p w14:paraId="780EA89A" w14:textId="4CD6FAF4" w:rsidR="00942632" w:rsidRDefault="00E96CF9" w:rsidP="005D0E9A">
      <w:pPr>
        <w:pStyle w:val="BodyText"/>
      </w:pPr>
      <w:r>
        <w:t>[2] R1-</w:t>
      </w:r>
      <w:r w:rsidRPr="00E96CF9">
        <w:t>1911809</w:t>
      </w:r>
      <w:r>
        <w:t>(R4-1912830) – “</w:t>
      </w:r>
      <w:r w:rsidRPr="00E96CF9">
        <w:t xml:space="preserve">Reply LS on NR fast </w:t>
      </w:r>
      <w:proofErr w:type="spellStart"/>
      <w:r w:rsidRPr="00E96CF9">
        <w:t>SCell</w:t>
      </w:r>
      <w:proofErr w:type="spellEnd"/>
      <w:r w:rsidRPr="00E96CF9">
        <w:t xml:space="preserve"> activation</w:t>
      </w:r>
      <w:r>
        <w:t xml:space="preserve">” , RAN4 </w:t>
      </w:r>
      <w:r>
        <w:rPr>
          <w:rFonts w:ascii="Wingdings" w:eastAsia="Wingdings" w:hAnsi="Wingdings" w:cs="Wingdings"/>
        </w:rPr>
        <w:t></w:t>
      </w:r>
      <w:r>
        <w:t xml:space="preserve"> RAN1 LS, RAN1#99, Reno, USA, November 2019.</w:t>
      </w:r>
    </w:p>
    <w:sectPr w:rsidR="00942632">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F009A" w14:textId="77777777" w:rsidR="005005F4" w:rsidRDefault="005005F4">
      <w:r>
        <w:separator/>
      </w:r>
    </w:p>
  </w:endnote>
  <w:endnote w:type="continuationSeparator" w:id="0">
    <w:p w14:paraId="1370132D" w14:textId="77777777" w:rsidR="005005F4" w:rsidRDefault="005005F4">
      <w:r>
        <w:continuationSeparator/>
      </w:r>
    </w:p>
  </w:endnote>
  <w:endnote w:type="continuationNotice" w:id="1">
    <w:p w14:paraId="02C0600D" w14:textId="77777777" w:rsidR="005005F4" w:rsidRDefault="005005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7544523"/>
      <w:docPartObj>
        <w:docPartGallery w:val="Page Numbers (Bottom of Page)"/>
        <w:docPartUnique/>
      </w:docPartObj>
    </w:sdtPr>
    <w:sdtEndPr>
      <w:rPr>
        <w:noProof/>
      </w:rPr>
    </w:sdtEndPr>
    <w:sdtContent>
      <w:p w14:paraId="36833090" w14:textId="09C9964F" w:rsidR="00442E27" w:rsidRDefault="00442E2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DB5EAA" w14:textId="77777777" w:rsidR="00442E27" w:rsidRDefault="00442E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7DD27" w14:textId="77777777" w:rsidR="005005F4" w:rsidRDefault="005005F4">
      <w:r>
        <w:separator/>
      </w:r>
    </w:p>
  </w:footnote>
  <w:footnote w:type="continuationSeparator" w:id="0">
    <w:p w14:paraId="152BACA4" w14:textId="77777777" w:rsidR="005005F4" w:rsidRDefault="005005F4">
      <w:r>
        <w:continuationSeparator/>
      </w:r>
    </w:p>
  </w:footnote>
  <w:footnote w:type="continuationNotice" w:id="1">
    <w:p w14:paraId="34637F7D" w14:textId="77777777" w:rsidR="005005F4" w:rsidRDefault="005005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5559" w14:textId="77777777" w:rsidR="00442E27" w:rsidRDefault="00442E27" w:rsidP="0055746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7FE771F"/>
    <w:multiLevelType w:val="hybridMultilevel"/>
    <w:tmpl w:val="FBAA5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A27C98"/>
    <w:multiLevelType w:val="hybridMultilevel"/>
    <w:tmpl w:val="54D4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71D07F51"/>
    <w:multiLevelType w:val="hybridMultilevel"/>
    <w:tmpl w:val="8F0C4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B0651A"/>
    <w:multiLevelType w:val="hybridMultilevel"/>
    <w:tmpl w:val="BED22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2"/>
  </w:num>
  <w:num w:numId="3">
    <w:abstractNumId w:val="5"/>
  </w:num>
  <w:num w:numId="4">
    <w:abstractNumId w:val="1"/>
  </w:num>
  <w:num w:numId="5">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AE2"/>
    <w:rsid w:val="00000A46"/>
    <w:rsid w:val="0000165E"/>
    <w:rsid w:val="00001977"/>
    <w:rsid w:val="00010C57"/>
    <w:rsid w:val="0001241E"/>
    <w:rsid w:val="00020D25"/>
    <w:rsid w:val="00023494"/>
    <w:rsid w:val="00027510"/>
    <w:rsid w:val="000327E0"/>
    <w:rsid w:val="00052317"/>
    <w:rsid w:val="0005603D"/>
    <w:rsid w:val="00061200"/>
    <w:rsid w:val="00064EC6"/>
    <w:rsid w:val="000737DE"/>
    <w:rsid w:val="00073B5E"/>
    <w:rsid w:val="0008138D"/>
    <w:rsid w:val="00081CD0"/>
    <w:rsid w:val="000837A5"/>
    <w:rsid w:val="00083D17"/>
    <w:rsid w:val="00093A2C"/>
    <w:rsid w:val="00094B85"/>
    <w:rsid w:val="000A0C10"/>
    <w:rsid w:val="000A3160"/>
    <w:rsid w:val="000C4F19"/>
    <w:rsid w:val="000C7DE2"/>
    <w:rsid w:val="000D018B"/>
    <w:rsid w:val="000D5B50"/>
    <w:rsid w:val="000E09E0"/>
    <w:rsid w:val="000E2535"/>
    <w:rsid w:val="000E324D"/>
    <w:rsid w:val="000E3CCE"/>
    <w:rsid w:val="000E4FE4"/>
    <w:rsid w:val="000E7A4A"/>
    <w:rsid w:val="000F10A0"/>
    <w:rsid w:val="000F14DF"/>
    <w:rsid w:val="000F2D92"/>
    <w:rsid w:val="000F3F71"/>
    <w:rsid w:val="000F4425"/>
    <w:rsid w:val="001108E3"/>
    <w:rsid w:val="001161C3"/>
    <w:rsid w:val="00120E82"/>
    <w:rsid w:val="00127CCA"/>
    <w:rsid w:val="001303E8"/>
    <w:rsid w:val="001325EC"/>
    <w:rsid w:val="0013767B"/>
    <w:rsid w:val="00145657"/>
    <w:rsid w:val="001544FE"/>
    <w:rsid w:val="00154C7A"/>
    <w:rsid w:val="00156C7A"/>
    <w:rsid w:val="00167C21"/>
    <w:rsid w:val="00175AB4"/>
    <w:rsid w:val="0018342A"/>
    <w:rsid w:val="0019059E"/>
    <w:rsid w:val="001908C8"/>
    <w:rsid w:val="0019555F"/>
    <w:rsid w:val="001967F3"/>
    <w:rsid w:val="001A10D5"/>
    <w:rsid w:val="001A2D6D"/>
    <w:rsid w:val="001B0E82"/>
    <w:rsid w:val="001B4063"/>
    <w:rsid w:val="001C1C66"/>
    <w:rsid w:val="001D00C3"/>
    <w:rsid w:val="001D3B44"/>
    <w:rsid w:val="001D6A97"/>
    <w:rsid w:val="001E58D1"/>
    <w:rsid w:val="001F41A7"/>
    <w:rsid w:val="001F4FF4"/>
    <w:rsid w:val="001F509B"/>
    <w:rsid w:val="001F5C70"/>
    <w:rsid w:val="001F6A50"/>
    <w:rsid w:val="001F7948"/>
    <w:rsid w:val="0020180D"/>
    <w:rsid w:val="0020626A"/>
    <w:rsid w:val="00207ABF"/>
    <w:rsid w:val="00207F92"/>
    <w:rsid w:val="00211938"/>
    <w:rsid w:val="0022600C"/>
    <w:rsid w:val="0023089B"/>
    <w:rsid w:val="00235CB6"/>
    <w:rsid w:val="00235FA3"/>
    <w:rsid w:val="00235FEA"/>
    <w:rsid w:val="00237486"/>
    <w:rsid w:val="00241034"/>
    <w:rsid w:val="002421E0"/>
    <w:rsid w:val="002517F8"/>
    <w:rsid w:val="0025694B"/>
    <w:rsid w:val="00263055"/>
    <w:rsid w:val="00263EBB"/>
    <w:rsid w:val="00266ABE"/>
    <w:rsid w:val="00281F44"/>
    <w:rsid w:val="00285C74"/>
    <w:rsid w:val="00286494"/>
    <w:rsid w:val="00295192"/>
    <w:rsid w:val="002A2B86"/>
    <w:rsid w:val="002B2067"/>
    <w:rsid w:val="002B2A60"/>
    <w:rsid w:val="002C46BE"/>
    <w:rsid w:val="002E138F"/>
    <w:rsid w:val="002E2EFF"/>
    <w:rsid w:val="002E3CE3"/>
    <w:rsid w:val="002F3F00"/>
    <w:rsid w:val="002F7AF7"/>
    <w:rsid w:val="00305716"/>
    <w:rsid w:val="00307EF7"/>
    <w:rsid w:val="00324BAE"/>
    <w:rsid w:val="00325DE9"/>
    <w:rsid w:val="00334517"/>
    <w:rsid w:val="0033492C"/>
    <w:rsid w:val="00334C90"/>
    <w:rsid w:val="00335959"/>
    <w:rsid w:val="00342945"/>
    <w:rsid w:val="00342C7C"/>
    <w:rsid w:val="003564F1"/>
    <w:rsid w:val="003600D4"/>
    <w:rsid w:val="0036242B"/>
    <w:rsid w:val="0036247C"/>
    <w:rsid w:val="00362E82"/>
    <w:rsid w:val="00364EA1"/>
    <w:rsid w:val="00371645"/>
    <w:rsid w:val="003736DD"/>
    <w:rsid w:val="0037786F"/>
    <w:rsid w:val="00377C49"/>
    <w:rsid w:val="00381D36"/>
    <w:rsid w:val="00385D4C"/>
    <w:rsid w:val="0039533E"/>
    <w:rsid w:val="00395869"/>
    <w:rsid w:val="003970C1"/>
    <w:rsid w:val="003A0B2C"/>
    <w:rsid w:val="003A21F3"/>
    <w:rsid w:val="003A3145"/>
    <w:rsid w:val="003A38AF"/>
    <w:rsid w:val="003A438C"/>
    <w:rsid w:val="003A5DC6"/>
    <w:rsid w:val="003B2B72"/>
    <w:rsid w:val="003C13A9"/>
    <w:rsid w:val="003C15DD"/>
    <w:rsid w:val="003D7CA5"/>
    <w:rsid w:val="003E066E"/>
    <w:rsid w:val="003E32E0"/>
    <w:rsid w:val="003E3514"/>
    <w:rsid w:val="003E59B9"/>
    <w:rsid w:val="003F1DD5"/>
    <w:rsid w:val="003F44F1"/>
    <w:rsid w:val="003F4B6A"/>
    <w:rsid w:val="003F7487"/>
    <w:rsid w:val="00407067"/>
    <w:rsid w:val="0041138D"/>
    <w:rsid w:val="00411937"/>
    <w:rsid w:val="00414168"/>
    <w:rsid w:val="004168B2"/>
    <w:rsid w:val="00416929"/>
    <w:rsid w:val="0042002D"/>
    <w:rsid w:val="00420C5A"/>
    <w:rsid w:val="004226B9"/>
    <w:rsid w:val="00422A8A"/>
    <w:rsid w:val="004241C9"/>
    <w:rsid w:val="004324D4"/>
    <w:rsid w:val="004331D2"/>
    <w:rsid w:val="00434CA7"/>
    <w:rsid w:val="00436517"/>
    <w:rsid w:val="00437317"/>
    <w:rsid w:val="00441653"/>
    <w:rsid w:val="00442E27"/>
    <w:rsid w:val="00451AF0"/>
    <w:rsid w:val="00453124"/>
    <w:rsid w:val="00456D3D"/>
    <w:rsid w:val="004629D5"/>
    <w:rsid w:val="004663E5"/>
    <w:rsid w:val="00474BB9"/>
    <w:rsid w:val="004803B3"/>
    <w:rsid w:val="00486383"/>
    <w:rsid w:val="00492614"/>
    <w:rsid w:val="00494027"/>
    <w:rsid w:val="00495E7F"/>
    <w:rsid w:val="004962F7"/>
    <w:rsid w:val="004A54AF"/>
    <w:rsid w:val="004A6C42"/>
    <w:rsid w:val="004C259B"/>
    <w:rsid w:val="004C26E8"/>
    <w:rsid w:val="004C46C5"/>
    <w:rsid w:val="004C7F11"/>
    <w:rsid w:val="004D4E2A"/>
    <w:rsid w:val="004D52F8"/>
    <w:rsid w:val="004D750C"/>
    <w:rsid w:val="004F03A6"/>
    <w:rsid w:val="004F0DEA"/>
    <w:rsid w:val="005005F4"/>
    <w:rsid w:val="00504A2E"/>
    <w:rsid w:val="00504F4A"/>
    <w:rsid w:val="0051324C"/>
    <w:rsid w:val="005145AC"/>
    <w:rsid w:val="00515140"/>
    <w:rsid w:val="0051562B"/>
    <w:rsid w:val="0051638B"/>
    <w:rsid w:val="00516926"/>
    <w:rsid w:val="00546493"/>
    <w:rsid w:val="00550C2A"/>
    <w:rsid w:val="00557460"/>
    <w:rsid w:val="00563504"/>
    <w:rsid w:val="00565F92"/>
    <w:rsid w:val="005702FC"/>
    <w:rsid w:val="00572C08"/>
    <w:rsid w:val="00574209"/>
    <w:rsid w:val="0057434A"/>
    <w:rsid w:val="00574DE4"/>
    <w:rsid w:val="00582D43"/>
    <w:rsid w:val="00586871"/>
    <w:rsid w:val="00595988"/>
    <w:rsid w:val="005B159D"/>
    <w:rsid w:val="005B3D19"/>
    <w:rsid w:val="005B7316"/>
    <w:rsid w:val="005C32F2"/>
    <w:rsid w:val="005C3DE7"/>
    <w:rsid w:val="005C5D37"/>
    <w:rsid w:val="005C76A7"/>
    <w:rsid w:val="005D0487"/>
    <w:rsid w:val="005D0E9A"/>
    <w:rsid w:val="005D17E1"/>
    <w:rsid w:val="005D5E0E"/>
    <w:rsid w:val="005D5F2E"/>
    <w:rsid w:val="005E4200"/>
    <w:rsid w:val="005E5872"/>
    <w:rsid w:val="005F10C4"/>
    <w:rsid w:val="0060597C"/>
    <w:rsid w:val="0061080D"/>
    <w:rsid w:val="00612944"/>
    <w:rsid w:val="00615CD9"/>
    <w:rsid w:val="00615F68"/>
    <w:rsid w:val="00621EA9"/>
    <w:rsid w:val="006230FD"/>
    <w:rsid w:val="006263F7"/>
    <w:rsid w:val="006328B9"/>
    <w:rsid w:val="006374C9"/>
    <w:rsid w:val="00640F17"/>
    <w:rsid w:val="00640FE3"/>
    <w:rsid w:val="006425AF"/>
    <w:rsid w:val="006435D9"/>
    <w:rsid w:val="00644F75"/>
    <w:rsid w:val="006516B6"/>
    <w:rsid w:val="00651D01"/>
    <w:rsid w:val="00665106"/>
    <w:rsid w:val="0066779C"/>
    <w:rsid w:val="0067552F"/>
    <w:rsid w:val="00675726"/>
    <w:rsid w:val="00675A7D"/>
    <w:rsid w:val="006839B8"/>
    <w:rsid w:val="00686546"/>
    <w:rsid w:val="00691230"/>
    <w:rsid w:val="00693AE2"/>
    <w:rsid w:val="00693AFD"/>
    <w:rsid w:val="006A09B9"/>
    <w:rsid w:val="006A1788"/>
    <w:rsid w:val="006A374A"/>
    <w:rsid w:val="006A4262"/>
    <w:rsid w:val="006A77A1"/>
    <w:rsid w:val="006B3488"/>
    <w:rsid w:val="006B34CF"/>
    <w:rsid w:val="006B43EF"/>
    <w:rsid w:val="006B4C06"/>
    <w:rsid w:val="006B763D"/>
    <w:rsid w:val="006C4556"/>
    <w:rsid w:val="006D4577"/>
    <w:rsid w:val="006D7C88"/>
    <w:rsid w:val="006E7403"/>
    <w:rsid w:val="006F5EA0"/>
    <w:rsid w:val="00700FC4"/>
    <w:rsid w:val="007046AD"/>
    <w:rsid w:val="007064E9"/>
    <w:rsid w:val="00710873"/>
    <w:rsid w:val="00712274"/>
    <w:rsid w:val="00712F97"/>
    <w:rsid w:val="007139E4"/>
    <w:rsid w:val="00715866"/>
    <w:rsid w:val="00723460"/>
    <w:rsid w:val="00723DD9"/>
    <w:rsid w:val="00724A53"/>
    <w:rsid w:val="007258AB"/>
    <w:rsid w:val="00734D2A"/>
    <w:rsid w:val="007358C7"/>
    <w:rsid w:val="007437A3"/>
    <w:rsid w:val="00746EF3"/>
    <w:rsid w:val="00747451"/>
    <w:rsid w:val="007476A7"/>
    <w:rsid w:val="007524E9"/>
    <w:rsid w:val="00753DCF"/>
    <w:rsid w:val="00756F1E"/>
    <w:rsid w:val="00761AF0"/>
    <w:rsid w:val="007753E7"/>
    <w:rsid w:val="0077559C"/>
    <w:rsid w:val="007762BC"/>
    <w:rsid w:val="00776A46"/>
    <w:rsid w:val="00784DA7"/>
    <w:rsid w:val="00790A6C"/>
    <w:rsid w:val="00792051"/>
    <w:rsid w:val="007966CD"/>
    <w:rsid w:val="00796716"/>
    <w:rsid w:val="007A714B"/>
    <w:rsid w:val="007B188C"/>
    <w:rsid w:val="007B1F32"/>
    <w:rsid w:val="007B56B3"/>
    <w:rsid w:val="007C39B2"/>
    <w:rsid w:val="007D04AE"/>
    <w:rsid w:val="007D1267"/>
    <w:rsid w:val="007D149D"/>
    <w:rsid w:val="007D18A5"/>
    <w:rsid w:val="007D2A8E"/>
    <w:rsid w:val="007D663F"/>
    <w:rsid w:val="007D7B07"/>
    <w:rsid w:val="007E0EE1"/>
    <w:rsid w:val="007E193F"/>
    <w:rsid w:val="007E293D"/>
    <w:rsid w:val="007F3E10"/>
    <w:rsid w:val="007F42AE"/>
    <w:rsid w:val="007F6D5A"/>
    <w:rsid w:val="00805DE1"/>
    <w:rsid w:val="0080779E"/>
    <w:rsid w:val="00807979"/>
    <w:rsid w:val="008153BA"/>
    <w:rsid w:val="00817201"/>
    <w:rsid w:val="00826CA1"/>
    <w:rsid w:val="0083521B"/>
    <w:rsid w:val="008367D3"/>
    <w:rsid w:val="008459B6"/>
    <w:rsid w:val="00845F3D"/>
    <w:rsid w:val="008461B2"/>
    <w:rsid w:val="008654CB"/>
    <w:rsid w:val="00865A1E"/>
    <w:rsid w:val="00866D6C"/>
    <w:rsid w:val="00866FB9"/>
    <w:rsid w:val="008671B7"/>
    <w:rsid w:val="008679C7"/>
    <w:rsid w:val="00886D68"/>
    <w:rsid w:val="008950EF"/>
    <w:rsid w:val="008A31AF"/>
    <w:rsid w:val="008A3EDE"/>
    <w:rsid w:val="008A5E4A"/>
    <w:rsid w:val="008B3609"/>
    <w:rsid w:val="008B6C5D"/>
    <w:rsid w:val="008C173A"/>
    <w:rsid w:val="008C7AFA"/>
    <w:rsid w:val="008E32DE"/>
    <w:rsid w:val="008E5DFE"/>
    <w:rsid w:val="008F3BE6"/>
    <w:rsid w:val="008F432B"/>
    <w:rsid w:val="00903CF7"/>
    <w:rsid w:val="00916D7D"/>
    <w:rsid w:val="009217C7"/>
    <w:rsid w:val="00921DBE"/>
    <w:rsid w:val="00923456"/>
    <w:rsid w:val="00926862"/>
    <w:rsid w:val="0093150A"/>
    <w:rsid w:val="00933022"/>
    <w:rsid w:val="009350E2"/>
    <w:rsid w:val="00942632"/>
    <w:rsid w:val="009565A2"/>
    <w:rsid w:val="00957CCD"/>
    <w:rsid w:val="009627F8"/>
    <w:rsid w:val="00962CF0"/>
    <w:rsid w:val="009637DA"/>
    <w:rsid w:val="00963F86"/>
    <w:rsid w:val="00972C70"/>
    <w:rsid w:val="00975562"/>
    <w:rsid w:val="0098186A"/>
    <w:rsid w:val="009846A5"/>
    <w:rsid w:val="00987C6C"/>
    <w:rsid w:val="00991748"/>
    <w:rsid w:val="0099522D"/>
    <w:rsid w:val="009A0C3C"/>
    <w:rsid w:val="009A24CA"/>
    <w:rsid w:val="009C12FB"/>
    <w:rsid w:val="009C341F"/>
    <w:rsid w:val="009C4441"/>
    <w:rsid w:val="009C4BAC"/>
    <w:rsid w:val="009E11C7"/>
    <w:rsid w:val="009E5C2B"/>
    <w:rsid w:val="009F1149"/>
    <w:rsid w:val="009F3577"/>
    <w:rsid w:val="009F378F"/>
    <w:rsid w:val="009F6A87"/>
    <w:rsid w:val="00A06368"/>
    <w:rsid w:val="00A06C15"/>
    <w:rsid w:val="00A07CB3"/>
    <w:rsid w:val="00A2267B"/>
    <w:rsid w:val="00A260F7"/>
    <w:rsid w:val="00A269A7"/>
    <w:rsid w:val="00A275FB"/>
    <w:rsid w:val="00A30A40"/>
    <w:rsid w:val="00A41977"/>
    <w:rsid w:val="00A46C86"/>
    <w:rsid w:val="00A50987"/>
    <w:rsid w:val="00A5717B"/>
    <w:rsid w:val="00A615E7"/>
    <w:rsid w:val="00A66D65"/>
    <w:rsid w:val="00A71E20"/>
    <w:rsid w:val="00A72D87"/>
    <w:rsid w:val="00A751E8"/>
    <w:rsid w:val="00A76376"/>
    <w:rsid w:val="00A971C5"/>
    <w:rsid w:val="00A978CA"/>
    <w:rsid w:val="00AA29C2"/>
    <w:rsid w:val="00AA5C31"/>
    <w:rsid w:val="00AA76A2"/>
    <w:rsid w:val="00AC0764"/>
    <w:rsid w:val="00AC2AA2"/>
    <w:rsid w:val="00AC4B6B"/>
    <w:rsid w:val="00AC5A4C"/>
    <w:rsid w:val="00AC7A63"/>
    <w:rsid w:val="00AD2C53"/>
    <w:rsid w:val="00AD4587"/>
    <w:rsid w:val="00AE2D80"/>
    <w:rsid w:val="00AE3798"/>
    <w:rsid w:val="00AE428C"/>
    <w:rsid w:val="00AE7952"/>
    <w:rsid w:val="00AF6AAB"/>
    <w:rsid w:val="00AF6CDE"/>
    <w:rsid w:val="00B1181E"/>
    <w:rsid w:val="00B16862"/>
    <w:rsid w:val="00B23886"/>
    <w:rsid w:val="00B24D9A"/>
    <w:rsid w:val="00B24DC0"/>
    <w:rsid w:val="00B263A1"/>
    <w:rsid w:val="00B27964"/>
    <w:rsid w:val="00B3136E"/>
    <w:rsid w:val="00B43DD6"/>
    <w:rsid w:val="00B44469"/>
    <w:rsid w:val="00B53210"/>
    <w:rsid w:val="00B60051"/>
    <w:rsid w:val="00B61227"/>
    <w:rsid w:val="00B62625"/>
    <w:rsid w:val="00B65287"/>
    <w:rsid w:val="00B67848"/>
    <w:rsid w:val="00B7027D"/>
    <w:rsid w:val="00B72574"/>
    <w:rsid w:val="00B80642"/>
    <w:rsid w:val="00B8069D"/>
    <w:rsid w:val="00B84D08"/>
    <w:rsid w:val="00B85EBD"/>
    <w:rsid w:val="00B94706"/>
    <w:rsid w:val="00BA5D5D"/>
    <w:rsid w:val="00BB3536"/>
    <w:rsid w:val="00BB5966"/>
    <w:rsid w:val="00BC0801"/>
    <w:rsid w:val="00BC4B99"/>
    <w:rsid w:val="00BC7D5C"/>
    <w:rsid w:val="00BD1822"/>
    <w:rsid w:val="00BE00EB"/>
    <w:rsid w:val="00BE0D47"/>
    <w:rsid w:val="00BE3675"/>
    <w:rsid w:val="00BE6645"/>
    <w:rsid w:val="00BE66CA"/>
    <w:rsid w:val="00BE717A"/>
    <w:rsid w:val="00BF271D"/>
    <w:rsid w:val="00BF2835"/>
    <w:rsid w:val="00BF3BA3"/>
    <w:rsid w:val="00C02855"/>
    <w:rsid w:val="00C02E7C"/>
    <w:rsid w:val="00C03E7B"/>
    <w:rsid w:val="00C12644"/>
    <w:rsid w:val="00C1366B"/>
    <w:rsid w:val="00C13CF7"/>
    <w:rsid w:val="00C147D0"/>
    <w:rsid w:val="00C24650"/>
    <w:rsid w:val="00C25D75"/>
    <w:rsid w:val="00C2796E"/>
    <w:rsid w:val="00C3552D"/>
    <w:rsid w:val="00C45372"/>
    <w:rsid w:val="00C45445"/>
    <w:rsid w:val="00C50813"/>
    <w:rsid w:val="00C52589"/>
    <w:rsid w:val="00C55E7D"/>
    <w:rsid w:val="00C56F6F"/>
    <w:rsid w:val="00C60195"/>
    <w:rsid w:val="00C713C6"/>
    <w:rsid w:val="00C746D4"/>
    <w:rsid w:val="00C7647D"/>
    <w:rsid w:val="00C81BF1"/>
    <w:rsid w:val="00C9635F"/>
    <w:rsid w:val="00CA011B"/>
    <w:rsid w:val="00CA0D9F"/>
    <w:rsid w:val="00CA2489"/>
    <w:rsid w:val="00CA6342"/>
    <w:rsid w:val="00CB3163"/>
    <w:rsid w:val="00CB57FF"/>
    <w:rsid w:val="00CB7197"/>
    <w:rsid w:val="00CC1102"/>
    <w:rsid w:val="00CC733E"/>
    <w:rsid w:val="00CD03B0"/>
    <w:rsid w:val="00CD0A73"/>
    <w:rsid w:val="00CD73E8"/>
    <w:rsid w:val="00CE0B15"/>
    <w:rsid w:val="00CE0DE5"/>
    <w:rsid w:val="00CE1121"/>
    <w:rsid w:val="00CE5E26"/>
    <w:rsid w:val="00CF045A"/>
    <w:rsid w:val="00CF07C4"/>
    <w:rsid w:val="00CF1BCB"/>
    <w:rsid w:val="00CF5D05"/>
    <w:rsid w:val="00D048CB"/>
    <w:rsid w:val="00D0689D"/>
    <w:rsid w:val="00D11885"/>
    <w:rsid w:val="00D22B67"/>
    <w:rsid w:val="00D25F3A"/>
    <w:rsid w:val="00D26A26"/>
    <w:rsid w:val="00D27374"/>
    <w:rsid w:val="00D30957"/>
    <w:rsid w:val="00D3175D"/>
    <w:rsid w:val="00D31839"/>
    <w:rsid w:val="00D34CA8"/>
    <w:rsid w:val="00D36474"/>
    <w:rsid w:val="00D3716C"/>
    <w:rsid w:val="00D44D16"/>
    <w:rsid w:val="00D53325"/>
    <w:rsid w:val="00D635BF"/>
    <w:rsid w:val="00D64909"/>
    <w:rsid w:val="00D720DF"/>
    <w:rsid w:val="00D73295"/>
    <w:rsid w:val="00D75ADD"/>
    <w:rsid w:val="00D83596"/>
    <w:rsid w:val="00D84C2C"/>
    <w:rsid w:val="00D926AA"/>
    <w:rsid w:val="00D93CD9"/>
    <w:rsid w:val="00D95C02"/>
    <w:rsid w:val="00D95C4D"/>
    <w:rsid w:val="00D972EA"/>
    <w:rsid w:val="00DA22D3"/>
    <w:rsid w:val="00DA50F8"/>
    <w:rsid w:val="00DA6C25"/>
    <w:rsid w:val="00DB0421"/>
    <w:rsid w:val="00DC43C7"/>
    <w:rsid w:val="00DC5631"/>
    <w:rsid w:val="00DD111B"/>
    <w:rsid w:val="00DD2BE6"/>
    <w:rsid w:val="00DD6DFE"/>
    <w:rsid w:val="00DE2110"/>
    <w:rsid w:val="00DE2AE7"/>
    <w:rsid w:val="00DE67F7"/>
    <w:rsid w:val="00DF0018"/>
    <w:rsid w:val="00DF2E04"/>
    <w:rsid w:val="00DF630C"/>
    <w:rsid w:val="00E00428"/>
    <w:rsid w:val="00E03202"/>
    <w:rsid w:val="00E07BEF"/>
    <w:rsid w:val="00E131DB"/>
    <w:rsid w:val="00E25416"/>
    <w:rsid w:val="00E264B0"/>
    <w:rsid w:val="00E40C4F"/>
    <w:rsid w:val="00E44824"/>
    <w:rsid w:val="00E46100"/>
    <w:rsid w:val="00E46A4C"/>
    <w:rsid w:val="00E53241"/>
    <w:rsid w:val="00E55CAB"/>
    <w:rsid w:val="00E574AD"/>
    <w:rsid w:val="00E60F0F"/>
    <w:rsid w:val="00E63624"/>
    <w:rsid w:val="00E70EA6"/>
    <w:rsid w:val="00E731F9"/>
    <w:rsid w:val="00E750B0"/>
    <w:rsid w:val="00E83087"/>
    <w:rsid w:val="00E83744"/>
    <w:rsid w:val="00E84053"/>
    <w:rsid w:val="00E90756"/>
    <w:rsid w:val="00E96CF9"/>
    <w:rsid w:val="00EA07AD"/>
    <w:rsid w:val="00EA13CA"/>
    <w:rsid w:val="00EB0A3E"/>
    <w:rsid w:val="00EB26E0"/>
    <w:rsid w:val="00EB72FE"/>
    <w:rsid w:val="00EC28B9"/>
    <w:rsid w:val="00EC4C7B"/>
    <w:rsid w:val="00EC5FC9"/>
    <w:rsid w:val="00EC64A2"/>
    <w:rsid w:val="00EC669C"/>
    <w:rsid w:val="00ED5A14"/>
    <w:rsid w:val="00EE4817"/>
    <w:rsid w:val="00EE7B95"/>
    <w:rsid w:val="00EF1696"/>
    <w:rsid w:val="00EF7410"/>
    <w:rsid w:val="00F0078A"/>
    <w:rsid w:val="00F02DF5"/>
    <w:rsid w:val="00F04EEF"/>
    <w:rsid w:val="00F10868"/>
    <w:rsid w:val="00F12CDC"/>
    <w:rsid w:val="00F25E3A"/>
    <w:rsid w:val="00F27DF0"/>
    <w:rsid w:val="00F27FAA"/>
    <w:rsid w:val="00F33B46"/>
    <w:rsid w:val="00F42742"/>
    <w:rsid w:val="00F44CDB"/>
    <w:rsid w:val="00F52E2F"/>
    <w:rsid w:val="00F53C94"/>
    <w:rsid w:val="00F543C2"/>
    <w:rsid w:val="00F55AF4"/>
    <w:rsid w:val="00F60113"/>
    <w:rsid w:val="00F61521"/>
    <w:rsid w:val="00F63F46"/>
    <w:rsid w:val="00F67F33"/>
    <w:rsid w:val="00F777B4"/>
    <w:rsid w:val="00F8381B"/>
    <w:rsid w:val="00F849B7"/>
    <w:rsid w:val="00F85071"/>
    <w:rsid w:val="00F87838"/>
    <w:rsid w:val="00F90612"/>
    <w:rsid w:val="00F9584C"/>
    <w:rsid w:val="00FA1A92"/>
    <w:rsid w:val="00FA378E"/>
    <w:rsid w:val="00FA3DAA"/>
    <w:rsid w:val="00FB093F"/>
    <w:rsid w:val="00FB2C2C"/>
    <w:rsid w:val="00FB4978"/>
    <w:rsid w:val="00FB540A"/>
    <w:rsid w:val="00FB63AC"/>
    <w:rsid w:val="00FB64AE"/>
    <w:rsid w:val="00FB7117"/>
    <w:rsid w:val="00FC335C"/>
    <w:rsid w:val="00FC3933"/>
    <w:rsid w:val="00FE6E52"/>
    <w:rsid w:val="00FE755D"/>
    <w:rsid w:val="159382A1"/>
    <w:rsid w:val="3CAE6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175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3AE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93AE2"/>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93AE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93AE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93AE2"/>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93AE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93AE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93AE2"/>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3AE2"/>
    <w:rPr>
      <w:rFonts w:ascii="Times New Roman" w:eastAsia="MS Mincho" w:hAnsi="Times New Roman" w:cs="Times New Roman"/>
      <w:b/>
      <w:bCs/>
      <w:sz w:val="28"/>
      <w:szCs w:val="28"/>
    </w:rPr>
  </w:style>
  <w:style w:type="paragraph" w:styleId="BodyText">
    <w:name w:val="Body Text"/>
    <w:aliases w:val="bt"/>
    <w:basedOn w:val="Normal"/>
    <w:link w:val="BodyTextChar"/>
    <w:rsid w:val="00693AE2"/>
    <w:pPr>
      <w:spacing w:after="120"/>
      <w:jc w:val="both"/>
    </w:pPr>
    <w:rPr>
      <w:rFonts w:eastAsia="MS Mincho"/>
    </w:rPr>
  </w:style>
  <w:style w:type="character" w:customStyle="1" w:styleId="BodyTextChar">
    <w:name w:val="Body Text Char"/>
    <w:aliases w:val="bt Char"/>
    <w:basedOn w:val="DefaultParagraphFont"/>
    <w:link w:val="BodyText"/>
    <w:rsid w:val="00693AE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93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3AE2"/>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93AE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93AE2"/>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B3536"/>
    <w:pPr>
      <w:tabs>
        <w:tab w:val="center" w:pos="4680"/>
        <w:tab w:val="right" w:pos="9360"/>
      </w:tabs>
    </w:pPr>
  </w:style>
  <w:style w:type="character" w:customStyle="1" w:styleId="FooterChar">
    <w:name w:val="Footer Char"/>
    <w:basedOn w:val="DefaultParagraphFont"/>
    <w:link w:val="Footer"/>
    <w:uiPriority w:val="99"/>
    <w:rsid w:val="00BB3536"/>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1C1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C6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4D4E2A"/>
    <w:rPr>
      <w:sz w:val="16"/>
      <w:szCs w:val="16"/>
    </w:rPr>
  </w:style>
  <w:style w:type="paragraph" w:styleId="CommentText">
    <w:name w:val="annotation text"/>
    <w:basedOn w:val="Normal"/>
    <w:link w:val="CommentTextChar"/>
    <w:uiPriority w:val="99"/>
    <w:semiHidden/>
    <w:unhideWhenUsed/>
    <w:rsid w:val="004D4E2A"/>
    <w:rPr>
      <w:szCs w:val="20"/>
    </w:rPr>
  </w:style>
  <w:style w:type="character" w:customStyle="1" w:styleId="CommentTextChar">
    <w:name w:val="Comment Text Char"/>
    <w:basedOn w:val="DefaultParagraphFont"/>
    <w:link w:val="CommentText"/>
    <w:uiPriority w:val="99"/>
    <w:semiHidden/>
    <w:rsid w:val="004D4E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4E2A"/>
    <w:rPr>
      <w:b/>
      <w:bCs/>
    </w:rPr>
  </w:style>
  <w:style w:type="character" w:customStyle="1" w:styleId="CommentSubjectChar">
    <w:name w:val="Comment Subject Char"/>
    <w:basedOn w:val="CommentTextChar"/>
    <w:link w:val="CommentSubject"/>
    <w:uiPriority w:val="99"/>
    <w:semiHidden/>
    <w:rsid w:val="004D4E2A"/>
    <w:rPr>
      <w:rFonts w:ascii="Times New Roman" w:eastAsia="Times New Roman" w:hAnsi="Times New Roman" w:cs="Times New Roman"/>
      <w:b/>
      <w:bCs/>
      <w:sz w:val="20"/>
      <w:szCs w:val="20"/>
    </w:rPr>
  </w:style>
  <w:style w:type="character" w:customStyle="1" w:styleId="Doc-text2Char">
    <w:name w:val="Doc-text2 Char"/>
    <w:link w:val="Doc-text2"/>
    <w:locked/>
    <w:rsid w:val="00023494"/>
    <w:rPr>
      <w:rFonts w:ascii="Arial" w:eastAsia="MS Mincho" w:hAnsi="Arial" w:cs="Arial"/>
      <w:szCs w:val="24"/>
    </w:rPr>
  </w:style>
  <w:style w:type="paragraph" w:customStyle="1" w:styleId="Doc-text2">
    <w:name w:val="Doc-text2"/>
    <w:basedOn w:val="Normal"/>
    <w:link w:val="Doc-text2Char"/>
    <w:qFormat/>
    <w:rsid w:val="00023494"/>
    <w:pPr>
      <w:tabs>
        <w:tab w:val="left" w:pos="1622"/>
      </w:tabs>
      <w:ind w:left="1622" w:hanging="363"/>
    </w:pPr>
    <w:rPr>
      <w:rFonts w:ascii="Arial" w:eastAsia="MS Mincho" w:hAnsi="Arial" w:cs="Arial"/>
      <w:sz w:val="22"/>
    </w:rPr>
  </w:style>
  <w:style w:type="table" w:styleId="TableGrid">
    <w:name w:val="Table Grid"/>
    <w:basedOn w:val="TableNormal"/>
    <w:uiPriority w:val="39"/>
    <w:rsid w:val="00972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65146">
      <w:bodyDiv w:val="1"/>
      <w:marLeft w:val="0"/>
      <w:marRight w:val="0"/>
      <w:marTop w:val="0"/>
      <w:marBottom w:val="0"/>
      <w:divBdr>
        <w:top w:val="none" w:sz="0" w:space="0" w:color="auto"/>
        <w:left w:val="none" w:sz="0" w:space="0" w:color="auto"/>
        <w:bottom w:val="none" w:sz="0" w:space="0" w:color="auto"/>
        <w:right w:val="none" w:sz="0" w:space="0" w:color="auto"/>
      </w:divBdr>
    </w:div>
    <w:div w:id="797530182">
      <w:bodyDiv w:val="1"/>
      <w:marLeft w:val="0"/>
      <w:marRight w:val="0"/>
      <w:marTop w:val="0"/>
      <w:marBottom w:val="0"/>
      <w:divBdr>
        <w:top w:val="none" w:sz="0" w:space="0" w:color="auto"/>
        <w:left w:val="none" w:sz="0" w:space="0" w:color="auto"/>
        <w:bottom w:val="none" w:sz="0" w:space="0" w:color="auto"/>
        <w:right w:val="none" w:sz="0" w:space="0" w:color="auto"/>
      </w:divBdr>
    </w:div>
    <w:div w:id="905842473">
      <w:bodyDiv w:val="1"/>
      <w:marLeft w:val="0"/>
      <w:marRight w:val="0"/>
      <w:marTop w:val="0"/>
      <w:marBottom w:val="0"/>
      <w:divBdr>
        <w:top w:val="none" w:sz="0" w:space="0" w:color="auto"/>
        <w:left w:val="none" w:sz="0" w:space="0" w:color="auto"/>
        <w:bottom w:val="none" w:sz="0" w:space="0" w:color="auto"/>
        <w:right w:val="none" w:sz="0" w:space="0" w:color="auto"/>
      </w:divBdr>
    </w:div>
    <w:div w:id="1043753930">
      <w:bodyDiv w:val="1"/>
      <w:marLeft w:val="0"/>
      <w:marRight w:val="0"/>
      <w:marTop w:val="0"/>
      <w:marBottom w:val="0"/>
      <w:divBdr>
        <w:top w:val="none" w:sz="0" w:space="0" w:color="auto"/>
        <w:left w:val="none" w:sz="0" w:space="0" w:color="auto"/>
        <w:bottom w:val="none" w:sz="0" w:space="0" w:color="auto"/>
        <w:right w:val="none" w:sz="0" w:space="0" w:color="auto"/>
      </w:divBdr>
    </w:div>
    <w:div w:id="1433862239">
      <w:bodyDiv w:val="1"/>
      <w:marLeft w:val="0"/>
      <w:marRight w:val="0"/>
      <w:marTop w:val="0"/>
      <w:marBottom w:val="0"/>
      <w:divBdr>
        <w:top w:val="none" w:sz="0" w:space="0" w:color="auto"/>
        <w:left w:val="none" w:sz="0" w:space="0" w:color="auto"/>
        <w:bottom w:val="none" w:sz="0" w:space="0" w:color="auto"/>
        <w:right w:val="none" w:sz="0" w:space="0" w:color="auto"/>
      </w:divBdr>
    </w:div>
    <w:div w:id="1576746849">
      <w:bodyDiv w:val="1"/>
      <w:marLeft w:val="0"/>
      <w:marRight w:val="0"/>
      <w:marTop w:val="0"/>
      <w:marBottom w:val="0"/>
      <w:divBdr>
        <w:top w:val="none" w:sz="0" w:space="0" w:color="auto"/>
        <w:left w:val="none" w:sz="0" w:space="0" w:color="auto"/>
        <w:bottom w:val="none" w:sz="0" w:space="0" w:color="auto"/>
        <w:right w:val="none" w:sz="0" w:space="0" w:color="auto"/>
      </w:divBdr>
    </w:div>
    <w:div w:id="159058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4EB7F-8499-4A0C-AF93-5E2239559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9A498-EEDA-4735-967D-BF87AF738D3D}">
  <ds:schemaRefs>
    <ds:schemaRef ds:uri="http://schemas.microsoft.com/sharepoint/v3/contenttype/forms"/>
  </ds:schemaRefs>
</ds:datastoreItem>
</file>

<file path=customXml/itemProps3.xml><?xml version="1.0" encoding="utf-8"?>
<ds:datastoreItem xmlns:ds="http://schemas.openxmlformats.org/officeDocument/2006/customXml" ds:itemID="{C316C513-EDB4-4BC8-B7DC-62CB43A103C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D1BE11D-FD34-4528-9D26-B3A0DF30E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2199</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2019-11-09T05:53:00Z</dcterms:created>
  <dcterms:modified xsi:type="dcterms:W3CDTF">2019-11-09T06:13:00Z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