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0FA84" w14:textId="135D4E4E" w:rsidR="005E5AFD" w:rsidRPr="00A86AE4" w:rsidRDefault="005E5AFD" w:rsidP="005E5AFD">
      <w:pPr>
        <w:tabs>
          <w:tab w:val="center" w:pos="4536"/>
          <w:tab w:val="right" w:pos="9072"/>
        </w:tabs>
        <w:rPr>
          <w:rFonts w:eastAsia="宋体"/>
          <w:b/>
          <w:bCs/>
          <w:sz w:val="24"/>
          <w:highlight w:val="yellow"/>
          <w:lang w:eastAsia="zh-CN"/>
        </w:rPr>
      </w:pPr>
      <w:r w:rsidRPr="00A86AE4">
        <w:rPr>
          <w:rFonts w:eastAsia="MS Mincho"/>
          <w:b/>
          <w:bCs/>
          <w:sz w:val="24"/>
        </w:rPr>
        <w:t>3GPP TSG RAN WG1 #9</w:t>
      </w:r>
      <w:r w:rsidR="00543AC7" w:rsidRPr="00A86AE4">
        <w:rPr>
          <w:rFonts w:eastAsia="MS Mincho"/>
          <w:b/>
          <w:bCs/>
          <w:sz w:val="24"/>
        </w:rPr>
        <w:t>8</w:t>
      </w:r>
      <w:r w:rsidR="000541FE">
        <w:rPr>
          <w:rFonts w:eastAsia="MS Mincho"/>
          <w:b/>
          <w:bCs/>
          <w:sz w:val="24"/>
        </w:rPr>
        <w:t>b</w:t>
      </w:r>
      <w:r w:rsidRPr="00A86AE4">
        <w:rPr>
          <w:rFonts w:eastAsia="MS Mincho"/>
          <w:b/>
          <w:bCs/>
          <w:sz w:val="24"/>
        </w:rPr>
        <w:t xml:space="preserve">                                        R1-</w:t>
      </w:r>
      <w:r w:rsidR="000F39CE">
        <w:rPr>
          <w:rFonts w:eastAsia="MS Mincho"/>
          <w:b/>
          <w:bCs/>
          <w:sz w:val="24"/>
        </w:rPr>
        <w:t>1912510</w:t>
      </w:r>
    </w:p>
    <w:p w14:paraId="68D4B6F7" w14:textId="6F135972" w:rsidR="000541FE" w:rsidRPr="00991753" w:rsidRDefault="000F39CE" w:rsidP="000541FE">
      <w:pPr>
        <w:pStyle w:val="a4"/>
        <w:tabs>
          <w:tab w:val="clear" w:pos="4536"/>
        </w:tabs>
        <w:rPr>
          <w:rFonts w:ascii="Times New Roman" w:eastAsia="宋体" w:hAnsi="Times New Roman"/>
          <w:bCs/>
          <w:sz w:val="24"/>
          <w:lang w:eastAsia="zh-CN"/>
        </w:rPr>
      </w:pPr>
      <w:r>
        <w:rPr>
          <w:rFonts w:ascii="Times New Roman" w:hAnsi="Times New Roman"/>
          <w:bCs/>
          <w:sz w:val="24"/>
        </w:rPr>
        <w:t>Reno</w:t>
      </w:r>
      <w:r w:rsidR="000541FE" w:rsidRPr="00991753">
        <w:rPr>
          <w:rFonts w:ascii="Times New Roman" w:hAnsi="Times New Roman"/>
          <w:bCs/>
          <w:sz w:val="24"/>
        </w:rPr>
        <w:t xml:space="preserve">, </w:t>
      </w:r>
      <w:r>
        <w:rPr>
          <w:rFonts w:ascii="Times New Roman" w:hAnsi="Times New Roman"/>
          <w:bCs/>
          <w:sz w:val="24"/>
        </w:rPr>
        <w:t>USA, November 18</w:t>
      </w:r>
      <w:r w:rsidRPr="000F39CE">
        <w:rPr>
          <w:rFonts w:ascii="Times New Roman" w:hAnsi="Times New Roman"/>
          <w:bCs/>
          <w:sz w:val="24"/>
          <w:vertAlign w:val="superscript"/>
        </w:rPr>
        <w:t>th</w:t>
      </w:r>
      <w:r>
        <w:rPr>
          <w:rFonts w:ascii="Times New Roman" w:hAnsi="Times New Roman"/>
          <w:bCs/>
          <w:sz w:val="24"/>
        </w:rPr>
        <w:t xml:space="preserve"> </w:t>
      </w:r>
      <w:r>
        <w:rPr>
          <w:rFonts w:ascii="Times New Roman" w:eastAsia="宋体" w:hAnsi="Times New Roman"/>
          <w:bCs/>
          <w:sz w:val="24"/>
          <w:lang w:eastAsia="zh-CN"/>
        </w:rPr>
        <w:t>–</w:t>
      </w:r>
      <w:r w:rsidR="000541FE" w:rsidRPr="00991753">
        <w:rPr>
          <w:rFonts w:ascii="Times New Roman" w:hAnsi="Times New Roman"/>
          <w:bCs/>
          <w:sz w:val="24"/>
        </w:rPr>
        <w:t xml:space="preserve"> </w:t>
      </w:r>
      <w:r w:rsidR="000541FE">
        <w:rPr>
          <w:rFonts w:ascii="Times New Roman" w:hAnsi="Times New Roman"/>
          <w:bCs/>
          <w:sz w:val="24"/>
        </w:rPr>
        <w:t>2</w:t>
      </w:r>
      <w:r>
        <w:rPr>
          <w:rFonts w:ascii="Times New Roman" w:hAnsi="Times New Roman"/>
          <w:bCs/>
          <w:sz w:val="24"/>
        </w:rPr>
        <w:t>2</w:t>
      </w:r>
      <w:r>
        <w:rPr>
          <w:rFonts w:ascii="Times New Roman" w:eastAsia="宋体" w:hAnsi="Times New Roman"/>
          <w:bCs/>
          <w:sz w:val="24"/>
          <w:vertAlign w:val="superscript"/>
          <w:lang w:eastAsia="zh-CN"/>
        </w:rPr>
        <w:t xml:space="preserve">nd </w:t>
      </w:r>
      <w:r w:rsidR="000541FE" w:rsidRPr="00991753">
        <w:rPr>
          <w:rFonts w:ascii="Times New Roman" w:hAnsi="Times New Roman"/>
          <w:bCs/>
          <w:sz w:val="24"/>
        </w:rPr>
        <w:t>, 2019</w:t>
      </w:r>
    </w:p>
    <w:p w14:paraId="294B2690" w14:textId="77777777" w:rsidR="00E54D6D" w:rsidRPr="00A86AE4" w:rsidRDefault="00E54D6D" w:rsidP="00E54D6D">
      <w:pPr>
        <w:pStyle w:val="a4"/>
        <w:tabs>
          <w:tab w:val="clear" w:pos="4536"/>
        </w:tabs>
        <w:rPr>
          <w:rFonts w:ascii="Times New Roman" w:eastAsia="宋体" w:hAnsi="Times New Roman"/>
          <w:sz w:val="24"/>
          <w:lang w:eastAsia="zh-CN"/>
        </w:rPr>
      </w:pPr>
    </w:p>
    <w:p w14:paraId="43132347" w14:textId="77777777" w:rsidR="00E54D6D" w:rsidRPr="00A86AE4" w:rsidRDefault="00E54D6D" w:rsidP="00E54D6D">
      <w:pPr>
        <w:pStyle w:val="a4"/>
        <w:tabs>
          <w:tab w:val="clear" w:pos="4536"/>
          <w:tab w:val="left" w:pos="1800"/>
        </w:tabs>
        <w:rPr>
          <w:rFonts w:ascii="Times New Roman" w:eastAsia="宋体" w:hAnsi="Times New Roman"/>
          <w:sz w:val="24"/>
          <w:lang w:eastAsia="zh-CN"/>
        </w:rPr>
      </w:pPr>
      <w:r w:rsidRPr="00A86AE4">
        <w:rPr>
          <w:rFonts w:ascii="Times New Roman" w:hAnsi="Times New Roman"/>
          <w:sz w:val="24"/>
        </w:rPr>
        <w:t>Source:</w:t>
      </w:r>
      <w:r w:rsidRPr="00A86AE4">
        <w:rPr>
          <w:rFonts w:ascii="Times New Roman" w:hAnsi="Times New Roman"/>
          <w:sz w:val="24"/>
        </w:rPr>
        <w:tab/>
      </w:r>
      <w:r w:rsidRPr="00A86AE4">
        <w:rPr>
          <w:rFonts w:ascii="Times New Roman" w:hAnsi="Times New Roman"/>
          <w:sz w:val="24"/>
          <w:lang w:eastAsia="ja-JP"/>
        </w:rPr>
        <w:t>OPPO</w:t>
      </w:r>
    </w:p>
    <w:p w14:paraId="503D20C6" w14:textId="77777777" w:rsidR="00E54D6D" w:rsidRPr="00A86AE4" w:rsidRDefault="00E54D6D" w:rsidP="00E54D6D">
      <w:pPr>
        <w:pStyle w:val="a4"/>
        <w:tabs>
          <w:tab w:val="clear" w:pos="4536"/>
          <w:tab w:val="left" w:pos="1800"/>
        </w:tabs>
        <w:rPr>
          <w:rFonts w:ascii="Times New Roman" w:eastAsia="宋体" w:hAnsi="Times New Roman"/>
          <w:sz w:val="24"/>
          <w:lang w:eastAsia="zh-CN"/>
        </w:rPr>
      </w:pPr>
      <w:r w:rsidRPr="00A86AE4">
        <w:rPr>
          <w:rFonts w:ascii="Times New Roman" w:hAnsi="Times New Roman"/>
          <w:sz w:val="24"/>
        </w:rPr>
        <w:t>Title:</w:t>
      </w:r>
      <w:r w:rsidRPr="00A86AE4">
        <w:rPr>
          <w:rFonts w:ascii="Times New Roman" w:hAnsi="Times New Roman"/>
          <w:sz w:val="24"/>
        </w:rPr>
        <w:tab/>
        <w:t>Wideband operation for NR-U</w:t>
      </w:r>
      <w:r w:rsidRPr="00A86AE4">
        <w:rPr>
          <w:rFonts w:ascii="Times New Roman" w:eastAsia="宋体" w:hAnsi="Times New Roman"/>
          <w:sz w:val="24"/>
          <w:lang w:eastAsia="zh-CN"/>
        </w:rPr>
        <w:t xml:space="preserve"> </w:t>
      </w:r>
    </w:p>
    <w:p w14:paraId="541F3ECB" w14:textId="77777777" w:rsidR="00E54D6D" w:rsidRPr="00A86AE4" w:rsidRDefault="00E54D6D" w:rsidP="00E54D6D">
      <w:pPr>
        <w:pStyle w:val="a4"/>
        <w:tabs>
          <w:tab w:val="left" w:pos="1800"/>
        </w:tabs>
        <w:rPr>
          <w:rFonts w:ascii="Times New Roman" w:eastAsia="宋体" w:hAnsi="Times New Roman"/>
          <w:sz w:val="24"/>
          <w:lang w:eastAsia="zh-CN"/>
        </w:rPr>
      </w:pPr>
      <w:r w:rsidRPr="00A86AE4">
        <w:rPr>
          <w:rFonts w:ascii="Times New Roman" w:hAnsi="Times New Roman"/>
          <w:sz w:val="24"/>
        </w:rPr>
        <w:t>Agenda Item:</w:t>
      </w:r>
      <w:r w:rsidRPr="00A86AE4">
        <w:rPr>
          <w:rFonts w:ascii="Times New Roman" w:hAnsi="Times New Roman"/>
          <w:sz w:val="24"/>
        </w:rPr>
        <w:tab/>
        <w:t>7.</w:t>
      </w:r>
      <w:r w:rsidRPr="00A86AE4">
        <w:rPr>
          <w:rFonts w:ascii="Times New Roman" w:eastAsia="宋体" w:hAnsi="Times New Roman"/>
          <w:sz w:val="24"/>
          <w:lang w:eastAsia="zh-CN"/>
        </w:rPr>
        <w:t>2.2.2.5</w:t>
      </w:r>
    </w:p>
    <w:p w14:paraId="4DB8DD0B" w14:textId="77777777" w:rsidR="00E54D6D" w:rsidRPr="00A86AE4" w:rsidRDefault="00E54D6D" w:rsidP="00E54D6D">
      <w:pPr>
        <w:pStyle w:val="a4"/>
        <w:tabs>
          <w:tab w:val="left" w:pos="1800"/>
        </w:tabs>
        <w:rPr>
          <w:rFonts w:ascii="Times New Roman" w:hAnsi="Times New Roman"/>
          <w:sz w:val="24"/>
        </w:rPr>
      </w:pPr>
      <w:r w:rsidRPr="00A86AE4">
        <w:rPr>
          <w:rFonts w:ascii="Times New Roman" w:hAnsi="Times New Roman"/>
          <w:sz w:val="24"/>
        </w:rPr>
        <w:t>Document for:</w:t>
      </w:r>
      <w:r w:rsidRPr="00A86AE4">
        <w:rPr>
          <w:rFonts w:ascii="Times New Roman" w:hAnsi="Times New Roman"/>
          <w:sz w:val="24"/>
        </w:rPr>
        <w:tab/>
        <w:t>Discussion and Decision</w:t>
      </w:r>
    </w:p>
    <w:p w14:paraId="4804CD08" w14:textId="77777777" w:rsidR="00E54D6D" w:rsidRPr="00A86AE4" w:rsidRDefault="00E54D6D" w:rsidP="00E54D6D">
      <w:pPr>
        <w:pBdr>
          <w:bottom w:val="single" w:sz="4" w:space="1" w:color="auto"/>
        </w:pBdr>
        <w:tabs>
          <w:tab w:val="left" w:pos="2552"/>
        </w:tabs>
      </w:pPr>
    </w:p>
    <w:p w14:paraId="7B3A842B"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Introduction</w:t>
      </w:r>
    </w:p>
    <w:p w14:paraId="0EED64C7" w14:textId="77777777" w:rsidR="002F333C" w:rsidRPr="00A86AE4" w:rsidRDefault="00EB2E4C" w:rsidP="00E54D6D">
      <w:pPr>
        <w:pStyle w:val="a0"/>
        <w:rPr>
          <w:rFonts w:eastAsia="宋体"/>
          <w:szCs w:val="20"/>
          <w:lang w:eastAsia="zh-CN"/>
        </w:rPr>
      </w:pPr>
      <w:r w:rsidRPr="00A86AE4">
        <w:rPr>
          <w:rFonts w:eastAsia="宋体"/>
          <w:szCs w:val="20"/>
          <w:lang w:eastAsia="zh-CN"/>
        </w:rPr>
        <w:t xml:space="preserve">In RAN1 </w:t>
      </w:r>
      <w:r w:rsidR="0043100C" w:rsidRPr="00A86AE4">
        <w:rPr>
          <w:rFonts w:eastAsia="宋体"/>
          <w:szCs w:val="20"/>
          <w:lang w:eastAsia="zh-CN"/>
        </w:rPr>
        <w:t>meeting</w:t>
      </w:r>
      <w:r w:rsidR="009F153C" w:rsidRPr="00A86AE4">
        <w:rPr>
          <w:rFonts w:eastAsia="宋体"/>
          <w:szCs w:val="20"/>
          <w:lang w:eastAsia="zh-CN"/>
        </w:rPr>
        <w:t xml:space="preserve"> #98</w:t>
      </w:r>
      <w:r w:rsidRPr="00A86AE4">
        <w:rPr>
          <w:rFonts w:eastAsia="宋体"/>
          <w:szCs w:val="20"/>
          <w:lang w:eastAsia="zh-CN"/>
        </w:rPr>
        <w:t xml:space="preserve">, </w:t>
      </w:r>
      <w:r w:rsidR="009F153C" w:rsidRPr="00A86AE4">
        <w:rPr>
          <w:rFonts w:eastAsia="宋体"/>
          <w:szCs w:val="20"/>
          <w:lang w:eastAsia="zh-CN"/>
        </w:rPr>
        <w:t xml:space="preserve">consensus was reached to make the following conclusion and agreement </w:t>
      </w:r>
    </w:p>
    <w:p w14:paraId="1349A36A" w14:textId="77777777" w:rsidR="00587FFE" w:rsidRDefault="00587FFE" w:rsidP="00587FFE">
      <w:r w:rsidRPr="00FF7D6E">
        <w:rPr>
          <w:highlight w:val="green"/>
        </w:rPr>
        <w:t>Agreement:</w:t>
      </w:r>
    </w:p>
    <w:p w14:paraId="0B0EDAEC" w14:textId="77777777" w:rsidR="00587FFE" w:rsidRDefault="00587FFE" w:rsidP="00587FFE">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53F1592A" w14:textId="77777777" w:rsidR="00587FFE" w:rsidRDefault="00587FFE" w:rsidP="00587FFE">
      <w:pPr>
        <w:numPr>
          <w:ilvl w:val="0"/>
          <w:numId w:val="26"/>
        </w:numPr>
        <w:ind w:left="360"/>
      </w:pPr>
      <w:r>
        <w:t xml:space="preserve">PRBs allocated by </w:t>
      </w:r>
      <w:proofErr w:type="spellStart"/>
      <w:r w:rsidRPr="00C9109D">
        <w:rPr>
          <w:i/>
        </w:rPr>
        <w:t>frequencyDomainResources</w:t>
      </w:r>
      <w:proofErr w:type="spellEnd"/>
      <w:r>
        <w:t xml:space="preserve"> in the CORESET configuration are confined within one of LBT bandwidths within the BWP corresponding to the CORESET.</w:t>
      </w:r>
    </w:p>
    <w:p w14:paraId="6CF67A65" w14:textId="77777777" w:rsidR="00587FFE" w:rsidRDefault="00587FFE" w:rsidP="00587FFE">
      <w:pPr>
        <w:numPr>
          <w:ilvl w:val="0"/>
          <w:numId w:val="26"/>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46C2623D" w14:textId="77777777" w:rsidR="00587FFE" w:rsidRDefault="00587FFE" w:rsidP="00587FFE">
      <w:pPr>
        <w:numPr>
          <w:ilvl w:val="0"/>
          <w:numId w:val="25"/>
        </w:numPr>
        <w:ind w:left="720"/>
      </w:pPr>
      <w:r>
        <w:t>CORESET parameters other than frequency domain resource allocation pattern are identical for each of the one or more monitoring locations in the frequency domain.</w:t>
      </w:r>
    </w:p>
    <w:p w14:paraId="2A3F8738" w14:textId="77777777" w:rsidR="00587FFE" w:rsidRDefault="00587FFE" w:rsidP="00587FFE">
      <w:pPr>
        <w:numPr>
          <w:ilvl w:val="0"/>
          <w:numId w:val="26"/>
        </w:numPr>
        <w:ind w:left="360"/>
      </w:pPr>
      <w:r>
        <w:t>Include this and the prior agreement on this issue in an LS to RAN2</w:t>
      </w:r>
    </w:p>
    <w:p w14:paraId="623326A4" w14:textId="77777777" w:rsidR="00587FFE" w:rsidRDefault="00587FFE" w:rsidP="00587FFE"/>
    <w:p w14:paraId="3D65062E" w14:textId="77777777" w:rsidR="00587FFE" w:rsidRDefault="00587FFE" w:rsidP="00587FFE"/>
    <w:p w14:paraId="67AAF40A" w14:textId="77777777" w:rsidR="00587FFE" w:rsidRDefault="00587FFE" w:rsidP="00587FFE">
      <w:r w:rsidRPr="0039498B">
        <w:rPr>
          <w:highlight w:val="green"/>
        </w:rPr>
        <w:t>Agreement:</w:t>
      </w:r>
    </w:p>
    <w:p w14:paraId="246121F7" w14:textId="77777777" w:rsidR="00587FFE" w:rsidRDefault="00587FFE" w:rsidP="00587FFE">
      <w:r>
        <w:t>The intra-carrier guard bands on a carrier can be semi-statically adjusted with an RB level granularity. The RAN4 minimum guard band requirements are used as the guard bands when no semi-static adjustment is applied.</w:t>
      </w:r>
    </w:p>
    <w:p w14:paraId="3D60BDA6" w14:textId="77777777" w:rsidR="00587FFE" w:rsidRDefault="00587FFE" w:rsidP="00587FFE">
      <w:pPr>
        <w:numPr>
          <w:ilvl w:val="0"/>
          <w:numId w:val="26"/>
        </w:numPr>
      </w:pPr>
      <w:r>
        <w:t>The guard bands adjustments do not affect the already agreed restrictions on PUCCH resource allocation.</w:t>
      </w:r>
    </w:p>
    <w:p w14:paraId="435856A1" w14:textId="77777777" w:rsidR="00587FFE" w:rsidRDefault="00587FFE" w:rsidP="00587FFE">
      <w:pPr>
        <w:numPr>
          <w:ilvl w:val="0"/>
          <w:numId w:val="26"/>
        </w:numPr>
      </w:pPr>
      <w:r>
        <w:t>FFS: Whether and how to handle the case where the intra-carrier guard bands are part of a resource allocation</w:t>
      </w:r>
    </w:p>
    <w:p w14:paraId="2F0049B6" w14:textId="77777777" w:rsidR="00587FFE" w:rsidRDefault="00587FFE" w:rsidP="00587FFE"/>
    <w:p w14:paraId="0112C177" w14:textId="77777777" w:rsidR="00587FFE" w:rsidRDefault="00587FFE" w:rsidP="00587FFE"/>
    <w:p w14:paraId="4794A448" w14:textId="77777777" w:rsidR="00587FFE" w:rsidRDefault="00587FFE" w:rsidP="00587FFE">
      <w:r w:rsidRPr="00DF686C">
        <w:rPr>
          <w:highlight w:val="green"/>
        </w:rPr>
        <w:t>Agreement:</w:t>
      </w:r>
    </w:p>
    <w:p w14:paraId="2C6F44E3" w14:textId="77777777" w:rsidR="00587FFE" w:rsidRDefault="00587FFE" w:rsidP="00587FFE">
      <w:pPr>
        <w:numPr>
          <w:ilvl w:val="0"/>
          <w:numId w:val="26"/>
        </w:numPr>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43B27887" w14:textId="77777777" w:rsidR="00587FFE" w:rsidRDefault="00587FFE" w:rsidP="00587FFE">
      <w:pPr>
        <w:numPr>
          <w:ilvl w:val="0"/>
          <w:numId w:val="26"/>
        </w:numPr>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30C6B87F" w14:textId="77777777" w:rsidR="00587FFE" w:rsidRPr="00910FF9" w:rsidRDefault="00587FFE" w:rsidP="00587FFE">
      <w:pPr>
        <w:numPr>
          <w:ilvl w:val="1"/>
          <w:numId w:val="26"/>
        </w:numPr>
      </w:pPr>
      <w:r w:rsidRPr="00910FF9">
        <w:t xml:space="preserve">This does not preclude such resource allocation in </w:t>
      </w:r>
      <w:proofErr w:type="spellStart"/>
      <w:r w:rsidRPr="00910FF9">
        <w:t>discontiguous</w:t>
      </w:r>
      <w:proofErr w:type="spellEnd"/>
      <w:r w:rsidRPr="00910FF9">
        <w:t xml:space="preserve"> LBT bandwidths being supported by specifications managed by RAN1 in Rel-16.</w:t>
      </w:r>
    </w:p>
    <w:p w14:paraId="59442278" w14:textId="77777777" w:rsidR="00587FFE" w:rsidRDefault="00587FFE" w:rsidP="00E54D6D">
      <w:pPr>
        <w:pStyle w:val="a0"/>
        <w:rPr>
          <w:rFonts w:eastAsia="宋体"/>
          <w:szCs w:val="20"/>
          <w:lang w:eastAsia="zh-CN"/>
        </w:rPr>
      </w:pPr>
    </w:p>
    <w:p w14:paraId="3A4A21CD" w14:textId="620CBF24" w:rsidR="00E54D6D" w:rsidRPr="00A86AE4" w:rsidRDefault="00E54D6D" w:rsidP="00E54D6D">
      <w:pPr>
        <w:pStyle w:val="a0"/>
        <w:rPr>
          <w:rFonts w:eastAsia="宋体"/>
          <w:szCs w:val="20"/>
          <w:lang w:eastAsia="zh-CN"/>
        </w:rPr>
      </w:pPr>
      <w:r w:rsidRPr="00A86AE4">
        <w:rPr>
          <w:rFonts w:eastAsia="宋体"/>
          <w:szCs w:val="20"/>
          <w:lang w:eastAsia="zh-CN"/>
        </w:rPr>
        <w:t xml:space="preserve">This contribution </w:t>
      </w:r>
      <w:r w:rsidR="00E94C11" w:rsidRPr="00A86AE4">
        <w:rPr>
          <w:rFonts w:eastAsia="宋体"/>
          <w:szCs w:val="20"/>
          <w:lang w:eastAsia="zh-CN"/>
        </w:rPr>
        <w:t xml:space="preserve">further </w:t>
      </w:r>
      <w:r w:rsidRPr="00A86AE4">
        <w:rPr>
          <w:rFonts w:eastAsia="宋体"/>
          <w:szCs w:val="20"/>
          <w:lang w:eastAsia="zh-CN"/>
        </w:rPr>
        <w:t xml:space="preserve">discusses </w:t>
      </w:r>
      <w:r w:rsidR="00682503" w:rsidRPr="00A86AE4">
        <w:rPr>
          <w:rFonts w:eastAsia="宋体"/>
          <w:szCs w:val="20"/>
          <w:lang w:eastAsia="zh-CN"/>
        </w:rPr>
        <w:t>PDCCH transmission</w:t>
      </w:r>
      <w:r w:rsidR="0086453D" w:rsidRPr="00A86AE4">
        <w:rPr>
          <w:rFonts w:eastAsia="宋体"/>
          <w:szCs w:val="20"/>
          <w:lang w:eastAsia="zh-CN"/>
        </w:rPr>
        <w:t xml:space="preserve"> for DL wideband</w:t>
      </w:r>
      <w:r w:rsidR="00682503" w:rsidRPr="00A86AE4">
        <w:rPr>
          <w:rFonts w:eastAsia="宋体"/>
          <w:szCs w:val="20"/>
          <w:lang w:eastAsia="zh-CN"/>
        </w:rPr>
        <w:t>.</w:t>
      </w:r>
      <w:r w:rsidRPr="00A86AE4">
        <w:rPr>
          <w:rFonts w:eastAsia="宋体"/>
          <w:szCs w:val="20"/>
          <w:lang w:eastAsia="zh-CN"/>
        </w:rPr>
        <w:t xml:space="preserve"> </w:t>
      </w:r>
    </w:p>
    <w:p w14:paraId="48FF7F47" w14:textId="77777777" w:rsidR="00E54D6D" w:rsidRDefault="00D6330F" w:rsidP="00682503">
      <w:pPr>
        <w:pStyle w:val="1"/>
        <w:rPr>
          <w:rFonts w:ascii="Times New Roman" w:hAnsi="Times New Roman" w:cs="Times New Roman"/>
        </w:rPr>
      </w:pPr>
      <w:r>
        <w:rPr>
          <w:rFonts w:ascii="Times New Roman" w:hAnsi="Times New Roman" w:cs="Times New Roman"/>
        </w:rPr>
        <w:t>DL wideband operation</w:t>
      </w:r>
    </w:p>
    <w:p w14:paraId="3C8FC1BC" w14:textId="5DED2159" w:rsidR="00587FFE" w:rsidRDefault="00890779" w:rsidP="00587FFE">
      <w:pPr>
        <w:pStyle w:val="a0"/>
      </w:pPr>
      <w:r>
        <w:rPr>
          <w:szCs w:val="20"/>
        </w:rPr>
        <w:t xml:space="preserve">The multiple CORESET monitoring is based on the configured CORESET via normal Rel.15 </w:t>
      </w:r>
      <w:proofErr w:type="spellStart"/>
      <w:r w:rsidRPr="00C9109D">
        <w:rPr>
          <w:i/>
        </w:rPr>
        <w:t>frequencyDomainResources</w:t>
      </w:r>
      <w:proofErr w:type="spellEnd"/>
      <w:r>
        <w:rPr>
          <w:i/>
        </w:rPr>
        <w:t xml:space="preserve"> </w:t>
      </w:r>
      <w:r w:rsidRPr="00890779">
        <w:t>CORESET configuration</w:t>
      </w:r>
      <w:r>
        <w:t xml:space="preserve">. The condition is that the configured CORESET has to be confined in one of the LBT </w:t>
      </w:r>
      <w:proofErr w:type="spellStart"/>
      <w:r>
        <w:t>subbands</w:t>
      </w:r>
      <w:proofErr w:type="spellEnd"/>
      <w:r>
        <w:t xml:space="preserve">. When this CORESET is associated with the search space, UE will monitor the shifted CORESET in different </w:t>
      </w:r>
      <w:proofErr w:type="spellStart"/>
      <w:r>
        <w:t>subbands</w:t>
      </w:r>
      <w:proofErr w:type="spellEnd"/>
      <w:r>
        <w:t xml:space="preserve"> at associated search space monitoring occasion</w:t>
      </w:r>
      <w:r w:rsidR="009C65F2">
        <w:t xml:space="preserve">. When CORESET is shifted from the configured LBT </w:t>
      </w:r>
      <w:proofErr w:type="spellStart"/>
      <w:r w:rsidR="009C65F2">
        <w:t>subband</w:t>
      </w:r>
      <w:proofErr w:type="spellEnd"/>
      <w:r w:rsidR="009C65F2">
        <w:t xml:space="preserve"> to the target LBT </w:t>
      </w:r>
      <w:proofErr w:type="spellStart"/>
      <w:r w:rsidR="009C65F2">
        <w:t>subband</w:t>
      </w:r>
      <w:proofErr w:type="spellEnd"/>
      <w:r w:rsidR="009C65F2">
        <w:t xml:space="preserve">, the UE can assume that the shifted CORESET is also confined in the target LBT </w:t>
      </w:r>
      <w:proofErr w:type="spellStart"/>
      <w:r w:rsidR="009C65F2">
        <w:t>subband</w:t>
      </w:r>
      <w:proofErr w:type="spellEnd"/>
      <w:r w:rsidR="009C65F2">
        <w:t xml:space="preserve">. To determine the shifted CORESET position in the target LBT </w:t>
      </w:r>
      <w:proofErr w:type="spellStart"/>
      <w:r w:rsidR="009C65F2">
        <w:t>subband</w:t>
      </w:r>
      <w:proofErr w:type="spellEnd"/>
      <w:r w:rsidR="009C65F2">
        <w:t xml:space="preserve">,  UE can further assume that the RB-level offset between the first PRB of the configured CORESET and </w:t>
      </w:r>
      <w:r w:rsidR="009C65F2">
        <w:lastRenderedPageBreak/>
        <w:t xml:space="preserve">the first PRB of the configured LBT </w:t>
      </w:r>
      <w:proofErr w:type="spellStart"/>
      <w:r w:rsidR="009C65F2">
        <w:t>subband</w:t>
      </w:r>
      <w:proofErr w:type="spellEnd"/>
      <w:r w:rsidR="009C65F2">
        <w:t xml:space="preserve"> remains the same when the CORESET is shifting to other LBT </w:t>
      </w:r>
      <w:proofErr w:type="spellStart"/>
      <w:r w:rsidR="009C65F2">
        <w:t>subband</w:t>
      </w:r>
      <w:proofErr w:type="spellEnd"/>
    </w:p>
    <w:p w14:paraId="33CA0083" w14:textId="010A4344" w:rsidR="00890779" w:rsidRDefault="009C65F2" w:rsidP="00587FFE">
      <w:pPr>
        <w:pStyle w:val="a0"/>
      </w:pPr>
      <w:r w:rsidRPr="007F1617">
        <w:rPr>
          <w:rFonts w:hint="eastAsia"/>
          <w:noProof/>
          <w:lang w:eastAsia="zh-CN"/>
        </w:rPr>
        <w:drawing>
          <wp:inline distT="0" distB="0" distL="0" distR="0" wp14:anchorId="01C33C4F" wp14:editId="697B35A4">
            <wp:extent cx="5760720" cy="119276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192764"/>
                    </a:xfrm>
                    <a:prstGeom prst="rect">
                      <a:avLst/>
                    </a:prstGeom>
                    <a:noFill/>
                    <a:ln>
                      <a:noFill/>
                    </a:ln>
                  </pic:spPr>
                </pic:pic>
              </a:graphicData>
            </a:graphic>
          </wp:inline>
        </w:drawing>
      </w:r>
    </w:p>
    <w:p w14:paraId="74B36034" w14:textId="22611CDF" w:rsidR="009C65F2" w:rsidRDefault="009C65F2" w:rsidP="009C65F2">
      <w:pPr>
        <w:pStyle w:val="a0"/>
        <w:ind w:left="992" w:hangingChars="494" w:hanging="992"/>
        <w:rPr>
          <w:rFonts w:eastAsia="宋体"/>
          <w:b/>
          <w:i/>
          <w:szCs w:val="20"/>
          <w:lang w:eastAsia="zh-CN"/>
        </w:rPr>
      </w:pPr>
      <w:r>
        <w:rPr>
          <w:rFonts w:eastAsia="宋体"/>
          <w:b/>
          <w:i/>
          <w:szCs w:val="20"/>
          <w:lang w:eastAsia="zh-CN"/>
        </w:rPr>
        <w:t>Proposal 1</w:t>
      </w:r>
      <w:r w:rsidRPr="00573580">
        <w:rPr>
          <w:rFonts w:eastAsia="宋体"/>
          <w:b/>
          <w:i/>
          <w:szCs w:val="20"/>
          <w:lang w:eastAsia="zh-CN"/>
        </w:rPr>
        <w:t xml:space="preserve">: </w:t>
      </w:r>
      <w:r>
        <w:rPr>
          <w:rFonts w:eastAsia="宋体"/>
          <w:b/>
          <w:i/>
          <w:szCs w:val="20"/>
          <w:lang w:eastAsia="zh-CN"/>
        </w:rPr>
        <w:t xml:space="preserve">UE determines the shifted CORESET position in the target LBT </w:t>
      </w:r>
      <w:proofErr w:type="spellStart"/>
      <w:r>
        <w:rPr>
          <w:rFonts w:eastAsia="宋体"/>
          <w:b/>
          <w:i/>
          <w:szCs w:val="20"/>
          <w:lang w:eastAsia="zh-CN"/>
        </w:rPr>
        <w:t>subband</w:t>
      </w:r>
      <w:proofErr w:type="spellEnd"/>
      <w:r>
        <w:rPr>
          <w:rFonts w:eastAsia="宋体"/>
          <w:b/>
          <w:i/>
          <w:szCs w:val="20"/>
          <w:lang w:eastAsia="zh-CN"/>
        </w:rPr>
        <w:t xml:space="preserve"> by assuming a fixed offset between the configured CORESET edge and the LBT </w:t>
      </w:r>
      <w:proofErr w:type="spellStart"/>
      <w:r>
        <w:rPr>
          <w:rFonts w:eastAsia="宋体"/>
          <w:b/>
          <w:i/>
          <w:szCs w:val="20"/>
          <w:lang w:eastAsia="zh-CN"/>
        </w:rPr>
        <w:t>subband</w:t>
      </w:r>
      <w:proofErr w:type="spellEnd"/>
      <w:r>
        <w:rPr>
          <w:rFonts w:eastAsia="宋体"/>
          <w:b/>
          <w:i/>
          <w:szCs w:val="20"/>
          <w:lang w:eastAsia="zh-CN"/>
        </w:rPr>
        <w:t xml:space="preserve"> edge in which the configured CORESET is confined.</w:t>
      </w:r>
    </w:p>
    <w:p w14:paraId="67827821" w14:textId="77777777" w:rsidR="00890779" w:rsidRDefault="00890779" w:rsidP="00587FFE">
      <w:pPr>
        <w:pStyle w:val="a0"/>
        <w:rPr>
          <w:szCs w:val="20"/>
        </w:rPr>
      </w:pPr>
    </w:p>
    <w:p w14:paraId="36C5C1D3" w14:textId="20FDA18B" w:rsidR="009C65F2" w:rsidRDefault="005B5513" w:rsidP="005B5513">
      <w:pPr>
        <w:pStyle w:val="1"/>
      </w:pPr>
      <w:r>
        <w:t xml:space="preserve">Intra-carrier </w:t>
      </w:r>
      <w:proofErr w:type="spellStart"/>
      <w:r>
        <w:t>guardband</w:t>
      </w:r>
      <w:proofErr w:type="spellEnd"/>
      <w:r>
        <w:t xml:space="preserve"> </w:t>
      </w:r>
    </w:p>
    <w:p w14:paraId="4148CB3F" w14:textId="77777777" w:rsidR="00A85252" w:rsidRDefault="005B5513" w:rsidP="005B5513">
      <w:pPr>
        <w:pStyle w:val="a0"/>
      </w:pPr>
      <w:r>
        <w:rPr>
          <w:rFonts w:hint="eastAsia"/>
        </w:rPr>
        <w:t>I</w:t>
      </w:r>
      <w:r>
        <w:t>ntra-carrier GB has a RB-level granularity, which can be semi-statically configured</w:t>
      </w:r>
      <w:r w:rsidR="008E3817">
        <w:t xml:space="preserve"> or </w:t>
      </w:r>
      <w:r w:rsidR="00A85252">
        <w:t xml:space="preserve">be determined after the valid RB for each LBT </w:t>
      </w:r>
      <w:proofErr w:type="spellStart"/>
      <w:r w:rsidR="00A85252">
        <w:t>subband</w:t>
      </w:r>
      <w:proofErr w:type="spellEnd"/>
      <w:r w:rsidR="00A85252">
        <w:t xml:space="preserve"> is configured</w:t>
      </w:r>
      <w:r>
        <w:t xml:space="preserve">. </w:t>
      </w:r>
      <w:r w:rsidR="00A85252">
        <w:t>C</w:t>
      </w:r>
      <w:r w:rsidR="00A85252">
        <w:t>onfiguration</w:t>
      </w:r>
      <w:r w:rsidR="00A85252">
        <w:t xml:space="preserve"> of valid RB for each </w:t>
      </w:r>
      <w:proofErr w:type="spellStart"/>
      <w:r w:rsidR="00A85252">
        <w:t>subband</w:t>
      </w:r>
      <w:proofErr w:type="spellEnd"/>
      <w:r w:rsidR="00A85252">
        <w:t xml:space="preserve"> is preferred since this value should also apply with LBT bandwidth availability indication. </w:t>
      </w:r>
    </w:p>
    <w:p w14:paraId="2887B22C" w14:textId="20AA1903" w:rsidR="00B3306B" w:rsidRDefault="005B5513" w:rsidP="005B5513">
      <w:pPr>
        <w:pStyle w:val="a0"/>
      </w:pPr>
      <w:r>
        <w:t xml:space="preserve">This kind of GB is used for prevent from being interfered or interfering the adjacent LBT </w:t>
      </w:r>
      <w:proofErr w:type="spellStart"/>
      <w:r>
        <w:t>subband</w:t>
      </w:r>
      <w:proofErr w:type="spellEnd"/>
      <w:r>
        <w:t xml:space="preserve">, in case the adjacent LBT </w:t>
      </w:r>
      <w:proofErr w:type="spellStart"/>
      <w:r>
        <w:t>subband</w:t>
      </w:r>
      <w:proofErr w:type="spellEnd"/>
      <w:r>
        <w:t xml:space="preserve"> is used by other devices/technologies. On the other hand, when </w:t>
      </w:r>
      <w:bookmarkStart w:id="0" w:name="_GoBack"/>
      <w:bookmarkEnd w:id="0"/>
      <w:r>
        <w:t xml:space="preserve">the adjacent LBT </w:t>
      </w:r>
      <w:proofErr w:type="spellStart"/>
      <w:r>
        <w:t>subband</w:t>
      </w:r>
      <w:proofErr w:type="spellEnd"/>
      <w:r>
        <w:t xml:space="preserve"> is also available for the same transmission the intra-carrier GB between these two LBT </w:t>
      </w:r>
      <w:proofErr w:type="spellStart"/>
      <w:r>
        <w:t>subbands</w:t>
      </w:r>
      <w:proofErr w:type="spellEnd"/>
      <w:r>
        <w:t xml:space="preserve"> can be removed and the data transmission, such as PUSCH transmission can be envisioned on these resources. </w:t>
      </w:r>
    </w:p>
    <w:p w14:paraId="1EC90B5C" w14:textId="77777777" w:rsidR="00B3306B" w:rsidRDefault="00B3306B" w:rsidP="005B5513">
      <w:pPr>
        <w:pStyle w:val="a0"/>
      </w:pPr>
      <w:r>
        <w:t xml:space="preserve">Another remaining issue in this aspect is the configuration of interlace for PUSCH transmission. The interlace structure can be configured in the BWP and starting interlace RB can be configured based on the point A. </w:t>
      </w:r>
    </w:p>
    <w:p w14:paraId="34BE03B9" w14:textId="41EE8AB9" w:rsidR="00B3306B" w:rsidRDefault="00B3306B" w:rsidP="00C7698B">
      <w:pPr>
        <w:pStyle w:val="a0"/>
        <w:ind w:leftChars="-213" w:hangingChars="213" w:hanging="426"/>
      </w:pPr>
      <w:r w:rsidRPr="00B3306B">
        <w:rPr>
          <w:noProof/>
          <w:lang w:eastAsia="zh-CN"/>
        </w:rPr>
        <w:drawing>
          <wp:inline distT="0" distB="0" distL="0" distR="0" wp14:anchorId="472FA824" wp14:editId="71B00CDF">
            <wp:extent cx="6565576" cy="1248507"/>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8556" cy="1254778"/>
                    </a:xfrm>
                    <a:prstGeom prst="rect">
                      <a:avLst/>
                    </a:prstGeom>
                    <a:noFill/>
                    <a:ln>
                      <a:noFill/>
                    </a:ln>
                  </pic:spPr>
                </pic:pic>
              </a:graphicData>
            </a:graphic>
          </wp:inline>
        </w:drawing>
      </w:r>
    </w:p>
    <w:p w14:paraId="05C51534" w14:textId="7A2AC9E9" w:rsidR="005B5513" w:rsidRDefault="00C7698B" w:rsidP="005B5513">
      <w:pPr>
        <w:pStyle w:val="a0"/>
      </w:pPr>
      <w:r>
        <w:t xml:space="preserve">The </w:t>
      </w:r>
      <w:proofErr w:type="spellStart"/>
      <w:r>
        <w:t>gNB</w:t>
      </w:r>
      <w:proofErr w:type="spellEnd"/>
      <w:r>
        <w:t xml:space="preserve"> can configure the GB and the valid RBs for PUSCH transmission. These valid RBs are 51 PRB for 30khz and 106 PRB for 15khz. For FDRA, </w:t>
      </w:r>
      <w:proofErr w:type="spellStart"/>
      <w:r>
        <w:t>gNB</w:t>
      </w:r>
      <w:proofErr w:type="spellEnd"/>
      <w:r>
        <w:t xml:space="preserve"> can only indicate the interlace index and </w:t>
      </w:r>
      <w:proofErr w:type="spellStart"/>
      <w:r>
        <w:t>subband</w:t>
      </w:r>
      <w:proofErr w:type="spellEnd"/>
      <w:r>
        <w:t xml:space="preserve"> index. Thus if two adjacent LBT </w:t>
      </w:r>
      <w:proofErr w:type="spellStart"/>
      <w:r>
        <w:t>subbands</w:t>
      </w:r>
      <w:proofErr w:type="spellEnd"/>
      <w:r>
        <w:t xml:space="preserve"> are allocated for PUSCH transmission, and if the UE has LBT success on both of these two LBT </w:t>
      </w:r>
      <w:proofErr w:type="spellStart"/>
      <w:r>
        <w:t>subbands</w:t>
      </w:r>
      <w:proofErr w:type="spellEnd"/>
      <w:r>
        <w:t xml:space="preserve">, in addition to the allocated interlace RBs in the valid RBs, the UE can also use the RBs of the allocated interlace that overlap with the GB between the LBT </w:t>
      </w:r>
      <w:proofErr w:type="spellStart"/>
      <w:r>
        <w:t>subband</w:t>
      </w:r>
      <w:proofErr w:type="spellEnd"/>
      <w:r>
        <w:t>.</w:t>
      </w:r>
    </w:p>
    <w:p w14:paraId="0F3D4161" w14:textId="42D14879" w:rsidR="00C7698B" w:rsidRDefault="00C7698B" w:rsidP="00C7698B">
      <w:pPr>
        <w:pStyle w:val="a0"/>
        <w:ind w:left="992" w:hangingChars="494" w:hanging="992"/>
        <w:rPr>
          <w:rFonts w:eastAsia="宋体"/>
          <w:b/>
          <w:i/>
          <w:szCs w:val="20"/>
          <w:lang w:eastAsia="zh-CN"/>
        </w:rPr>
      </w:pPr>
      <w:r>
        <w:rPr>
          <w:rFonts w:eastAsia="宋体"/>
          <w:b/>
          <w:i/>
          <w:szCs w:val="20"/>
          <w:lang w:eastAsia="zh-CN"/>
        </w:rPr>
        <w:t>Proposal 2</w:t>
      </w:r>
      <w:r w:rsidRPr="00573580">
        <w:rPr>
          <w:rFonts w:eastAsia="宋体"/>
          <w:b/>
          <w:i/>
          <w:szCs w:val="20"/>
          <w:lang w:eastAsia="zh-CN"/>
        </w:rPr>
        <w:t xml:space="preserve">: </w:t>
      </w:r>
      <w:r>
        <w:rPr>
          <w:rFonts w:eastAsia="宋体"/>
          <w:b/>
          <w:i/>
          <w:szCs w:val="20"/>
          <w:lang w:eastAsia="zh-CN"/>
        </w:rPr>
        <w:t>interlace can be configured within BWP by configuring the starting RB of the interlace 0</w:t>
      </w:r>
    </w:p>
    <w:p w14:paraId="068AF55F" w14:textId="16340F45" w:rsidR="00090A6F" w:rsidRDefault="00C7698B" w:rsidP="00C7698B">
      <w:pPr>
        <w:pStyle w:val="a0"/>
        <w:ind w:left="992" w:hangingChars="494" w:hanging="992"/>
        <w:rPr>
          <w:rFonts w:eastAsia="宋体"/>
          <w:b/>
          <w:i/>
          <w:szCs w:val="20"/>
          <w:lang w:eastAsia="zh-CN"/>
        </w:rPr>
      </w:pPr>
      <w:r>
        <w:rPr>
          <w:rFonts w:eastAsia="宋体"/>
          <w:b/>
          <w:i/>
          <w:szCs w:val="20"/>
          <w:lang w:eastAsia="zh-CN"/>
        </w:rPr>
        <w:t>Proposal 3:</w:t>
      </w:r>
      <w:r w:rsidR="00090A6F">
        <w:rPr>
          <w:rFonts w:eastAsia="宋体"/>
          <w:b/>
          <w:i/>
          <w:szCs w:val="20"/>
          <w:lang w:eastAsia="zh-CN"/>
        </w:rPr>
        <w:t xml:space="preserve"> After </w:t>
      </w:r>
      <w:r w:rsidR="008E3817">
        <w:rPr>
          <w:rFonts w:eastAsia="宋体"/>
          <w:b/>
          <w:i/>
          <w:szCs w:val="20"/>
          <w:lang w:eastAsia="zh-CN"/>
        </w:rPr>
        <w:t>valid RB</w:t>
      </w:r>
      <w:r w:rsidR="008E3817">
        <w:rPr>
          <w:rFonts w:eastAsia="宋体"/>
          <w:b/>
          <w:i/>
          <w:szCs w:val="20"/>
          <w:lang w:eastAsia="zh-CN"/>
        </w:rPr>
        <w:t xml:space="preserve"> </w:t>
      </w:r>
      <w:r w:rsidR="00090A6F">
        <w:rPr>
          <w:rFonts w:eastAsia="宋体"/>
          <w:b/>
          <w:i/>
          <w:szCs w:val="20"/>
          <w:lang w:eastAsia="zh-CN"/>
        </w:rPr>
        <w:t xml:space="preserve">is configured, </w:t>
      </w:r>
      <w:r w:rsidR="008E3817">
        <w:rPr>
          <w:rFonts w:eastAsia="宋体"/>
          <w:b/>
          <w:i/>
          <w:szCs w:val="20"/>
          <w:lang w:eastAsia="zh-CN"/>
        </w:rPr>
        <w:t xml:space="preserve">intra-carrier </w:t>
      </w:r>
      <w:r w:rsidR="008E3817">
        <w:rPr>
          <w:rFonts w:eastAsia="宋体"/>
          <w:b/>
          <w:i/>
          <w:szCs w:val="20"/>
          <w:lang w:eastAsia="zh-CN"/>
        </w:rPr>
        <w:t>GB</w:t>
      </w:r>
      <w:r w:rsidR="00090A6F">
        <w:rPr>
          <w:rFonts w:eastAsia="宋体"/>
          <w:b/>
          <w:i/>
          <w:szCs w:val="20"/>
          <w:lang w:eastAsia="zh-CN"/>
        </w:rPr>
        <w:t xml:space="preserve"> of each LBT </w:t>
      </w:r>
      <w:proofErr w:type="spellStart"/>
      <w:r w:rsidR="00090A6F">
        <w:rPr>
          <w:rFonts w:eastAsia="宋体"/>
          <w:b/>
          <w:i/>
          <w:szCs w:val="20"/>
          <w:lang w:eastAsia="zh-CN"/>
        </w:rPr>
        <w:t>subband</w:t>
      </w:r>
      <w:proofErr w:type="spellEnd"/>
      <w:r w:rsidR="00090A6F">
        <w:rPr>
          <w:rFonts w:eastAsia="宋体"/>
          <w:b/>
          <w:i/>
          <w:szCs w:val="20"/>
          <w:lang w:eastAsia="zh-CN"/>
        </w:rPr>
        <w:t xml:space="preserve"> can be defined </w:t>
      </w:r>
    </w:p>
    <w:p w14:paraId="322B510E" w14:textId="57F7B22E" w:rsidR="00C7698B" w:rsidRDefault="00090A6F" w:rsidP="00C7698B">
      <w:pPr>
        <w:pStyle w:val="a0"/>
        <w:ind w:left="992" w:hangingChars="494" w:hanging="992"/>
        <w:rPr>
          <w:rFonts w:eastAsia="宋体"/>
          <w:b/>
          <w:i/>
          <w:szCs w:val="20"/>
          <w:lang w:eastAsia="zh-CN"/>
        </w:rPr>
      </w:pPr>
      <w:r>
        <w:rPr>
          <w:rFonts w:eastAsia="宋体"/>
          <w:b/>
          <w:i/>
          <w:szCs w:val="20"/>
          <w:lang w:eastAsia="zh-CN"/>
        </w:rPr>
        <w:t xml:space="preserve">Proposal 4: For PUSCH FDRA, the indication of interlace index and LBT </w:t>
      </w:r>
      <w:proofErr w:type="spellStart"/>
      <w:r>
        <w:rPr>
          <w:rFonts w:eastAsia="宋体"/>
          <w:b/>
          <w:i/>
          <w:szCs w:val="20"/>
          <w:lang w:eastAsia="zh-CN"/>
        </w:rPr>
        <w:t>subband</w:t>
      </w:r>
      <w:proofErr w:type="spellEnd"/>
      <w:r>
        <w:rPr>
          <w:rFonts w:eastAsia="宋体"/>
          <w:b/>
          <w:i/>
          <w:szCs w:val="20"/>
          <w:lang w:eastAsia="zh-CN"/>
        </w:rPr>
        <w:t xml:space="preserve"> index is needed</w:t>
      </w:r>
    </w:p>
    <w:p w14:paraId="547B6BD9" w14:textId="18053D0E" w:rsidR="00090A6F" w:rsidRDefault="00090A6F" w:rsidP="00C7698B">
      <w:pPr>
        <w:pStyle w:val="a0"/>
        <w:ind w:left="992" w:hangingChars="494" w:hanging="992"/>
        <w:rPr>
          <w:rFonts w:eastAsia="宋体"/>
          <w:b/>
          <w:i/>
          <w:szCs w:val="20"/>
          <w:lang w:eastAsia="zh-CN"/>
        </w:rPr>
      </w:pPr>
      <w:r>
        <w:rPr>
          <w:rFonts w:eastAsia="宋体"/>
          <w:b/>
          <w:i/>
          <w:szCs w:val="20"/>
          <w:lang w:eastAsia="zh-CN"/>
        </w:rPr>
        <w:t xml:space="preserve">Proposal 5: For PUSCH transmission in single LBT </w:t>
      </w:r>
      <w:proofErr w:type="spellStart"/>
      <w:r>
        <w:rPr>
          <w:rFonts w:eastAsia="宋体"/>
          <w:b/>
          <w:i/>
          <w:szCs w:val="20"/>
          <w:lang w:eastAsia="zh-CN"/>
        </w:rPr>
        <w:t>subband</w:t>
      </w:r>
      <w:proofErr w:type="spellEnd"/>
      <w:r>
        <w:rPr>
          <w:rFonts w:eastAsia="宋体"/>
          <w:b/>
          <w:i/>
          <w:szCs w:val="20"/>
          <w:lang w:eastAsia="zh-CN"/>
        </w:rPr>
        <w:t>, UE transmits the RB of the indicated interlace(s) that overlap with valid RBs</w:t>
      </w:r>
    </w:p>
    <w:p w14:paraId="3E40E565" w14:textId="1E262B70" w:rsidR="00090A6F" w:rsidRDefault="00090A6F" w:rsidP="00090A6F">
      <w:pPr>
        <w:pStyle w:val="a0"/>
        <w:ind w:left="992" w:hangingChars="494" w:hanging="992"/>
        <w:rPr>
          <w:rFonts w:eastAsia="宋体"/>
          <w:b/>
          <w:i/>
          <w:szCs w:val="20"/>
          <w:lang w:eastAsia="zh-CN"/>
        </w:rPr>
      </w:pPr>
      <w:r>
        <w:rPr>
          <w:rFonts w:eastAsia="宋体"/>
          <w:b/>
          <w:i/>
          <w:szCs w:val="20"/>
          <w:lang w:eastAsia="zh-CN"/>
        </w:rPr>
        <w:t xml:space="preserve">Proposal 6: For PUSCH transmission in adjacent LBT </w:t>
      </w:r>
      <w:proofErr w:type="spellStart"/>
      <w:r>
        <w:rPr>
          <w:rFonts w:eastAsia="宋体"/>
          <w:b/>
          <w:i/>
          <w:szCs w:val="20"/>
          <w:lang w:eastAsia="zh-CN"/>
        </w:rPr>
        <w:t>subbands</w:t>
      </w:r>
      <w:proofErr w:type="spellEnd"/>
      <w:r>
        <w:rPr>
          <w:rFonts w:eastAsia="宋体"/>
          <w:b/>
          <w:i/>
          <w:szCs w:val="20"/>
          <w:lang w:eastAsia="zh-CN"/>
        </w:rPr>
        <w:t xml:space="preserve">, UE transmits the RB of the indicated interlace(s) that overlap with valid RBs and also with the intra-carrier GB between the transmitted LBT </w:t>
      </w:r>
      <w:proofErr w:type="spellStart"/>
      <w:r>
        <w:rPr>
          <w:rFonts w:eastAsia="宋体"/>
          <w:b/>
          <w:i/>
          <w:szCs w:val="20"/>
          <w:lang w:eastAsia="zh-CN"/>
        </w:rPr>
        <w:t>subbands</w:t>
      </w:r>
      <w:proofErr w:type="spellEnd"/>
    </w:p>
    <w:p w14:paraId="75E87EC3" w14:textId="0597D073" w:rsidR="00E54D6D" w:rsidRPr="00A86AE4" w:rsidRDefault="00E54D6D" w:rsidP="00E54D6D">
      <w:pPr>
        <w:pStyle w:val="a0"/>
        <w:rPr>
          <w:rFonts w:eastAsia="宋体"/>
          <w:b/>
          <w:i/>
          <w:szCs w:val="20"/>
          <w:lang w:eastAsia="zh-CN"/>
        </w:rPr>
      </w:pPr>
    </w:p>
    <w:p w14:paraId="287DAD6F"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Conclusions</w:t>
      </w:r>
    </w:p>
    <w:p w14:paraId="78734979" w14:textId="77777777" w:rsidR="00E54D6D" w:rsidRPr="00A86AE4" w:rsidRDefault="00E54D6D" w:rsidP="00E54D6D">
      <w:pPr>
        <w:pStyle w:val="a0"/>
        <w:rPr>
          <w:rFonts w:eastAsia="宋体"/>
          <w:szCs w:val="20"/>
          <w:lang w:eastAsia="zh-CN"/>
        </w:rPr>
      </w:pPr>
      <w:r w:rsidRPr="00A86AE4">
        <w:rPr>
          <w:rFonts w:eastAsia="宋体"/>
          <w:szCs w:val="20"/>
          <w:lang w:eastAsia="zh-CN"/>
        </w:rPr>
        <w:t>This contribution mainly discusses wideband operation for NR-U, and the following proposals are made.</w:t>
      </w:r>
    </w:p>
    <w:p w14:paraId="5D47F725" w14:textId="77777777" w:rsidR="00632C39" w:rsidRDefault="00632C39" w:rsidP="00632C39">
      <w:pPr>
        <w:pStyle w:val="a0"/>
        <w:ind w:left="992" w:hangingChars="494" w:hanging="992"/>
        <w:rPr>
          <w:rFonts w:eastAsia="宋体"/>
          <w:b/>
          <w:i/>
          <w:szCs w:val="20"/>
          <w:lang w:eastAsia="zh-CN"/>
        </w:rPr>
      </w:pPr>
      <w:r>
        <w:rPr>
          <w:rFonts w:eastAsia="宋体"/>
          <w:b/>
          <w:i/>
          <w:szCs w:val="20"/>
          <w:lang w:eastAsia="zh-CN"/>
        </w:rPr>
        <w:lastRenderedPageBreak/>
        <w:t>Proposal 1</w:t>
      </w:r>
      <w:r w:rsidRPr="00573580">
        <w:rPr>
          <w:rFonts w:eastAsia="宋体"/>
          <w:b/>
          <w:i/>
          <w:szCs w:val="20"/>
          <w:lang w:eastAsia="zh-CN"/>
        </w:rPr>
        <w:t xml:space="preserve">: </w:t>
      </w:r>
      <w:r>
        <w:rPr>
          <w:rFonts w:eastAsia="宋体"/>
          <w:b/>
          <w:i/>
          <w:szCs w:val="20"/>
          <w:lang w:eastAsia="zh-CN"/>
        </w:rPr>
        <w:t xml:space="preserve">UE determines the shifted CORESET position in the target LBT </w:t>
      </w:r>
      <w:proofErr w:type="spellStart"/>
      <w:r>
        <w:rPr>
          <w:rFonts w:eastAsia="宋体"/>
          <w:b/>
          <w:i/>
          <w:szCs w:val="20"/>
          <w:lang w:eastAsia="zh-CN"/>
        </w:rPr>
        <w:t>subband</w:t>
      </w:r>
      <w:proofErr w:type="spellEnd"/>
      <w:r>
        <w:rPr>
          <w:rFonts w:eastAsia="宋体"/>
          <w:b/>
          <w:i/>
          <w:szCs w:val="20"/>
          <w:lang w:eastAsia="zh-CN"/>
        </w:rPr>
        <w:t xml:space="preserve"> by assuming a fixed offset between the configured CORESET edge and the LBT </w:t>
      </w:r>
      <w:proofErr w:type="spellStart"/>
      <w:r>
        <w:rPr>
          <w:rFonts w:eastAsia="宋体"/>
          <w:b/>
          <w:i/>
          <w:szCs w:val="20"/>
          <w:lang w:eastAsia="zh-CN"/>
        </w:rPr>
        <w:t>subband</w:t>
      </w:r>
      <w:proofErr w:type="spellEnd"/>
      <w:r>
        <w:rPr>
          <w:rFonts w:eastAsia="宋体"/>
          <w:b/>
          <w:i/>
          <w:szCs w:val="20"/>
          <w:lang w:eastAsia="zh-CN"/>
        </w:rPr>
        <w:t xml:space="preserve"> edge in which the configured CORESET is confined.</w:t>
      </w:r>
    </w:p>
    <w:p w14:paraId="298D2BB0" w14:textId="77777777" w:rsidR="00632C39" w:rsidRDefault="00632C39" w:rsidP="00632C39">
      <w:pPr>
        <w:pStyle w:val="a0"/>
        <w:ind w:left="992" w:hangingChars="494" w:hanging="992"/>
        <w:rPr>
          <w:rFonts w:eastAsia="宋体"/>
          <w:b/>
          <w:i/>
          <w:szCs w:val="20"/>
          <w:lang w:eastAsia="zh-CN"/>
        </w:rPr>
      </w:pPr>
      <w:r>
        <w:rPr>
          <w:rFonts w:eastAsia="宋体"/>
          <w:b/>
          <w:i/>
          <w:szCs w:val="20"/>
          <w:lang w:eastAsia="zh-CN"/>
        </w:rPr>
        <w:t>Proposal 2</w:t>
      </w:r>
      <w:r w:rsidRPr="00573580">
        <w:rPr>
          <w:rFonts w:eastAsia="宋体"/>
          <w:b/>
          <w:i/>
          <w:szCs w:val="20"/>
          <w:lang w:eastAsia="zh-CN"/>
        </w:rPr>
        <w:t xml:space="preserve">: </w:t>
      </w:r>
      <w:r>
        <w:rPr>
          <w:rFonts w:eastAsia="宋体"/>
          <w:b/>
          <w:i/>
          <w:szCs w:val="20"/>
          <w:lang w:eastAsia="zh-CN"/>
        </w:rPr>
        <w:t>interlace can be configured within BWP by configuring the starting RB of the interlace 0</w:t>
      </w:r>
    </w:p>
    <w:p w14:paraId="27D1C30D" w14:textId="706D06F2" w:rsidR="00632C39" w:rsidRDefault="00632C39" w:rsidP="00632C39">
      <w:pPr>
        <w:pStyle w:val="a0"/>
        <w:ind w:left="992" w:hangingChars="494" w:hanging="992"/>
        <w:rPr>
          <w:rFonts w:eastAsia="宋体"/>
          <w:b/>
          <w:i/>
          <w:szCs w:val="20"/>
          <w:lang w:eastAsia="zh-CN"/>
        </w:rPr>
      </w:pPr>
      <w:r>
        <w:rPr>
          <w:rFonts w:eastAsia="宋体"/>
          <w:b/>
          <w:i/>
          <w:szCs w:val="20"/>
          <w:lang w:eastAsia="zh-CN"/>
        </w:rPr>
        <w:t xml:space="preserve">Proposal 3: </w:t>
      </w:r>
      <w:r w:rsidR="008E3817">
        <w:rPr>
          <w:rFonts w:eastAsia="宋体"/>
          <w:b/>
          <w:i/>
          <w:szCs w:val="20"/>
          <w:lang w:eastAsia="zh-CN"/>
        </w:rPr>
        <w:t xml:space="preserve">After valid RB is configured, intra-carrier GB of each LBT </w:t>
      </w:r>
      <w:proofErr w:type="spellStart"/>
      <w:r w:rsidR="008E3817">
        <w:rPr>
          <w:rFonts w:eastAsia="宋体"/>
          <w:b/>
          <w:i/>
          <w:szCs w:val="20"/>
          <w:lang w:eastAsia="zh-CN"/>
        </w:rPr>
        <w:t>subband</w:t>
      </w:r>
      <w:proofErr w:type="spellEnd"/>
      <w:r w:rsidR="008E3817">
        <w:rPr>
          <w:rFonts w:eastAsia="宋体"/>
          <w:b/>
          <w:i/>
          <w:szCs w:val="20"/>
          <w:lang w:eastAsia="zh-CN"/>
        </w:rPr>
        <w:t xml:space="preserve"> can be defined</w:t>
      </w:r>
      <w:r w:rsidR="008E3817" w:rsidDel="008E3817">
        <w:rPr>
          <w:rFonts w:eastAsia="宋体"/>
          <w:b/>
          <w:i/>
          <w:szCs w:val="20"/>
          <w:lang w:eastAsia="zh-CN"/>
        </w:rPr>
        <w:t xml:space="preserve"> </w:t>
      </w:r>
    </w:p>
    <w:p w14:paraId="35348178" w14:textId="77777777" w:rsidR="00632C39" w:rsidRDefault="00632C39" w:rsidP="00632C39">
      <w:pPr>
        <w:pStyle w:val="a0"/>
        <w:ind w:left="992" w:hangingChars="494" w:hanging="992"/>
        <w:rPr>
          <w:rFonts w:eastAsia="宋体"/>
          <w:b/>
          <w:i/>
          <w:szCs w:val="20"/>
          <w:lang w:eastAsia="zh-CN"/>
        </w:rPr>
      </w:pPr>
      <w:r>
        <w:rPr>
          <w:rFonts w:eastAsia="宋体"/>
          <w:b/>
          <w:i/>
          <w:szCs w:val="20"/>
          <w:lang w:eastAsia="zh-CN"/>
        </w:rPr>
        <w:t xml:space="preserve">Proposal 4: For PUSCH FDRA, the indication of interlace index and LBT </w:t>
      </w:r>
      <w:proofErr w:type="spellStart"/>
      <w:r>
        <w:rPr>
          <w:rFonts w:eastAsia="宋体"/>
          <w:b/>
          <w:i/>
          <w:szCs w:val="20"/>
          <w:lang w:eastAsia="zh-CN"/>
        </w:rPr>
        <w:t>subband</w:t>
      </w:r>
      <w:proofErr w:type="spellEnd"/>
      <w:r>
        <w:rPr>
          <w:rFonts w:eastAsia="宋体"/>
          <w:b/>
          <w:i/>
          <w:szCs w:val="20"/>
          <w:lang w:eastAsia="zh-CN"/>
        </w:rPr>
        <w:t xml:space="preserve"> index is needed</w:t>
      </w:r>
    </w:p>
    <w:p w14:paraId="3A57B7D4" w14:textId="77777777" w:rsidR="00632C39" w:rsidRDefault="00632C39" w:rsidP="00632C39">
      <w:pPr>
        <w:pStyle w:val="a0"/>
        <w:ind w:left="992" w:hangingChars="494" w:hanging="992"/>
        <w:rPr>
          <w:rFonts w:eastAsia="宋体"/>
          <w:b/>
          <w:i/>
          <w:szCs w:val="20"/>
          <w:lang w:eastAsia="zh-CN"/>
        </w:rPr>
      </w:pPr>
      <w:r>
        <w:rPr>
          <w:rFonts w:eastAsia="宋体"/>
          <w:b/>
          <w:i/>
          <w:szCs w:val="20"/>
          <w:lang w:eastAsia="zh-CN"/>
        </w:rPr>
        <w:t xml:space="preserve">Proposal 5: For PUSCH transmission in single LBT </w:t>
      </w:r>
      <w:proofErr w:type="spellStart"/>
      <w:r>
        <w:rPr>
          <w:rFonts w:eastAsia="宋体"/>
          <w:b/>
          <w:i/>
          <w:szCs w:val="20"/>
          <w:lang w:eastAsia="zh-CN"/>
        </w:rPr>
        <w:t>subband</w:t>
      </w:r>
      <w:proofErr w:type="spellEnd"/>
      <w:r>
        <w:rPr>
          <w:rFonts w:eastAsia="宋体"/>
          <w:b/>
          <w:i/>
          <w:szCs w:val="20"/>
          <w:lang w:eastAsia="zh-CN"/>
        </w:rPr>
        <w:t>, UE transmits the RB of the indicated interlace(s) that overlap with valid RBs</w:t>
      </w:r>
    </w:p>
    <w:p w14:paraId="523414AF" w14:textId="77777777" w:rsidR="00632C39" w:rsidRDefault="00632C39" w:rsidP="00632C39">
      <w:pPr>
        <w:pStyle w:val="a0"/>
        <w:ind w:left="992" w:hangingChars="494" w:hanging="992"/>
        <w:rPr>
          <w:rFonts w:eastAsia="宋体"/>
          <w:b/>
          <w:i/>
          <w:szCs w:val="20"/>
          <w:lang w:eastAsia="zh-CN"/>
        </w:rPr>
      </w:pPr>
      <w:r>
        <w:rPr>
          <w:rFonts w:eastAsia="宋体"/>
          <w:b/>
          <w:i/>
          <w:szCs w:val="20"/>
          <w:lang w:eastAsia="zh-CN"/>
        </w:rPr>
        <w:t xml:space="preserve">Proposal 6: For PUSCH transmission in adjacent LBT </w:t>
      </w:r>
      <w:proofErr w:type="spellStart"/>
      <w:r>
        <w:rPr>
          <w:rFonts w:eastAsia="宋体"/>
          <w:b/>
          <w:i/>
          <w:szCs w:val="20"/>
          <w:lang w:eastAsia="zh-CN"/>
        </w:rPr>
        <w:t>subbands</w:t>
      </w:r>
      <w:proofErr w:type="spellEnd"/>
      <w:r>
        <w:rPr>
          <w:rFonts w:eastAsia="宋体"/>
          <w:b/>
          <w:i/>
          <w:szCs w:val="20"/>
          <w:lang w:eastAsia="zh-CN"/>
        </w:rPr>
        <w:t xml:space="preserve">, UE transmits the RB of the indicated interlace(s) that overlap with valid RBs and also with the intra-carrier GB between the transmitted LBT </w:t>
      </w:r>
      <w:proofErr w:type="spellStart"/>
      <w:r>
        <w:rPr>
          <w:rFonts w:eastAsia="宋体"/>
          <w:b/>
          <w:i/>
          <w:szCs w:val="20"/>
          <w:lang w:eastAsia="zh-CN"/>
        </w:rPr>
        <w:t>subbands</w:t>
      </w:r>
      <w:proofErr w:type="spellEnd"/>
    </w:p>
    <w:p w14:paraId="05211101"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References</w:t>
      </w:r>
    </w:p>
    <w:p w14:paraId="60960A95" w14:textId="4E24A497" w:rsidR="00E54D6D" w:rsidRPr="00A86AE4" w:rsidRDefault="00610BE2" w:rsidP="00672ED8">
      <w:pPr>
        <w:pStyle w:val="a5"/>
        <w:numPr>
          <w:ilvl w:val="0"/>
          <w:numId w:val="5"/>
        </w:numPr>
        <w:spacing w:after="120"/>
        <w:rPr>
          <w:sz w:val="22"/>
          <w:szCs w:val="22"/>
        </w:rPr>
      </w:pPr>
      <w:r>
        <w:rPr>
          <w:szCs w:val="20"/>
        </w:rPr>
        <w:t>Chairman notes RAN1#98bis</w:t>
      </w:r>
    </w:p>
    <w:p w14:paraId="7720F14F" w14:textId="77777777" w:rsidR="00A037A6" w:rsidRPr="00A86AE4" w:rsidRDefault="00A037A6" w:rsidP="00F42457"/>
    <w:sectPr w:rsidR="00A037A6" w:rsidRPr="00A86AE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64E50" w14:textId="77777777" w:rsidR="00EE6375" w:rsidRDefault="00EE6375">
      <w:r>
        <w:separator/>
      </w:r>
    </w:p>
  </w:endnote>
  <w:endnote w:type="continuationSeparator" w:id="0">
    <w:p w14:paraId="5E4DFBA0" w14:textId="77777777" w:rsidR="00EE6375" w:rsidRDefault="00EE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4F1C3" w14:textId="77777777" w:rsidR="00EE6375" w:rsidRDefault="00EE6375">
      <w:r>
        <w:separator/>
      </w:r>
    </w:p>
  </w:footnote>
  <w:footnote w:type="continuationSeparator" w:id="0">
    <w:p w14:paraId="3075CF41" w14:textId="77777777" w:rsidR="00EE6375" w:rsidRDefault="00EE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8779D" w14:textId="77777777" w:rsidR="00BB2429" w:rsidRDefault="00BB2429" w:rsidP="00BB242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D1FA7"/>
    <w:multiLevelType w:val="hybridMultilevel"/>
    <w:tmpl w:val="0DC8FC22"/>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7E68BA"/>
    <w:multiLevelType w:val="hybridMultilevel"/>
    <w:tmpl w:val="079E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3D535BBF"/>
    <w:multiLevelType w:val="hybridMultilevel"/>
    <w:tmpl w:val="E048C96C"/>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D3A49"/>
    <w:multiLevelType w:val="hybridMultilevel"/>
    <w:tmpl w:val="623E7216"/>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3D7E21"/>
    <w:multiLevelType w:val="hybridMultilevel"/>
    <w:tmpl w:val="3552FB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32FEA0A4"/>
    <w:lvl w:ilvl="0">
      <w:start w:val="1"/>
      <w:numFmt w:val="decimal"/>
      <w:pStyle w:val="1"/>
      <w:lvlText w:val="%1."/>
      <w:lvlJc w:val="left"/>
      <w:pPr>
        <w:tabs>
          <w:tab w:val="num" w:pos="3261"/>
        </w:tabs>
        <w:ind w:left="3261"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6"/>
  </w:num>
  <w:num w:numId="6">
    <w:abstractNumId w:val="0"/>
  </w:num>
  <w:num w:numId="7">
    <w:abstractNumId w:val="14"/>
  </w:num>
  <w:num w:numId="8">
    <w:abstractNumId w:val="13"/>
  </w:num>
  <w:num w:numId="9">
    <w:abstractNumId w:val="18"/>
  </w:num>
  <w:num w:numId="10">
    <w:abstractNumId w:val="16"/>
  </w:num>
  <w:num w:numId="11">
    <w:abstractNumId w:val="22"/>
  </w:num>
  <w:num w:numId="12">
    <w:abstractNumId w:val="3"/>
  </w:num>
  <w:num w:numId="13">
    <w:abstractNumId w:val="4"/>
  </w:num>
  <w:num w:numId="14">
    <w:abstractNumId w:val="2"/>
  </w:num>
  <w:num w:numId="15">
    <w:abstractNumId w:val="20"/>
  </w:num>
  <w:num w:numId="16">
    <w:abstractNumId w:val="5"/>
  </w:num>
  <w:num w:numId="17">
    <w:abstractNumId w:val="10"/>
  </w:num>
  <w:num w:numId="18">
    <w:abstractNumId w:val="17"/>
  </w:num>
  <w:num w:numId="19">
    <w:abstractNumId w:val="15"/>
  </w:num>
  <w:num w:numId="20">
    <w:abstractNumId w:val="1"/>
  </w:num>
  <w:num w:numId="21">
    <w:abstractNumId w:val="19"/>
  </w:num>
  <w:num w:numId="22">
    <w:abstractNumId w:val="12"/>
  </w:num>
  <w:num w:numId="23">
    <w:abstractNumId w:val="7"/>
  </w:num>
  <w:num w:numId="24">
    <w:abstractNumId w:val="9"/>
  </w:num>
  <w:num w:numId="25">
    <w:abstractNumId w:val="23"/>
  </w:num>
  <w:num w:numId="26">
    <w:abstractNumId w:val="2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0485D"/>
    <w:rsid w:val="0001659A"/>
    <w:rsid w:val="000205F5"/>
    <w:rsid w:val="00030E94"/>
    <w:rsid w:val="00034984"/>
    <w:rsid w:val="00045BBD"/>
    <w:rsid w:val="00053010"/>
    <w:rsid w:val="000541FE"/>
    <w:rsid w:val="00065B44"/>
    <w:rsid w:val="00090A6F"/>
    <w:rsid w:val="000E0D13"/>
    <w:rsid w:val="000E425D"/>
    <w:rsid w:val="000F39CE"/>
    <w:rsid w:val="000F799D"/>
    <w:rsid w:val="00140F9A"/>
    <w:rsid w:val="00171FE5"/>
    <w:rsid w:val="0018370A"/>
    <w:rsid w:val="001E03FD"/>
    <w:rsid w:val="00215DD1"/>
    <w:rsid w:val="00227BAB"/>
    <w:rsid w:val="002621D3"/>
    <w:rsid w:val="00273589"/>
    <w:rsid w:val="002754A3"/>
    <w:rsid w:val="00282C49"/>
    <w:rsid w:val="002C38E7"/>
    <w:rsid w:val="002E3676"/>
    <w:rsid w:val="002F16FF"/>
    <w:rsid w:val="002F333C"/>
    <w:rsid w:val="003222B8"/>
    <w:rsid w:val="00353EB7"/>
    <w:rsid w:val="00382E61"/>
    <w:rsid w:val="003C5739"/>
    <w:rsid w:val="003E0497"/>
    <w:rsid w:val="003E7E48"/>
    <w:rsid w:val="00404BF3"/>
    <w:rsid w:val="00414F66"/>
    <w:rsid w:val="0043100C"/>
    <w:rsid w:val="00441DF4"/>
    <w:rsid w:val="00443956"/>
    <w:rsid w:val="00491A39"/>
    <w:rsid w:val="00513EEE"/>
    <w:rsid w:val="00520312"/>
    <w:rsid w:val="00543AC7"/>
    <w:rsid w:val="00544B5C"/>
    <w:rsid w:val="005525B7"/>
    <w:rsid w:val="00552C58"/>
    <w:rsid w:val="00573580"/>
    <w:rsid w:val="00587FFE"/>
    <w:rsid w:val="005950F2"/>
    <w:rsid w:val="005B5513"/>
    <w:rsid w:val="005C0287"/>
    <w:rsid w:val="005C5138"/>
    <w:rsid w:val="005E5AFD"/>
    <w:rsid w:val="005F26E7"/>
    <w:rsid w:val="00610BE2"/>
    <w:rsid w:val="00632C39"/>
    <w:rsid w:val="00633777"/>
    <w:rsid w:val="006424E9"/>
    <w:rsid w:val="00672ED8"/>
    <w:rsid w:val="00682503"/>
    <w:rsid w:val="006860FC"/>
    <w:rsid w:val="00687CB7"/>
    <w:rsid w:val="00696900"/>
    <w:rsid w:val="007072E6"/>
    <w:rsid w:val="007217AF"/>
    <w:rsid w:val="0072503C"/>
    <w:rsid w:val="007425A1"/>
    <w:rsid w:val="00760E17"/>
    <w:rsid w:val="0076465C"/>
    <w:rsid w:val="007E1189"/>
    <w:rsid w:val="007E42D4"/>
    <w:rsid w:val="00830C3A"/>
    <w:rsid w:val="0086453D"/>
    <w:rsid w:val="00890779"/>
    <w:rsid w:val="00892049"/>
    <w:rsid w:val="008E171B"/>
    <w:rsid w:val="008E3817"/>
    <w:rsid w:val="009341F9"/>
    <w:rsid w:val="009617A2"/>
    <w:rsid w:val="00991B25"/>
    <w:rsid w:val="00992D71"/>
    <w:rsid w:val="009A3AC3"/>
    <w:rsid w:val="009C65F2"/>
    <w:rsid w:val="009E2425"/>
    <w:rsid w:val="009E7885"/>
    <w:rsid w:val="009F153C"/>
    <w:rsid w:val="00A037A6"/>
    <w:rsid w:val="00A06C28"/>
    <w:rsid w:val="00A212C4"/>
    <w:rsid w:val="00A24569"/>
    <w:rsid w:val="00A2536D"/>
    <w:rsid w:val="00A85252"/>
    <w:rsid w:val="00A86AE4"/>
    <w:rsid w:val="00A905AF"/>
    <w:rsid w:val="00AB0DF2"/>
    <w:rsid w:val="00B006AC"/>
    <w:rsid w:val="00B207E8"/>
    <w:rsid w:val="00B219E4"/>
    <w:rsid w:val="00B3306B"/>
    <w:rsid w:val="00B3459E"/>
    <w:rsid w:val="00B36339"/>
    <w:rsid w:val="00B62A76"/>
    <w:rsid w:val="00B675BE"/>
    <w:rsid w:val="00B77BE5"/>
    <w:rsid w:val="00B809F4"/>
    <w:rsid w:val="00BB2429"/>
    <w:rsid w:val="00BC4766"/>
    <w:rsid w:val="00BD52C0"/>
    <w:rsid w:val="00BE188C"/>
    <w:rsid w:val="00BE2985"/>
    <w:rsid w:val="00C120A2"/>
    <w:rsid w:val="00C17D29"/>
    <w:rsid w:val="00C20306"/>
    <w:rsid w:val="00C23CFC"/>
    <w:rsid w:val="00C32149"/>
    <w:rsid w:val="00C42D76"/>
    <w:rsid w:val="00C52F33"/>
    <w:rsid w:val="00C72B05"/>
    <w:rsid w:val="00C7698B"/>
    <w:rsid w:val="00C84D3C"/>
    <w:rsid w:val="00C873DF"/>
    <w:rsid w:val="00CD2239"/>
    <w:rsid w:val="00CD628B"/>
    <w:rsid w:val="00CF5328"/>
    <w:rsid w:val="00D00EA8"/>
    <w:rsid w:val="00D05D8C"/>
    <w:rsid w:val="00D62E94"/>
    <w:rsid w:val="00D6330F"/>
    <w:rsid w:val="00D85F47"/>
    <w:rsid w:val="00D97F7B"/>
    <w:rsid w:val="00DF6A2B"/>
    <w:rsid w:val="00E04A33"/>
    <w:rsid w:val="00E14042"/>
    <w:rsid w:val="00E152D5"/>
    <w:rsid w:val="00E54D6D"/>
    <w:rsid w:val="00E92744"/>
    <w:rsid w:val="00E94C11"/>
    <w:rsid w:val="00EA0E6C"/>
    <w:rsid w:val="00EA46FA"/>
    <w:rsid w:val="00EB2E4C"/>
    <w:rsid w:val="00EC5FB9"/>
    <w:rsid w:val="00ED79FA"/>
    <w:rsid w:val="00EE6375"/>
    <w:rsid w:val="00EF3FAD"/>
    <w:rsid w:val="00F06A3E"/>
    <w:rsid w:val="00F13708"/>
    <w:rsid w:val="00F42457"/>
    <w:rsid w:val="00F51FBB"/>
    <w:rsid w:val="00F777ED"/>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843DD"/>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tabs>
        <w:tab w:val="clear" w:pos="3261"/>
        <w:tab w:val="num" w:pos="567"/>
      </w:tabs>
      <w:spacing w:before="240" w:after="60"/>
      <w:ind w:left="567"/>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 w:type="paragraph" w:styleId="a8">
    <w:name w:val="footer"/>
    <w:basedOn w:val="a"/>
    <w:link w:val="Char2"/>
    <w:uiPriority w:val="99"/>
    <w:unhideWhenUsed/>
    <w:rsid w:val="00520312"/>
    <w:pPr>
      <w:tabs>
        <w:tab w:val="center" w:pos="4320"/>
        <w:tab w:val="right" w:pos="8640"/>
      </w:tabs>
    </w:pPr>
  </w:style>
  <w:style w:type="character" w:customStyle="1" w:styleId="Char2">
    <w:name w:val="页脚 Char"/>
    <w:basedOn w:val="a1"/>
    <w:link w:val="a8"/>
    <w:uiPriority w:val="99"/>
    <w:rsid w:val="00520312"/>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EB2E4C"/>
    <w:rPr>
      <w:rFonts w:ascii="Microsoft YaHei UI" w:eastAsia="Microsoft YaHei UI"/>
      <w:sz w:val="18"/>
      <w:szCs w:val="18"/>
    </w:rPr>
  </w:style>
  <w:style w:type="character" w:customStyle="1" w:styleId="Char3">
    <w:name w:val="批注框文本 Char"/>
    <w:basedOn w:val="a1"/>
    <w:link w:val="a9"/>
    <w:uiPriority w:val="99"/>
    <w:semiHidden/>
    <w:rsid w:val="00EB2E4C"/>
    <w:rPr>
      <w:rFonts w:ascii="Microsoft YaHei UI" w:eastAsia="Microsoft YaHei UI" w:hAnsi="Times New Roman" w:cs="Times New Roman"/>
      <w:kern w:val="0"/>
      <w:sz w:val="18"/>
      <w:szCs w:val="18"/>
      <w:lang w:eastAsia="en-US"/>
    </w:rPr>
  </w:style>
  <w:style w:type="paragraph" w:styleId="aa">
    <w:name w:val="Revision"/>
    <w:hidden/>
    <w:uiPriority w:val="99"/>
    <w:semiHidden/>
    <w:rsid w:val="00030E94"/>
    <w:rPr>
      <w:rFonts w:ascii="Times New Roman" w:eastAsia="Times New Roman" w:hAnsi="Times New Roman" w:cs="Times New Roman"/>
      <w:kern w:val="0"/>
      <w:sz w:val="20"/>
      <w:szCs w:val="24"/>
      <w:lang w:eastAsia="en-US"/>
    </w:rPr>
  </w:style>
  <w:style w:type="table" w:styleId="ab">
    <w:name w:val="Table Grid"/>
    <w:basedOn w:val="a2"/>
    <w:uiPriority w:val="39"/>
    <w:rsid w:val="007E42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Grid Table 5 Dark Accent 6"/>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3-2">
    <w:name w:val="Grid Table 3 Accent 2"/>
    <w:basedOn w:val="a2"/>
    <w:uiPriority w:val="48"/>
    <w:rsid w:val="007E42D4"/>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4-5">
    <w:name w:val="Grid Table 4 Accent 5"/>
    <w:basedOn w:val="a2"/>
    <w:uiPriority w:val="49"/>
    <w:rsid w:val="007E42D4"/>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4">
    <w:name w:val="Grid Table 5 Dark Accent 4"/>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1-6">
    <w:name w:val="Grid Table 1 Light Accent 6"/>
    <w:basedOn w:val="a2"/>
    <w:uiPriority w:val="46"/>
    <w:rsid w:val="007E42D4"/>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6">
    <w:name w:val="Grid Table 2 Accent 6"/>
    <w:basedOn w:val="a2"/>
    <w:uiPriority w:val="47"/>
    <w:rsid w:val="009E7885"/>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Grid Table 2"/>
    <w:basedOn w:val="a2"/>
    <w:uiPriority w:val="47"/>
    <w:rsid w:val="009E7885"/>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c">
    <w:name w:val="Grid Table Light"/>
    <w:basedOn w:val="a2"/>
    <w:uiPriority w:val="40"/>
    <w:rsid w:val="009E788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0">
    <w:name w:val="Plain Table 1"/>
    <w:basedOn w:val="a2"/>
    <w:uiPriority w:val="41"/>
    <w:rsid w:val="009E7885"/>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Grid Table 5 Dark Accent 5"/>
    <w:basedOn w:val="a2"/>
    <w:uiPriority w:val="50"/>
    <w:rsid w:val="00F06A3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d">
    <w:name w:val="annotation reference"/>
    <w:basedOn w:val="a1"/>
    <w:semiHidden/>
    <w:unhideWhenUsed/>
    <w:qFormat/>
    <w:rsid w:val="00573580"/>
    <w:rPr>
      <w:sz w:val="21"/>
      <w:szCs w:val="21"/>
    </w:rPr>
  </w:style>
  <w:style w:type="paragraph" w:styleId="ae">
    <w:name w:val="annotation text"/>
    <w:basedOn w:val="a"/>
    <w:link w:val="Char4"/>
    <w:unhideWhenUsed/>
    <w:qFormat/>
    <w:rsid w:val="00573580"/>
  </w:style>
  <w:style w:type="character" w:customStyle="1" w:styleId="Char4">
    <w:name w:val="批注文字 Char"/>
    <w:basedOn w:val="a1"/>
    <w:link w:val="ae"/>
    <w:qFormat/>
    <w:rsid w:val="00573580"/>
    <w:rPr>
      <w:rFonts w:ascii="Times New Roman" w:eastAsia="Times New Roman" w:hAnsi="Times New Roman" w:cs="Times New Roman"/>
      <w:kern w:val="0"/>
      <w:sz w:val="20"/>
      <w:szCs w:val="24"/>
      <w:lang w:eastAsia="en-US"/>
    </w:rPr>
  </w:style>
  <w:style w:type="paragraph" w:styleId="af">
    <w:name w:val="annotation subject"/>
    <w:basedOn w:val="ae"/>
    <w:next w:val="ae"/>
    <w:link w:val="Char5"/>
    <w:uiPriority w:val="99"/>
    <w:semiHidden/>
    <w:unhideWhenUsed/>
    <w:rsid w:val="00573580"/>
    <w:rPr>
      <w:b/>
      <w:bCs/>
    </w:rPr>
  </w:style>
  <w:style w:type="character" w:customStyle="1" w:styleId="Char5">
    <w:name w:val="批注主题 Char"/>
    <w:basedOn w:val="Char4"/>
    <w:link w:val="af"/>
    <w:uiPriority w:val="99"/>
    <w:semiHidden/>
    <w:rsid w:val="00573580"/>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975</Words>
  <Characters>5563</Characters>
  <Application>Microsoft Office Word</Application>
  <DocSecurity>0</DocSecurity>
  <Lines>46</Lines>
  <Paragraphs>13</Paragraphs>
  <ScaleCrop>false</ScaleCrop>
  <Company>oppo</Company>
  <LinksUpToDate>false</LinksUpToDate>
  <CharactersWithSpaces>6525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7</cp:revision>
  <dcterms:created xsi:type="dcterms:W3CDTF">2019-11-08T14:02:00Z</dcterms:created>
  <dcterms:modified xsi:type="dcterms:W3CDTF">2019-11-09T03:57:00Z</dcterms:modified>
</cp:coreProperties>
</file>