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29975D01" w:rsidR="00B975F2" w:rsidRPr="00B822B1" w:rsidRDefault="00B975F2" w:rsidP="00485218">
      <w:pPr>
        <w:tabs>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260B38">
        <w:rPr>
          <w:rFonts w:ascii="Arial" w:hAnsi="Arial" w:cs="Arial"/>
          <w:b/>
          <w:sz w:val="24"/>
          <w:lang w:val="en-US" w:eastAsia="zh-CN"/>
        </w:rPr>
        <w:t>8</w:t>
      </w:r>
      <w:r w:rsidR="004B4ECE">
        <w:rPr>
          <w:rFonts w:ascii="Arial" w:hAnsi="Arial" w:cs="Arial"/>
          <w:b/>
          <w:sz w:val="24"/>
          <w:lang w:val="en-US" w:eastAsia="zh-CN"/>
        </w:rPr>
        <w:t>bis</w:t>
      </w:r>
      <w:r w:rsidRPr="00B822B1">
        <w:rPr>
          <w:rFonts w:ascii="Arial" w:hAnsi="Arial" w:cs="Arial"/>
          <w:b/>
          <w:sz w:val="24"/>
          <w:lang w:val="en-US"/>
        </w:rPr>
        <w:tab/>
      </w:r>
      <w:r w:rsidR="00EE5C07" w:rsidRPr="002C09D3">
        <w:rPr>
          <w:rFonts w:ascii="Arial" w:hAnsi="Arial" w:cs="Arial"/>
          <w:b/>
          <w:sz w:val="24"/>
          <w:lang w:val="en-US"/>
        </w:rPr>
        <w:t>R1-19</w:t>
      </w:r>
      <w:r w:rsidR="002C09D3">
        <w:rPr>
          <w:rFonts w:ascii="Arial" w:hAnsi="Arial" w:cs="Arial"/>
          <w:b/>
          <w:sz w:val="24"/>
          <w:lang w:val="en-US"/>
        </w:rPr>
        <w:t>10977</w:t>
      </w:r>
    </w:p>
    <w:p w14:paraId="66A1FE09" w14:textId="77777777" w:rsidR="002C09D3" w:rsidRPr="00B822B1" w:rsidRDefault="002C09D3" w:rsidP="002C09D3">
      <w:pPr>
        <w:pStyle w:val="Footer"/>
        <w:jc w:val="both"/>
        <w:rPr>
          <w:rFonts w:cs="Arial"/>
          <w:lang w:val="en-GB" w:eastAsia="zh-CN"/>
        </w:rPr>
      </w:pPr>
      <w:r>
        <w:rPr>
          <w:rFonts w:cs="Arial"/>
          <w:i w:val="0"/>
          <w:noProof w:val="0"/>
          <w:sz w:val="24"/>
          <w:lang w:val="en-US" w:eastAsia="en-US"/>
        </w:rPr>
        <w:t>Chongqing</w:t>
      </w:r>
      <w:r w:rsidRPr="00732A75">
        <w:rPr>
          <w:rFonts w:cs="Arial"/>
          <w:i w:val="0"/>
          <w:noProof w:val="0"/>
          <w:sz w:val="24"/>
          <w:lang w:val="en-US" w:eastAsia="en-US"/>
        </w:rPr>
        <w:t xml:space="preserve">, </w:t>
      </w:r>
      <w:r>
        <w:rPr>
          <w:rFonts w:cs="Arial"/>
          <w:i w:val="0"/>
          <w:noProof w:val="0"/>
          <w:sz w:val="24"/>
          <w:lang w:val="en-US" w:eastAsia="en-US"/>
        </w:rPr>
        <w:t>China,</w:t>
      </w:r>
      <w:r w:rsidRPr="00732A75">
        <w:rPr>
          <w:rFonts w:cs="Arial"/>
          <w:i w:val="0"/>
          <w:noProof w:val="0"/>
          <w:sz w:val="24"/>
          <w:lang w:val="en-US" w:eastAsia="en-US"/>
        </w:rPr>
        <w:t xml:space="preserve"> </w:t>
      </w:r>
      <w:r>
        <w:rPr>
          <w:rFonts w:cs="Arial"/>
          <w:i w:val="0"/>
          <w:noProof w:val="0"/>
          <w:sz w:val="24"/>
          <w:lang w:val="en-US" w:eastAsia="en-US"/>
        </w:rPr>
        <w:t>14</w:t>
      </w:r>
      <w:r w:rsidRPr="00BA5E50">
        <w:rPr>
          <w:rFonts w:cs="Arial"/>
          <w:i w:val="0"/>
          <w:noProof w:val="0"/>
          <w:sz w:val="24"/>
          <w:vertAlign w:val="superscript"/>
          <w:lang w:val="en-US" w:eastAsia="en-US"/>
        </w:rPr>
        <w:t>th</w:t>
      </w:r>
      <w:r>
        <w:rPr>
          <w:rFonts w:cs="Arial"/>
          <w:i w:val="0"/>
          <w:noProof w:val="0"/>
          <w:sz w:val="24"/>
          <w:lang w:val="en-US" w:eastAsia="en-US"/>
        </w:rPr>
        <w:t>-20</w:t>
      </w:r>
      <w:r w:rsidRPr="00BA5E50">
        <w:rPr>
          <w:rFonts w:cs="Arial"/>
          <w:i w:val="0"/>
          <w:noProof w:val="0"/>
          <w:sz w:val="24"/>
          <w:vertAlign w:val="superscript"/>
          <w:lang w:val="en-US" w:eastAsia="en-US"/>
        </w:rPr>
        <w:t>th</w:t>
      </w:r>
      <w:r w:rsidRPr="00DF6F79">
        <w:rPr>
          <w:rFonts w:cs="Arial"/>
          <w:i w:val="0"/>
          <w:noProof w:val="0"/>
          <w:sz w:val="24"/>
          <w:lang w:val="en-US" w:eastAsia="en-US"/>
        </w:rPr>
        <w:t xml:space="preserve"> </w:t>
      </w:r>
      <w:r>
        <w:rPr>
          <w:rFonts w:cs="Arial"/>
          <w:i w:val="0"/>
          <w:noProof w:val="0"/>
          <w:sz w:val="24"/>
          <w:lang w:val="en-US" w:eastAsia="en-US"/>
        </w:rPr>
        <w:t>October</w:t>
      </w:r>
      <w:r w:rsidRPr="00732A75">
        <w:rPr>
          <w:rFonts w:cs="Arial"/>
          <w:i w:val="0"/>
          <w:noProof w:val="0"/>
          <w:sz w:val="24"/>
          <w:lang w:val="en-US" w:eastAsia="en-US"/>
        </w:rPr>
        <w:t>, 2019</w:t>
      </w:r>
    </w:p>
    <w:p w14:paraId="0FBC8402" w14:textId="77777777" w:rsidR="00B975F2" w:rsidRPr="00593B39" w:rsidRDefault="00B975F2" w:rsidP="00485218">
      <w:pPr>
        <w:tabs>
          <w:tab w:val="left" w:pos="1985"/>
        </w:tabs>
        <w:spacing w:after="0"/>
        <w:jc w:val="both"/>
        <w:rPr>
          <w:rFonts w:ascii="Arial" w:hAnsi="Arial" w:cs="Arial"/>
          <w:b/>
          <w:sz w:val="24"/>
        </w:rPr>
      </w:pPr>
    </w:p>
    <w:p w14:paraId="4E210BBB" w14:textId="6983AB85" w:rsidR="00B975F2" w:rsidRPr="00B822B1" w:rsidRDefault="00B975F2" w:rsidP="0048521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7CE1CEEA" w:rsidR="00B975F2" w:rsidRPr="00B822B1" w:rsidRDefault="00B975F2" w:rsidP="00485218">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443035" w:rsidRPr="00443035">
        <w:rPr>
          <w:rFonts w:ascii="Arial" w:hAnsi="Arial" w:cs="Arial"/>
          <w:b/>
          <w:sz w:val="24"/>
          <w:lang w:val="en-US" w:eastAsia="zh-CN"/>
        </w:rPr>
        <w:t>Uplink power control for NR-NR Dual Connectivity</w:t>
      </w:r>
    </w:p>
    <w:p w14:paraId="7B288F5E" w14:textId="77777777" w:rsidR="00B975F2" w:rsidRPr="00B822B1" w:rsidRDefault="00B975F2" w:rsidP="0048521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Pr>
          <w:rFonts w:ascii="Arial" w:hAnsi="Arial" w:cs="Arial"/>
          <w:b/>
          <w:sz w:val="24"/>
          <w:lang w:val="en-US"/>
        </w:rPr>
        <w:t>7.2.13</w:t>
      </w:r>
      <w:r w:rsidRPr="00B822B1">
        <w:rPr>
          <w:rFonts w:ascii="Arial" w:hAnsi="Arial" w:cs="Arial"/>
          <w:b/>
          <w:sz w:val="24"/>
          <w:lang w:val="en-US"/>
        </w:rPr>
        <w:t>.</w:t>
      </w:r>
      <w:r>
        <w:rPr>
          <w:rFonts w:ascii="Arial" w:hAnsi="Arial" w:cs="Arial"/>
          <w:b/>
          <w:sz w:val="24"/>
          <w:lang w:val="en-US"/>
        </w:rPr>
        <w:t>1</w:t>
      </w:r>
    </w:p>
    <w:p w14:paraId="5E110048" w14:textId="77777777" w:rsidR="00B975F2" w:rsidRPr="00B822B1" w:rsidRDefault="00B975F2" w:rsidP="0048521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4D44C32A" w14:textId="77777777" w:rsidR="00B975F2" w:rsidRPr="00B822B1" w:rsidRDefault="00B975F2" w:rsidP="00485218">
      <w:pPr>
        <w:pStyle w:val="Heading1"/>
        <w:ind w:left="1140" w:hanging="1140"/>
        <w:jc w:val="both"/>
        <w:rPr>
          <w:rFonts w:cs="Arial"/>
          <w:lang w:val="en-US"/>
        </w:rPr>
      </w:pPr>
      <w:r w:rsidRPr="00B822B1">
        <w:rPr>
          <w:rFonts w:cs="Arial"/>
          <w:lang w:val="en-US"/>
        </w:rPr>
        <w:t>1 Introduction</w:t>
      </w:r>
    </w:p>
    <w:p w14:paraId="47CE4DC3" w14:textId="116C4E47" w:rsidR="004B4ECE" w:rsidRDefault="004B4ECE" w:rsidP="00485218">
      <w:pPr>
        <w:spacing w:after="120"/>
        <w:jc w:val="both"/>
        <w:rPr>
          <w:rFonts w:ascii="Arial" w:hAnsi="Arial" w:cs="Arial"/>
          <w:lang w:val="en-US" w:eastAsia="zh-CN"/>
        </w:rPr>
      </w:pPr>
      <w:r>
        <w:rPr>
          <w:rFonts w:ascii="Arial" w:hAnsi="Arial" w:cs="Arial"/>
          <w:lang w:val="en-US" w:eastAsia="zh-CN"/>
        </w:rPr>
        <w:t xml:space="preserve">In RAN1 #98 meeting, UL power control aspects for support of NR-NR DC was discussed and the following agreement was made [1]: </w:t>
      </w:r>
      <w:bookmarkStart w:id="2" w:name="_GoBack"/>
      <w:bookmarkEnd w:id="2"/>
    </w:p>
    <w:tbl>
      <w:tblPr>
        <w:tblStyle w:val="TableGrid"/>
        <w:tblW w:w="0" w:type="auto"/>
        <w:tblLook w:val="04A0" w:firstRow="1" w:lastRow="0" w:firstColumn="1" w:lastColumn="0" w:noHBand="0" w:noVBand="1"/>
      </w:tblPr>
      <w:tblGrid>
        <w:gridCol w:w="9962"/>
      </w:tblGrid>
      <w:tr w:rsidR="004B4ECE" w14:paraId="27567AE5" w14:textId="77777777" w:rsidTr="004B4ECE">
        <w:tc>
          <w:tcPr>
            <w:tcW w:w="9962" w:type="dxa"/>
          </w:tcPr>
          <w:p w14:paraId="74A89ED6" w14:textId="77777777" w:rsidR="004B4ECE" w:rsidRPr="004B4ECE" w:rsidRDefault="004B4ECE" w:rsidP="00485218">
            <w:pPr>
              <w:spacing w:before="120" w:after="0"/>
              <w:jc w:val="both"/>
              <w:rPr>
                <w:rFonts w:ascii="Arial" w:hAnsi="Arial" w:cs="Arial"/>
                <w:lang w:val="en-US"/>
              </w:rPr>
            </w:pPr>
            <w:r w:rsidRPr="004B4ECE">
              <w:rPr>
                <w:rFonts w:ascii="Arial" w:hAnsi="Arial" w:cs="Arial"/>
                <w:highlight w:val="green"/>
                <w:lang w:val="en-US"/>
              </w:rPr>
              <w:t>Agreements</w:t>
            </w:r>
            <w:r w:rsidRPr="004B4ECE">
              <w:rPr>
                <w:rFonts w:ascii="Arial" w:hAnsi="Arial" w:cs="Arial"/>
                <w:lang w:val="en-US"/>
              </w:rPr>
              <w:t>:</w:t>
            </w:r>
          </w:p>
          <w:p w14:paraId="03E272C7" w14:textId="77777777" w:rsidR="004B4ECE" w:rsidRPr="004B4ECE" w:rsidRDefault="004B4ECE" w:rsidP="00485218">
            <w:pPr>
              <w:numPr>
                <w:ilvl w:val="0"/>
                <w:numId w:val="22"/>
              </w:numPr>
              <w:overflowPunct/>
              <w:autoSpaceDE/>
              <w:autoSpaceDN/>
              <w:adjustRightInd/>
              <w:spacing w:after="0"/>
              <w:jc w:val="both"/>
              <w:textAlignment w:val="auto"/>
              <w:rPr>
                <w:rFonts w:ascii="Arial" w:hAnsi="Arial" w:cs="Arial"/>
                <w:lang w:val="en-US"/>
              </w:rPr>
            </w:pPr>
            <w:r w:rsidRPr="004B4ECE">
              <w:rPr>
                <w:rFonts w:ascii="Arial" w:hAnsi="Arial" w:cs="Arial"/>
                <w:lang w:val="en-US"/>
              </w:rPr>
              <w:t xml:space="preserve">Aim to reuse the existing CA power determination for uplink transmissions on CC(s) in a same CG. </w:t>
            </w:r>
          </w:p>
          <w:p w14:paraId="4F936651" w14:textId="72F5C1A6" w:rsidR="004B4ECE" w:rsidRDefault="004B4ECE" w:rsidP="00485218">
            <w:pPr>
              <w:spacing w:after="120"/>
              <w:jc w:val="both"/>
              <w:rPr>
                <w:rFonts w:ascii="Arial" w:hAnsi="Arial" w:cs="Arial"/>
                <w:lang w:val="en-US" w:eastAsia="zh-CN"/>
              </w:rPr>
            </w:pPr>
          </w:p>
          <w:p w14:paraId="5912E4C8" w14:textId="21A6C61E" w:rsidR="004B4ECE" w:rsidRDefault="004B4ECE" w:rsidP="00485218">
            <w:pPr>
              <w:spacing w:after="0"/>
              <w:jc w:val="both"/>
              <w:rPr>
                <w:rFonts w:ascii="Arial" w:hAnsi="Arial" w:cs="Arial"/>
                <w:lang w:val="en-US"/>
              </w:rPr>
            </w:pPr>
            <w:r w:rsidRPr="004B4ECE">
              <w:rPr>
                <w:rFonts w:ascii="Arial" w:hAnsi="Arial" w:cs="Arial"/>
                <w:highlight w:val="green"/>
                <w:lang w:val="en-US"/>
              </w:rPr>
              <w:t>Agreements</w:t>
            </w:r>
            <w:r w:rsidRPr="004B4ECE">
              <w:rPr>
                <w:rFonts w:ascii="Arial" w:hAnsi="Arial" w:cs="Arial"/>
                <w:lang w:val="en-US"/>
              </w:rPr>
              <w:t>:</w:t>
            </w:r>
          </w:p>
          <w:p w14:paraId="4D35DDEE" w14:textId="154BB7E0" w:rsidR="004B4ECE" w:rsidRPr="004B4ECE" w:rsidRDefault="004B4ECE" w:rsidP="00485218">
            <w:pPr>
              <w:numPr>
                <w:ilvl w:val="0"/>
                <w:numId w:val="23"/>
              </w:numPr>
              <w:spacing w:after="0"/>
              <w:jc w:val="both"/>
              <w:rPr>
                <w:rFonts w:ascii="Arial" w:hAnsi="Arial" w:cs="Arial"/>
                <w:lang w:val="en-US" w:eastAsia="zh-CN"/>
              </w:rPr>
            </w:pPr>
            <w:r w:rsidRPr="004B4ECE">
              <w:rPr>
                <w:rFonts w:ascii="Arial" w:hAnsi="Arial" w:cs="Arial"/>
                <w:lang w:val="en-US" w:eastAsia="zh-CN"/>
              </w:rPr>
              <w:t xml:space="preserve">Considering the following two alternatives for semi-static power sharing with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r>
                <w:rPr>
                  <w:rFonts w:ascii="Cambria Math" w:hAnsi="Cambria Math" w:cs="Arial"/>
                  <w:lang w:val="en-US" w:eastAsia="zh-CN"/>
                </w:rPr>
                <m:t>≤</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Total</m:t>
                  </m:r>
                </m:sub>
                <m:sup>
                  <m:r>
                    <w:rPr>
                      <w:rFonts w:ascii="Cambria Math" w:hAnsi="Cambria Math" w:cs="Arial"/>
                      <w:lang w:val="en-US" w:eastAsia="zh-CN"/>
                    </w:rPr>
                    <m:t>NN- DC</m:t>
                  </m:r>
                </m:sup>
              </m:sSubSup>
            </m:oMath>
          </w:p>
          <w:p w14:paraId="268FC895" w14:textId="77777777" w:rsidR="004B4ECE" w:rsidRPr="004B4ECE" w:rsidRDefault="004B4ECE" w:rsidP="00485218">
            <w:pPr>
              <w:numPr>
                <w:ilvl w:val="1"/>
                <w:numId w:val="23"/>
              </w:numPr>
              <w:spacing w:after="0"/>
              <w:jc w:val="both"/>
              <w:rPr>
                <w:rFonts w:ascii="Arial" w:hAnsi="Arial" w:cs="Arial"/>
                <w:lang w:val="en-US" w:eastAsia="zh-CN"/>
              </w:rPr>
            </w:pPr>
            <w:r w:rsidRPr="004B4ECE">
              <w:rPr>
                <w:rFonts w:ascii="Arial" w:hAnsi="Arial" w:cs="Arial"/>
                <w:lang w:val="en-US" w:eastAsia="zh-CN"/>
              </w:rPr>
              <w:t>Alt.1: For the uplink transmission in MCG, the UE checks the semi-statically configured direction of the overlapping symbols of all serving cells of SCG, and vice versa.</w:t>
            </w:r>
          </w:p>
          <w:p w14:paraId="750EBCCA" w14:textId="59F74515" w:rsidR="004B4ECE" w:rsidRPr="004B4ECE" w:rsidRDefault="004B4ECE" w:rsidP="00485218">
            <w:pPr>
              <w:numPr>
                <w:ilvl w:val="2"/>
                <w:numId w:val="23"/>
              </w:numPr>
              <w:spacing w:after="0"/>
              <w:jc w:val="both"/>
              <w:rPr>
                <w:rFonts w:ascii="Arial" w:hAnsi="Arial" w:cs="Arial"/>
                <w:lang w:val="en-US" w:eastAsia="zh-CN"/>
              </w:rPr>
            </w:pPr>
            <w:r w:rsidRPr="004B4ECE">
              <w:rPr>
                <w:rFonts w:ascii="Arial" w:hAnsi="Arial" w:cs="Arial"/>
                <w:lang w:val="en-US"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in MCG such that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w:t>
            </w:r>
          </w:p>
          <w:p w14:paraId="516D8838" w14:textId="2DC24A45" w:rsidR="004B4ECE" w:rsidRPr="004B4ECE" w:rsidRDefault="004B4ECE" w:rsidP="00485218">
            <w:pPr>
              <w:numPr>
                <w:ilvl w:val="2"/>
                <w:numId w:val="23"/>
              </w:numPr>
              <w:spacing w:after="0"/>
              <w:jc w:val="both"/>
              <w:rPr>
                <w:rFonts w:ascii="Arial" w:hAnsi="Arial" w:cs="Arial"/>
                <w:lang w:val="en-US" w:eastAsia="zh-CN"/>
              </w:rPr>
            </w:pPr>
            <w:r w:rsidRPr="004B4ECE">
              <w:rPr>
                <w:rFonts w:ascii="Arial" w:hAnsi="Arial" w:cs="Arial"/>
                <w:lang w:val="en-US" w:eastAsia="zh-CN"/>
              </w:rPr>
              <w:t xml:space="preserve">Otherwise (i.e. collides with only semi-static ‘DL’ symbols on all CCs of SCG),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can be up to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4B4ECE">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w:t>
            </w:r>
          </w:p>
          <w:p w14:paraId="720FA97A" w14:textId="0CA936EC" w:rsidR="004B4ECE" w:rsidRPr="004B4ECE" w:rsidRDefault="004B4ECE" w:rsidP="00485218">
            <w:pPr>
              <w:numPr>
                <w:ilvl w:val="3"/>
                <w:numId w:val="23"/>
              </w:numPr>
              <w:spacing w:after="0"/>
              <w:jc w:val="both"/>
              <w:rPr>
                <w:rFonts w:ascii="Arial" w:hAnsi="Arial" w:cs="Arial"/>
                <w:lang w:val="en-US" w:eastAsia="zh-CN"/>
              </w:rPr>
            </w:pPr>
            <w:r w:rsidRPr="004B4ECE">
              <w:rPr>
                <w:rFonts w:ascii="Arial" w:hAnsi="Arial" w:cs="Arial"/>
                <w:lang w:val="en-US" w:eastAsia="zh-CN"/>
              </w:rPr>
              <w:t xml:space="preserve">Alt.1-1: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are configured by RRC signaling. </w:t>
            </w:r>
          </w:p>
          <w:p w14:paraId="5DE5A50E" w14:textId="34038531" w:rsidR="004B4ECE" w:rsidRPr="004B4ECE" w:rsidRDefault="004B4ECE" w:rsidP="00485218">
            <w:pPr>
              <w:numPr>
                <w:ilvl w:val="3"/>
                <w:numId w:val="23"/>
              </w:numPr>
              <w:spacing w:after="0"/>
              <w:jc w:val="both"/>
              <w:rPr>
                <w:rFonts w:ascii="Arial" w:hAnsi="Arial" w:cs="Arial"/>
                <w:lang w:val="en-US" w:eastAsia="zh-CN"/>
              </w:rPr>
            </w:pPr>
            <w:r w:rsidRPr="004B4ECE">
              <w:rPr>
                <w:rFonts w:ascii="Arial" w:hAnsi="Arial" w:cs="Arial"/>
                <w:lang w:val="en-US" w:eastAsia="zh-CN"/>
              </w:rPr>
              <w:t xml:space="preserve">Alt.1-2: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are determined by RAN4 requirement. </w:t>
            </w:r>
          </w:p>
          <w:p w14:paraId="64D89D5E" w14:textId="77777777" w:rsidR="004B4ECE" w:rsidRPr="004B4ECE" w:rsidRDefault="004B4ECE" w:rsidP="00485218">
            <w:pPr>
              <w:numPr>
                <w:ilvl w:val="1"/>
                <w:numId w:val="23"/>
              </w:numPr>
              <w:spacing w:after="0"/>
              <w:jc w:val="both"/>
              <w:rPr>
                <w:rFonts w:ascii="Arial" w:hAnsi="Arial" w:cs="Arial"/>
                <w:lang w:val="en-US" w:eastAsia="zh-CN"/>
              </w:rPr>
            </w:pPr>
            <w:r w:rsidRPr="004B4ECE">
              <w:rPr>
                <w:rFonts w:ascii="Arial" w:hAnsi="Arial" w:cs="Arial"/>
                <w:lang w:val="en-US" w:eastAsia="zh-CN"/>
              </w:rPr>
              <w:t xml:space="preserve">Alt.2: For the uplink transmission in MCG and in SCG, UE limits its actual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to be up to</w:t>
            </w:r>
            <m:oMath>
              <m:sSub>
                <m:sSubPr>
                  <m:ctrlPr>
                    <w:rPr>
                      <w:rFonts w:ascii="Cambria Math" w:hAnsi="Cambria Math" w:cs="Arial"/>
                      <w:i/>
                      <w:iCs/>
                      <w:lang w:val="en-US" w:eastAsia="zh-CN"/>
                    </w:rPr>
                  </m:ctrlPr>
                </m:sSubPr>
                <m:e>
                  <m:r>
                    <m:rPr>
                      <m:sty m:val="p"/>
                    </m:rPr>
                    <w:rPr>
                      <w:rFonts w:ascii="Cambria Math" w:hAnsi="Cambria Math" w:cs="Arial"/>
                      <w:lang w:val="en-US" w:eastAsia="zh-CN"/>
                    </w:rPr>
                    <m:t> 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and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4B4ECE">
              <w:rPr>
                <w:rFonts w:ascii="Arial" w:hAnsi="Arial" w:cs="Arial"/>
                <w:lang w:val="en-US" w:eastAsia="zh-CN"/>
              </w:rPr>
              <w:t xml:space="preserve"> to be up to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p>
          <w:p w14:paraId="62A9CE26" w14:textId="1C257A7C" w:rsidR="004B4ECE" w:rsidRPr="004B4ECE" w:rsidRDefault="004B4ECE" w:rsidP="00485218">
            <w:pPr>
              <w:spacing w:after="0"/>
              <w:ind w:left="1440"/>
              <w:jc w:val="both"/>
              <w:rPr>
                <w:rFonts w:ascii="Arial" w:hAnsi="Arial" w:cs="Arial"/>
                <w:lang w:val="en-US" w:eastAsia="zh-CN"/>
              </w:rPr>
            </w:pPr>
          </w:p>
        </w:tc>
      </w:tr>
    </w:tbl>
    <w:p w14:paraId="5A340C4A" w14:textId="77777777" w:rsidR="004B4ECE" w:rsidRDefault="004B4ECE" w:rsidP="00485218">
      <w:pPr>
        <w:spacing w:after="120"/>
        <w:jc w:val="both"/>
        <w:rPr>
          <w:rFonts w:ascii="Arial" w:hAnsi="Arial" w:cs="Arial"/>
          <w:lang w:val="en-US" w:eastAsia="zh-CN"/>
        </w:rPr>
      </w:pPr>
    </w:p>
    <w:p w14:paraId="7188F45B" w14:textId="469338AB" w:rsidR="00B975F2" w:rsidRPr="0030355D" w:rsidRDefault="00B975F2" w:rsidP="00485218">
      <w:pPr>
        <w:spacing w:before="120" w:after="120"/>
        <w:jc w:val="both"/>
        <w:rPr>
          <w:rFonts w:ascii="Arial" w:hAnsi="Arial" w:cs="Arial"/>
          <w:lang w:val="en-US" w:eastAsia="zh-CN"/>
        </w:rPr>
      </w:pPr>
      <w:r>
        <w:rPr>
          <w:rFonts w:ascii="Arial" w:hAnsi="Arial" w:cs="Arial"/>
          <w:lang w:val="en-US" w:eastAsia="zh-CN"/>
        </w:rPr>
        <w:t xml:space="preserve">In this contribution, we address some of the </w:t>
      </w:r>
      <w:r w:rsidR="00EA7E1E">
        <w:rPr>
          <w:rFonts w:ascii="Arial" w:hAnsi="Arial" w:cs="Arial"/>
          <w:lang w:val="en-US" w:eastAsia="zh-CN"/>
        </w:rPr>
        <w:t>design issues</w:t>
      </w:r>
      <w:r>
        <w:rPr>
          <w:rFonts w:ascii="Arial" w:hAnsi="Arial" w:cs="Arial"/>
          <w:lang w:val="en-US" w:eastAsia="zh-CN"/>
        </w:rPr>
        <w:t xml:space="preserve"> related to uplink power control of NR-NR Dual Connectivity (DC) scenario</w:t>
      </w:r>
      <w:r w:rsidR="000402EC">
        <w:rPr>
          <w:rFonts w:ascii="Arial" w:hAnsi="Arial" w:cs="Arial"/>
          <w:lang w:val="en-US" w:eastAsia="zh-CN"/>
        </w:rPr>
        <w:t xml:space="preserve"> to progress on this topic</w:t>
      </w:r>
      <w:r>
        <w:rPr>
          <w:rFonts w:ascii="Arial" w:hAnsi="Arial" w:cs="Arial"/>
          <w:lang w:val="en-US" w:eastAsia="zh-CN"/>
        </w:rPr>
        <w:t xml:space="preserve">, focusing on physical layers aspects.   </w:t>
      </w:r>
    </w:p>
    <w:p w14:paraId="266AB66C" w14:textId="28E0FF33" w:rsidR="003E59A3" w:rsidRPr="004B4ECE" w:rsidRDefault="00B975F2" w:rsidP="00485218">
      <w:pPr>
        <w:pStyle w:val="Heading1"/>
        <w:jc w:val="both"/>
        <w:rPr>
          <w:rFonts w:cs="Arial"/>
          <w:lang w:val="en-US"/>
        </w:rPr>
      </w:pPr>
      <w:r w:rsidRPr="00B822B1">
        <w:rPr>
          <w:rFonts w:cs="Arial"/>
          <w:lang w:val="en-US"/>
        </w:rPr>
        <w:t>2. Discussion</w:t>
      </w:r>
    </w:p>
    <w:p w14:paraId="04CB686E" w14:textId="5FE848F9" w:rsidR="00704042" w:rsidRDefault="006D541A" w:rsidP="00485218">
      <w:pPr>
        <w:pStyle w:val="Heading2"/>
        <w:spacing w:before="180" w:after="180"/>
        <w:ind w:left="1134" w:hanging="1134"/>
        <w:jc w:val="both"/>
        <w:rPr>
          <w:rFonts w:ascii="Arial" w:eastAsia="SimSun" w:hAnsi="Arial" w:cs="Arial"/>
          <w:color w:val="auto"/>
          <w:sz w:val="32"/>
          <w:szCs w:val="20"/>
          <w:lang w:val="en-US" w:eastAsia="zh-CN"/>
        </w:rPr>
      </w:pPr>
      <w:r w:rsidRPr="006D541A">
        <w:rPr>
          <w:rFonts w:ascii="Arial" w:eastAsia="SimSun" w:hAnsi="Arial" w:cs="Arial"/>
          <w:color w:val="auto"/>
          <w:sz w:val="32"/>
          <w:szCs w:val="20"/>
          <w:lang w:val="en-US" w:eastAsia="zh-CN"/>
        </w:rPr>
        <w:t>2.</w:t>
      </w:r>
      <w:r w:rsidR="004B4ECE">
        <w:rPr>
          <w:rFonts w:ascii="Arial" w:eastAsia="SimSun" w:hAnsi="Arial" w:cs="Arial"/>
          <w:color w:val="auto"/>
          <w:sz w:val="32"/>
          <w:szCs w:val="20"/>
          <w:lang w:val="en-US" w:eastAsia="zh-CN"/>
        </w:rPr>
        <w:t xml:space="preserve">1 </w:t>
      </w:r>
      <w:r>
        <w:rPr>
          <w:rFonts w:ascii="Arial" w:eastAsia="SimSun" w:hAnsi="Arial" w:cs="Arial"/>
          <w:color w:val="auto"/>
          <w:sz w:val="32"/>
          <w:szCs w:val="20"/>
          <w:lang w:val="en-US" w:eastAsia="zh-CN"/>
        </w:rPr>
        <w:t>Semi-static power sharing scheme</w:t>
      </w:r>
    </w:p>
    <w:p w14:paraId="7D13C0C7" w14:textId="177CEA31" w:rsidR="00C071AE" w:rsidRDefault="00D46936" w:rsidP="00485218">
      <w:pPr>
        <w:jc w:val="both"/>
        <w:rPr>
          <w:rFonts w:ascii="Arial" w:hAnsi="Arial" w:cs="Arial"/>
          <w:iCs/>
          <w:lang w:val="en-US" w:eastAsia="zh-CN"/>
        </w:rPr>
      </w:pPr>
      <w:r w:rsidRPr="00D46936">
        <w:rPr>
          <w:rFonts w:ascii="Arial" w:hAnsi="Arial" w:cs="Arial"/>
        </w:rPr>
        <w:t xml:space="preserve">When </w:t>
      </w:r>
      <w:r w:rsidR="00377C96">
        <w:rPr>
          <w:rFonts w:ascii="Arial" w:hAnsi="Arial" w:cs="Arial"/>
        </w:rPr>
        <w:t>power splitting is done in a semi-static manner by RRC signalling, overlapped transmissions do not need special handling in general, as it is guaranteed that</w:t>
      </w:r>
      <w:r w:rsidR="00E127DE">
        <w:rPr>
          <w:rFonts w:ascii="Arial" w:hAnsi="Arial" w:cs="Arial"/>
        </w:rPr>
        <w:t xml:space="preserve">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Total</m:t>
            </m:r>
          </m:sub>
          <m:sup>
            <m:r>
              <w:rPr>
                <w:rFonts w:ascii="Cambria Math" w:hAnsi="Cambria Math" w:cs="Arial"/>
                <w:lang w:val="en-US" w:eastAsia="zh-CN"/>
              </w:rPr>
              <m:t>NR-NR DC, FRX</m:t>
            </m:r>
          </m:sup>
        </m:sSubSup>
      </m:oMath>
      <w:r w:rsidR="00377C96">
        <w:rPr>
          <w:rFonts w:ascii="Arial" w:hAnsi="Arial" w:cs="Arial"/>
          <w:iCs/>
          <w:lang w:val="en-US" w:eastAsia="zh-CN"/>
        </w:rPr>
        <w:t xml:space="preserve"> is never exceeded for </w:t>
      </w:r>
      <w:r w:rsidR="00E25ABB">
        <w:rPr>
          <w:rFonts w:ascii="Arial" w:hAnsi="Arial" w:cs="Arial"/>
          <w:iCs/>
          <w:lang w:val="en-US" w:eastAsia="zh-CN"/>
        </w:rPr>
        <w:t xml:space="preserve">FRX. The scaling and prioritization rule defined for Rel-15 carrier aggregation can be directly applied per CG. </w:t>
      </w:r>
    </w:p>
    <w:p w14:paraId="4E19156E" w14:textId="7CAA30B6" w:rsidR="00377C96" w:rsidRDefault="004B4ECE" w:rsidP="00485218">
      <w:pPr>
        <w:jc w:val="both"/>
        <w:rPr>
          <w:rFonts w:ascii="Arial" w:hAnsi="Arial" w:cs="Arial"/>
          <w:iCs/>
          <w:lang w:val="en-US" w:eastAsia="zh-CN"/>
        </w:rPr>
      </w:pPr>
      <w:r>
        <w:rPr>
          <w:rFonts w:ascii="Arial" w:hAnsi="Arial" w:cs="Arial"/>
          <w:iCs/>
          <w:lang w:val="en-US" w:eastAsia="zh-CN"/>
        </w:rPr>
        <w:t>Two</w:t>
      </w:r>
      <w:r w:rsidR="00E25ABB">
        <w:rPr>
          <w:rFonts w:ascii="Arial" w:hAnsi="Arial" w:cs="Arial"/>
          <w:iCs/>
          <w:lang w:val="en-US" w:eastAsia="zh-CN"/>
        </w:rPr>
        <w:t xml:space="preserve"> </w:t>
      </w:r>
      <w:r>
        <w:rPr>
          <w:rFonts w:ascii="Arial" w:hAnsi="Arial" w:cs="Arial"/>
          <w:iCs/>
          <w:lang w:val="en-US" w:eastAsia="zh-CN"/>
        </w:rPr>
        <w:t>alternatives</w:t>
      </w:r>
      <w:r w:rsidR="00E25ABB">
        <w:rPr>
          <w:rFonts w:ascii="Arial" w:hAnsi="Arial" w:cs="Arial"/>
          <w:iCs/>
          <w:lang w:val="en-US" w:eastAsia="zh-CN"/>
        </w:rPr>
        <w:t xml:space="preserve"> were </w:t>
      </w:r>
      <w:r>
        <w:rPr>
          <w:rFonts w:ascii="Arial" w:hAnsi="Arial" w:cs="Arial"/>
          <w:iCs/>
          <w:lang w:val="en-US" w:eastAsia="zh-CN"/>
        </w:rPr>
        <w:t>agreed</w:t>
      </w:r>
      <w:r w:rsidR="00E25ABB">
        <w:rPr>
          <w:rFonts w:ascii="Arial" w:hAnsi="Arial" w:cs="Arial"/>
          <w:iCs/>
          <w:lang w:val="en-US" w:eastAsia="zh-CN"/>
        </w:rPr>
        <w:t xml:space="preserve"> in the </w:t>
      </w:r>
      <w:r>
        <w:rPr>
          <w:rFonts w:ascii="Arial" w:hAnsi="Arial" w:cs="Arial"/>
          <w:iCs/>
          <w:lang w:val="en-US" w:eastAsia="zh-CN"/>
        </w:rPr>
        <w:t>last</w:t>
      </w:r>
      <w:r w:rsidR="00E25ABB">
        <w:rPr>
          <w:rFonts w:ascii="Arial" w:hAnsi="Arial" w:cs="Arial"/>
          <w:iCs/>
          <w:lang w:val="en-US" w:eastAsia="zh-CN"/>
        </w:rPr>
        <w:t xml:space="preserve"> meetings</w:t>
      </w:r>
      <w:r w:rsidR="00501D54">
        <w:rPr>
          <w:rFonts w:ascii="Arial" w:hAnsi="Arial" w:cs="Arial"/>
          <w:iCs/>
          <w:lang w:val="en-US" w:eastAsia="zh-CN"/>
        </w:rPr>
        <w:t xml:space="preserve"> [</w:t>
      </w:r>
      <w:r>
        <w:rPr>
          <w:rFonts w:ascii="Arial" w:hAnsi="Arial" w:cs="Arial"/>
          <w:iCs/>
          <w:lang w:val="en-US" w:eastAsia="zh-CN"/>
        </w:rPr>
        <w:t>1</w:t>
      </w:r>
      <w:r w:rsidR="00501D54">
        <w:rPr>
          <w:rFonts w:ascii="Arial" w:hAnsi="Arial" w:cs="Arial"/>
          <w:iCs/>
          <w:lang w:val="en-US" w:eastAsia="zh-CN"/>
        </w:rPr>
        <w:t>]</w:t>
      </w:r>
      <w:r w:rsidR="00E25ABB">
        <w:rPr>
          <w:rFonts w:ascii="Arial" w:hAnsi="Arial" w:cs="Arial"/>
          <w:iCs/>
          <w:lang w:val="en-US" w:eastAsia="zh-CN"/>
        </w:rPr>
        <w:t xml:space="preserve"> to implement semi-static power sharing</w:t>
      </w:r>
      <w:r w:rsidR="000C2B74">
        <w:rPr>
          <w:rFonts w:ascii="Arial" w:hAnsi="Arial" w:cs="Arial"/>
          <w:iCs/>
          <w:lang w:val="en-US" w:eastAsia="zh-CN"/>
        </w:rPr>
        <w:t xml:space="preserve">. </w:t>
      </w:r>
      <w:r w:rsidR="00501D54">
        <w:rPr>
          <w:rFonts w:ascii="Arial" w:hAnsi="Arial" w:cs="Arial"/>
          <w:iCs/>
          <w:lang w:val="en-US" w:eastAsia="zh-CN"/>
        </w:rPr>
        <w:t xml:space="preserve">Comparing to Alt.1, </w:t>
      </w:r>
      <w:r w:rsidR="00C71168">
        <w:rPr>
          <w:rFonts w:ascii="Arial" w:hAnsi="Arial" w:cs="Arial"/>
          <w:iCs/>
          <w:lang w:val="en-US" w:eastAsia="zh-CN"/>
        </w:rPr>
        <w:t>Alt.2</w:t>
      </w:r>
      <w:r w:rsidR="004E774D">
        <w:rPr>
          <w:rFonts w:ascii="Arial" w:hAnsi="Arial" w:cs="Arial"/>
          <w:iCs/>
          <w:lang w:val="en-US" w:eastAsia="zh-CN"/>
        </w:rPr>
        <w:t xml:space="preserve"> is clearly more beneficial as it</w:t>
      </w:r>
      <w:r w:rsidR="00A5202E">
        <w:rPr>
          <w:rFonts w:ascii="Arial" w:hAnsi="Arial" w:cs="Arial"/>
          <w:iCs/>
          <w:lang w:val="en-US" w:eastAsia="zh-CN"/>
        </w:rPr>
        <w:t xml:space="preserve"> </w:t>
      </w:r>
      <w:r w:rsidR="00F924B2">
        <w:rPr>
          <w:rFonts w:ascii="Arial" w:hAnsi="Arial" w:cs="Arial"/>
          <w:iCs/>
          <w:lang w:val="en-US" w:eastAsia="zh-CN"/>
        </w:rPr>
        <w:t>improves the</w:t>
      </w:r>
      <w:r w:rsidR="00501D54">
        <w:rPr>
          <w:rFonts w:ascii="Arial" w:hAnsi="Arial" w:cs="Arial"/>
          <w:iCs/>
          <w:lang w:val="en-US" w:eastAsia="zh-CN"/>
        </w:rPr>
        <w:t xml:space="preserve"> power efficiency at the UE </w:t>
      </w:r>
      <w:r w:rsidR="00F924B2">
        <w:rPr>
          <w:rFonts w:ascii="Arial" w:hAnsi="Arial" w:cs="Arial"/>
          <w:iCs/>
          <w:lang w:val="en-US" w:eastAsia="zh-CN"/>
        </w:rPr>
        <w:t>by conditionally</w:t>
      </w:r>
      <w:r w:rsidR="00501D54">
        <w:rPr>
          <w:rFonts w:ascii="Arial" w:hAnsi="Arial" w:cs="Arial"/>
          <w:iCs/>
          <w:lang w:val="en-US" w:eastAsia="zh-CN"/>
        </w:rPr>
        <w:t xml:space="preserve"> utiliz</w:t>
      </w:r>
      <w:r w:rsidR="00F924B2">
        <w:rPr>
          <w:rFonts w:ascii="Arial" w:hAnsi="Arial" w:cs="Arial"/>
          <w:iCs/>
          <w:lang w:val="en-US" w:eastAsia="zh-CN"/>
        </w:rPr>
        <w:t>ing</w:t>
      </w:r>
      <w:r w:rsidR="00501D54">
        <w:rPr>
          <w:rFonts w:ascii="Arial" w:hAnsi="Arial" w:cs="Arial"/>
          <w:iCs/>
          <w:lang w:val="en-US" w:eastAsia="zh-CN"/>
        </w:rPr>
        <w:t xml:space="preserve"> the full power on the symbols</w:t>
      </w:r>
      <w:r w:rsidR="00A5202E">
        <w:rPr>
          <w:rFonts w:ascii="Arial" w:hAnsi="Arial" w:cs="Arial"/>
          <w:iCs/>
          <w:lang w:val="en-US" w:eastAsia="zh-CN"/>
        </w:rPr>
        <w:t xml:space="preserve"> that are semi-statically configured </w:t>
      </w:r>
      <w:r w:rsidR="00F924B2">
        <w:rPr>
          <w:rFonts w:ascii="Arial" w:hAnsi="Arial" w:cs="Arial"/>
          <w:iCs/>
          <w:lang w:val="en-US" w:eastAsia="zh-CN"/>
        </w:rPr>
        <w:t>to be</w:t>
      </w:r>
      <w:r w:rsidR="00A5202E">
        <w:rPr>
          <w:rFonts w:ascii="Arial" w:hAnsi="Arial" w:cs="Arial"/>
          <w:iCs/>
          <w:lang w:val="en-US" w:eastAsia="zh-CN"/>
        </w:rPr>
        <w:t xml:space="preserve"> DL on the other CG</w:t>
      </w:r>
      <w:r w:rsidR="00F924B2">
        <w:rPr>
          <w:rFonts w:ascii="Arial" w:hAnsi="Arial" w:cs="Arial"/>
          <w:iCs/>
          <w:lang w:val="en-US" w:eastAsia="zh-CN"/>
        </w:rPr>
        <w:t>. This can somehow address coverage shrink concern raised on the semi-static power sharing since the full power transmission is guaranteed in these symbols with DL on the other CG.</w:t>
      </w:r>
      <w:r w:rsidR="00C4466D">
        <w:rPr>
          <w:rFonts w:ascii="Arial" w:hAnsi="Arial" w:cs="Arial"/>
          <w:iCs/>
          <w:lang w:val="en-US" w:eastAsia="zh-CN"/>
        </w:rPr>
        <w:t xml:space="preserve"> W</w:t>
      </w:r>
      <w:r w:rsidR="003F0EA8">
        <w:rPr>
          <w:rFonts w:ascii="Arial" w:hAnsi="Arial" w:cs="Arial"/>
          <w:iCs/>
          <w:lang w:val="en-US" w:eastAsia="zh-CN"/>
        </w:rPr>
        <w:t>e</w:t>
      </w:r>
      <w:r w:rsidR="00C4466D">
        <w:rPr>
          <w:rFonts w:ascii="Arial" w:hAnsi="Arial" w:cs="Arial"/>
          <w:iCs/>
          <w:lang w:val="en-US" w:eastAsia="zh-CN"/>
        </w:rPr>
        <w:t xml:space="preserve"> therefore</w:t>
      </w:r>
      <w:r w:rsidR="003F0EA8">
        <w:rPr>
          <w:rFonts w:ascii="Arial" w:hAnsi="Arial" w:cs="Arial"/>
          <w:iCs/>
          <w:lang w:val="en-US" w:eastAsia="zh-CN"/>
        </w:rPr>
        <w:t xml:space="preserve"> proposed to adopt Alt.2 to be adopted for semi-static power sharing scheme, if supported. </w:t>
      </w:r>
    </w:p>
    <w:p w14:paraId="281BBECA" w14:textId="36E309B2" w:rsidR="00E738D2" w:rsidRPr="00E738D2" w:rsidRDefault="00E738D2" w:rsidP="00485218">
      <w:pPr>
        <w:jc w:val="both"/>
        <w:rPr>
          <w:rFonts w:ascii="Arial" w:hAnsi="Arial" w:cs="Arial"/>
          <w:lang w:val="en-US" w:eastAsia="zh-CN"/>
        </w:rPr>
      </w:pPr>
      <w:r>
        <w:rPr>
          <w:rFonts w:ascii="Arial" w:hAnsi="Arial" w:cs="Arial"/>
          <w:iCs/>
          <w:lang w:val="en-US" w:eastAsia="zh-CN"/>
        </w:rPr>
        <w:t xml:space="preserve">Another FFS aspect to enable semi-static power sharing operation is how to determine the value of </w:t>
      </w:r>
      <m:oMath>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Pr>
          <w:rFonts w:ascii="Arial" w:hAnsi="Arial" w:cs="Arial"/>
          <w:iCs/>
          <w:lang w:val="en-US" w:eastAsia="zh-CN"/>
        </w:rPr>
        <w:t xml:space="preserve"> and </w:t>
      </w:r>
      <m:oMath>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00C4466D" w:rsidRPr="00C4466D">
        <w:rPr>
          <w:rFonts w:ascii="Arial" w:hAnsi="Arial" w:cs="Arial"/>
          <w:lang w:val="en-US" w:eastAsia="zh-CN"/>
        </w:rPr>
        <w:t xml:space="preserve"> </w:t>
      </w:r>
      <w:r w:rsidR="000F1868">
        <w:rPr>
          <w:rFonts w:ascii="Arial" w:hAnsi="Arial" w:cs="Arial"/>
          <w:lang w:val="en-US" w:eastAsia="zh-CN"/>
        </w:rPr>
        <w:t>when the</w:t>
      </w:r>
      <w:r>
        <w:rPr>
          <w:rFonts w:ascii="Arial" w:hAnsi="Arial" w:cs="Arial"/>
          <w:lang w:val="en-US" w:eastAsia="zh-CN"/>
        </w:rPr>
        <w:t xml:space="preserve"> overlapped symbols of other CG are DL</w:t>
      </w:r>
      <w:r w:rsidR="000F1868">
        <w:rPr>
          <w:rFonts w:ascii="Arial" w:hAnsi="Arial" w:cs="Arial"/>
          <w:lang w:val="en-US" w:eastAsia="zh-CN"/>
        </w:rPr>
        <w:t xml:space="preserve"> slots</w:t>
      </w:r>
      <w:r>
        <w:rPr>
          <w:rFonts w:ascii="Arial" w:hAnsi="Arial" w:cs="Arial"/>
          <w:lang w:val="en-US" w:eastAsia="zh-CN"/>
        </w:rPr>
        <w:t>.</w:t>
      </w:r>
      <w:r w:rsidR="000B394E">
        <w:rPr>
          <w:rFonts w:ascii="Arial" w:hAnsi="Arial" w:cs="Arial"/>
          <w:lang w:val="en-US" w:eastAsia="zh-CN"/>
        </w:rPr>
        <w:t xml:space="preserve"> Similar as</w:t>
      </w:r>
      <w:r w:rsidR="00481565">
        <w:rPr>
          <w:rFonts w:ascii="Arial" w:hAnsi="Arial" w:cs="Arial"/>
          <w:lang w:val="en-US" w:eastAsia="zh-CN"/>
        </w:rPr>
        <w:t xml:space="preserve"> RAN4-defined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cmax</m:t>
            </m:r>
          </m:sub>
        </m:sSub>
      </m:oMath>
      <w:r w:rsidR="00481565">
        <w:rPr>
          <w:rFonts w:ascii="Arial" w:hAnsi="Arial" w:cs="Arial"/>
          <w:lang w:val="en-US" w:eastAsia="zh-CN"/>
        </w:rPr>
        <w:t xml:space="preserve"> used as upper-bound of </w:t>
      </w:r>
      <w:r w:rsidR="00481565">
        <w:rPr>
          <w:rFonts w:ascii="Arial" w:hAnsi="Arial" w:cs="Arial"/>
          <w:lang w:val="en-US" w:eastAsia="zh-CN"/>
        </w:rPr>
        <w:lastRenderedPageBreak/>
        <w:t>LTE transmission power in</w:t>
      </w:r>
      <w:r w:rsidR="000B394E">
        <w:rPr>
          <w:rFonts w:ascii="Arial" w:hAnsi="Arial" w:cs="Arial"/>
          <w:lang w:val="en-US" w:eastAsia="zh-CN"/>
        </w:rPr>
        <w:t xml:space="preserve"> NE-DC operation, we believe it is nature to leave these two parameters </w:t>
      </w:r>
      <m:oMath>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00481565">
        <w:rPr>
          <w:rFonts w:ascii="Arial" w:hAnsi="Arial" w:cs="Arial"/>
          <w:iCs/>
          <w:lang w:val="en-US" w:eastAsia="zh-CN"/>
        </w:rPr>
        <w:t xml:space="preserve"> and </w:t>
      </w:r>
      <m:oMath>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00C4466D" w:rsidRPr="00C4466D">
        <w:rPr>
          <w:rFonts w:ascii="Arial" w:hAnsi="Arial" w:cs="Arial"/>
          <w:lang w:val="en-US" w:eastAsia="zh-CN"/>
        </w:rPr>
        <w:t xml:space="preserve"> </w:t>
      </w:r>
      <w:r w:rsidR="000B394E">
        <w:rPr>
          <w:rFonts w:ascii="Arial" w:hAnsi="Arial" w:cs="Arial"/>
          <w:lang w:val="en-US" w:eastAsia="zh-CN"/>
        </w:rPr>
        <w:t>to be defined by RAN4</w:t>
      </w:r>
      <w:r w:rsidR="00481565">
        <w:rPr>
          <w:rFonts w:ascii="Arial" w:hAnsi="Arial" w:cs="Arial"/>
          <w:lang w:val="en-US" w:eastAsia="zh-CN"/>
        </w:rPr>
        <w:t xml:space="preserve"> e.g. taking the MPR values into calculation. </w:t>
      </w:r>
      <w:r w:rsidR="000B394E">
        <w:rPr>
          <w:rFonts w:ascii="Arial" w:hAnsi="Arial" w:cs="Arial"/>
          <w:lang w:val="en-US" w:eastAsia="zh-CN"/>
        </w:rPr>
        <w:t xml:space="preserve">   </w:t>
      </w:r>
    </w:p>
    <w:p w14:paraId="27290966" w14:textId="0C4293E3" w:rsidR="00C071AE" w:rsidRDefault="00152571" w:rsidP="00485218">
      <w:pPr>
        <w:spacing w:after="120"/>
        <w:jc w:val="both"/>
        <w:rPr>
          <w:rFonts w:ascii="Arial" w:hAnsi="Arial" w:cs="Arial"/>
          <w:b/>
          <w:bCs/>
          <w:lang w:val="en-US" w:eastAsia="zh-CN"/>
        </w:rPr>
      </w:pPr>
      <w:r w:rsidRPr="00152571">
        <w:rPr>
          <w:rFonts w:ascii="Arial" w:hAnsi="Arial" w:cs="Arial"/>
          <w:b/>
          <w:bCs/>
          <w:lang w:val="en-US" w:eastAsia="zh-CN"/>
        </w:rPr>
        <w:t>Proposal</w:t>
      </w:r>
      <w:r>
        <w:rPr>
          <w:rFonts w:ascii="Arial" w:hAnsi="Arial" w:cs="Arial"/>
          <w:b/>
          <w:bCs/>
          <w:lang w:val="en-US" w:eastAsia="zh-CN"/>
        </w:rPr>
        <w:t xml:space="preserve"> </w:t>
      </w:r>
      <w:r w:rsidR="004B4ECE">
        <w:rPr>
          <w:rFonts w:ascii="Arial" w:hAnsi="Arial" w:cs="Arial"/>
          <w:b/>
          <w:bCs/>
          <w:lang w:val="en-US" w:eastAsia="zh-CN"/>
        </w:rPr>
        <w:t>1</w:t>
      </w:r>
      <w:r w:rsidRPr="00152571">
        <w:rPr>
          <w:rFonts w:ascii="Arial" w:hAnsi="Arial" w:cs="Arial"/>
          <w:b/>
          <w:bCs/>
          <w:lang w:val="en-US" w:eastAsia="zh-CN"/>
        </w:rPr>
        <w:t>:</w:t>
      </w:r>
      <w:r w:rsidR="00C4466D">
        <w:rPr>
          <w:rFonts w:ascii="Arial" w:hAnsi="Arial" w:cs="Arial"/>
          <w:b/>
          <w:bCs/>
          <w:lang w:val="en-US" w:eastAsia="zh-CN"/>
        </w:rPr>
        <w:t xml:space="preserve"> Adopt Alt.1 for</w:t>
      </w:r>
      <w:r w:rsidRPr="00152571">
        <w:rPr>
          <w:rFonts w:ascii="Arial" w:hAnsi="Arial" w:cs="Arial"/>
          <w:b/>
          <w:bCs/>
          <w:lang w:val="en-US" w:eastAsia="zh-CN"/>
        </w:rPr>
        <w:t xml:space="preserve"> </w:t>
      </w:r>
      <w:r w:rsidR="00563D5B" w:rsidRPr="003F0EA8">
        <w:rPr>
          <w:rFonts w:ascii="Arial" w:hAnsi="Arial" w:cs="Arial"/>
          <w:b/>
          <w:bCs/>
          <w:lang w:val="en-US" w:eastAsia="zh-CN"/>
        </w:rPr>
        <w:t xml:space="preserve">Semi-static power sharing </w:t>
      </w:r>
      <w:r w:rsidR="00C4466D">
        <w:rPr>
          <w:rFonts w:ascii="Arial" w:hAnsi="Arial" w:cs="Arial"/>
          <w:b/>
          <w:bCs/>
          <w:lang w:val="en-US" w:eastAsia="zh-CN"/>
        </w:rPr>
        <w:t xml:space="preserve">operation </w:t>
      </w:r>
      <w:r w:rsidR="00C4466D" w:rsidRPr="00C4466D">
        <w:rPr>
          <w:rFonts w:ascii="Arial" w:hAnsi="Arial" w:cs="Arial"/>
          <w:b/>
          <w:bCs/>
          <w:lang w:eastAsia="zh-CN"/>
        </w:rPr>
        <w:t xml:space="preserve">with </w:t>
      </w:r>
      <m:oMath>
        <m:sSub>
          <m:sSubPr>
            <m:ctrlPr>
              <w:rPr>
                <w:rFonts w:ascii="Cambria Math" w:hAnsi="Cambria Math" w:cs="Arial"/>
                <w:b/>
                <w:bCs/>
                <w:i/>
                <w:iCs/>
                <w:lang w:eastAsia="zh-CN"/>
              </w:rPr>
            </m:ctrlPr>
          </m:sSubPr>
          <m:e>
            <m:r>
              <m:rPr>
                <m:sty m:val="b"/>
              </m:rPr>
              <w:rPr>
                <w:rFonts w:ascii="Cambria Math" w:hAnsi="Cambria Math" w:cs="Arial"/>
                <w:lang w:eastAsia="zh-CN"/>
              </w:rPr>
              <m:t>P</m:t>
            </m:r>
          </m:e>
          <m:sub>
            <m:r>
              <m:rPr>
                <m:sty m:val="b"/>
              </m:rPr>
              <w:rPr>
                <w:rFonts w:ascii="Cambria Math" w:hAnsi="Cambria Math" w:cs="Arial"/>
                <w:lang w:eastAsia="zh-CN"/>
              </w:rPr>
              <m:t>MCG</m:t>
            </m:r>
          </m:sub>
        </m:sSub>
      </m:oMath>
      <w:r w:rsidR="00C4466D" w:rsidRPr="00C4466D">
        <w:rPr>
          <w:rFonts w:ascii="Arial" w:hAnsi="Arial" w:cs="Arial"/>
          <w:b/>
          <w:bCs/>
          <w:lang w:eastAsia="zh-CN"/>
        </w:rPr>
        <w:t xml:space="preserve">+ </w:t>
      </w:r>
      <m:oMath>
        <m:sSub>
          <m:sSubPr>
            <m:ctrlPr>
              <w:rPr>
                <w:rFonts w:ascii="Cambria Math" w:hAnsi="Cambria Math" w:cs="Arial"/>
                <w:b/>
                <w:bCs/>
                <w:i/>
                <w:iCs/>
                <w:lang w:eastAsia="zh-CN"/>
              </w:rPr>
            </m:ctrlPr>
          </m:sSubPr>
          <m:e>
            <m:r>
              <m:rPr>
                <m:sty m:val="b"/>
              </m:rPr>
              <w:rPr>
                <w:rFonts w:ascii="Cambria Math" w:hAnsi="Cambria Math" w:cs="Arial"/>
                <w:lang w:eastAsia="zh-CN"/>
              </w:rPr>
              <m:t>P</m:t>
            </m:r>
          </m:e>
          <m:sub>
            <m:r>
              <m:rPr>
                <m:sty m:val="b"/>
              </m:rPr>
              <w:rPr>
                <w:rFonts w:ascii="Cambria Math" w:hAnsi="Cambria Math" w:cs="Arial"/>
                <w:lang w:eastAsia="zh-CN"/>
              </w:rPr>
              <m:t>SCG</m:t>
            </m:r>
          </m:sub>
        </m:sSub>
        <m:r>
          <m:rPr>
            <m:sty m:val="bi"/>
          </m:rPr>
          <w:rPr>
            <w:rFonts w:ascii="Cambria Math" w:hAnsi="Cambria Math" w:cs="Arial"/>
            <w:lang w:eastAsia="zh-CN"/>
          </w:rPr>
          <m:t>≤</m:t>
        </m:r>
        <m:sSubSup>
          <m:sSubSupPr>
            <m:ctrlPr>
              <w:rPr>
                <w:rFonts w:ascii="Cambria Math" w:hAnsi="Cambria Math" w:cs="Arial"/>
                <w:b/>
                <w:bCs/>
                <w:i/>
                <w:iCs/>
                <w:lang w:eastAsia="zh-CN"/>
              </w:rPr>
            </m:ctrlPr>
          </m:sSubSupPr>
          <m:e>
            <m:r>
              <m:rPr>
                <m:sty m:val="bi"/>
              </m:rPr>
              <w:rPr>
                <w:rFonts w:ascii="Cambria Math" w:hAnsi="Cambria Math" w:cs="Arial"/>
                <w:lang w:eastAsia="zh-CN"/>
              </w:rPr>
              <m:t>P</m:t>
            </m:r>
          </m:e>
          <m:sub>
            <m:r>
              <m:rPr>
                <m:sty m:val="bi"/>
              </m:rPr>
              <w:rPr>
                <w:rFonts w:ascii="Cambria Math" w:hAnsi="Cambria Math" w:cs="Arial"/>
                <w:lang w:eastAsia="zh-CN"/>
              </w:rPr>
              <m:t>Total</m:t>
            </m:r>
          </m:sub>
          <m:sup>
            <m:r>
              <m:rPr>
                <m:sty m:val="bi"/>
              </m:rPr>
              <w:rPr>
                <w:rFonts w:ascii="Cambria Math" w:hAnsi="Cambria Math" w:cs="Arial"/>
                <w:lang w:eastAsia="zh-CN"/>
              </w:rPr>
              <m:t>NN- DC</m:t>
            </m:r>
          </m:sup>
        </m:sSubSup>
      </m:oMath>
      <w:r w:rsidR="00C4466D">
        <w:rPr>
          <w:rFonts w:ascii="Arial" w:hAnsi="Arial" w:cs="Arial"/>
          <w:b/>
          <w:bCs/>
          <w:lang w:val="en-US" w:eastAsia="zh-CN"/>
        </w:rPr>
        <w:t xml:space="preserve"> </w:t>
      </w:r>
      <w:r w:rsidR="00563D5B" w:rsidRPr="003F0EA8">
        <w:rPr>
          <w:rFonts w:ascii="Arial" w:hAnsi="Arial" w:cs="Arial"/>
          <w:b/>
          <w:bCs/>
          <w:lang w:val="en-US" w:eastAsia="zh-CN"/>
        </w:rPr>
        <w:t>as follows:</w:t>
      </w:r>
    </w:p>
    <w:p w14:paraId="7C9A8DC8" w14:textId="61EDA41D" w:rsidR="00C4466D" w:rsidRDefault="00C4466D" w:rsidP="00485218">
      <w:pPr>
        <w:pStyle w:val="ListParagraph"/>
        <w:numPr>
          <w:ilvl w:val="0"/>
          <w:numId w:val="18"/>
        </w:numPr>
        <w:spacing w:after="0"/>
        <w:jc w:val="both"/>
        <w:rPr>
          <w:rFonts w:ascii="Arial" w:hAnsi="Arial" w:cs="Arial"/>
          <w:i/>
          <w:iCs/>
          <w:lang w:val="en-US" w:eastAsia="zh-CN"/>
        </w:rPr>
      </w:pPr>
      <w:r w:rsidRPr="00C4466D">
        <w:rPr>
          <w:rFonts w:ascii="Arial" w:hAnsi="Arial" w:cs="Arial"/>
          <w:i/>
          <w:iCs/>
          <w:lang w:val="en-US" w:eastAsia="zh-CN"/>
        </w:rPr>
        <w:t>For the uplink transmission in MCG, the UE checks the semi-statically configured direction of the overlapping symbols of all serving cells of SCG, and vice versa</w:t>
      </w:r>
      <w:r>
        <w:rPr>
          <w:rFonts w:ascii="Arial" w:hAnsi="Arial" w:cs="Arial"/>
          <w:i/>
          <w:iCs/>
          <w:lang w:val="en-US" w:eastAsia="zh-CN"/>
        </w:rPr>
        <w:t xml:space="preserve">. </w:t>
      </w:r>
    </w:p>
    <w:p w14:paraId="7CB3937A" w14:textId="2C861821" w:rsidR="00C4466D" w:rsidRPr="00C4466D" w:rsidRDefault="00C4466D" w:rsidP="00485218">
      <w:pPr>
        <w:pStyle w:val="ListParagraph"/>
        <w:numPr>
          <w:ilvl w:val="2"/>
          <w:numId w:val="18"/>
        </w:numPr>
        <w:spacing w:after="0"/>
        <w:jc w:val="both"/>
        <w:rPr>
          <w:rFonts w:ascii="Arial" w:hAnsi="Arial" w:cs="Arial"/>
          <w:i/>
          <w:iCs/>
          <w:lang w:val="en-US" w:eastAsia="zh-CN"/>
        </w:rPr>
      </w:pPr>
      <w:r w:rsidRPr="00C4466D">
        <w:rPr>
          <w:rFonts w:ascii="Arial" w:hAnsi="Arial" w:cs="Arial"/>
          <w:i/>
          <w:iCs/>
          <w:lang w:val="en-US"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4466D">
        <w:rPr>
          <w:rFonts w:ascii="Arial" w:hAnsi="Arial" w:cs="Arial"/>
          <w:i/>
          <w:iCs/>
          <w:lang w:val="en-US" w:eastAsia="zh-CN"/>
        </w:rPr>
        <w:t xml:space="preserve">in MCG such that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r>
          <w:rPr>
            <w:rFonts w:ascii="Cambria Math" w:hAnsi="Cambria Math" w:cs="Arial"/>
            <w:lang w:val="en-US" w:eastAsia="zh-CN"/>
          </w:rPr>
          <m:t>≤</m:t>
        </m:r>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4466D">
        <w:rPr>
          <w:rFonts w:ascii="Arial" w:hAnsi="Arial" w:cs="Arial"/>
          <w:i/>
          <w:iCs/>
          <w:lang w:val="en-US" w:eastAsia="zh-CN"/>
        </w:rPr>
        <w:t xml:space="preserve">; </w:t>
      </w:r>
    </w:p>
    <w:p w14:paraId="74BDD8E1" w14:textId="1A0CF76F" w:rsidR="00C4466D" w:rsidRPr="00C4466D" w:rsidRDefault="00C4466D" w:rsidP="00485218">
      <w:pPr>
        <w:pStyle w:val="ListParagraph"/>
        <w:numPr>
          <w:ilvl w:val="2"/>
          <w:numId w:val="18"/>
        </w:numPr>
        <w:spacing w:after="0"/>
        <w:jc w:val="both"/>
        <w:rPr>
          <w:rFonts w:ascii="Arial" w:hAnsi="Arial" w:cs="Arial"/>
          <w:i/>
          <w:iCs/>
          <w:lang w:val="en-US" w:eastAsia="zh-CN"/>
        </w:rPr>
      </w:pPr>
      <w:r w:rsidRPr="00C4466D">
        <w:rPr>
          <w:rFonts w:ascii="Arial" w:hAnsi="Arial" w:cs="Arial"/>
          <w:i/>
          <w:iCs/>
          <w:lang w:val="en-US" w:eastAsia="zh-CN"/>
        </w:rPr>
        <w:t xml:space="preserve">Otherwise (i.e. collides with only semi-static ‘DL’ symbols on all CCs of SCG),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4466D">
        <w:rPr>
          <w:rFonts w:ascii="Arial" w:hAnsi="Arial" w:cs="Arial"/>
          <w:i/>
          <w:iCs/>
          <w:lang w:val="en-US" w:eastAsia="zh-CN"/>
        </w:rPr>
        <w:t xml:space="preserve"> can be up to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sidRPr="00C4466D">
        <w:rPr>
          <w:rFonts w:ascii="Arial" w:hAnsi="Arial" w:cs="Arial"/>
          <w:i/>
          <w:iCs/>
          <w:lang w:val="en-US" w:eastAsia="zh-CN"/>
        </w:rPr>
        <w:t xml:space="preserve"> and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SCG</m:t>
            </m:r>
          </m:sub>
        </m:sSub>
      </m:oMath>
      <w:r w:rsidRPr="00C4466D">
        <w:rPr>
          <w:rFonts w:ascii="Arial" w:hAnsi="Arial" w:cs="Arial"/>
          <w:i/>
          <w:iCs/>
          <w:lang w:val="en-US" w:eastAsia="zh-CN"/>
        </w:rPr>
        <w:t xml:space="preserve"> can be up to </w:t>
      </w:r>
      <m:oMath>
        <m:r>
          <w:rPr>
            <w:rFonts w:ascii="Cambria Math" w:hAnsi="Cambria Math" w:cs="Arial"/>
            <w:lang w:val="en-US" w:eastAsia="zh-CN"/>
          </w:rPr>
          <m:t> </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sidR="00481565">
        <w:rPr>
          <w:rFonts w:ascii="Arial" w:hAnsi="Arial" w:cs="Arial"/>
          <w:i/>
          <w:iCs/>
          <w:lang w:val="en-US" w:eastAsia="zh-CN"/>
        </w:rPr>
        <w:t xml:space="preserve">, wherein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sidR="00481565">
        <w:rPr>
          <w:rFonts w:ascii="Arial" w:hAnsi="Arial" w:cs="Arial"/>
          <w:i/>
          <w:iCs/>
          <w:lang w:val="en-US" w:eastAsia="zh-CN"/>
        </w:rPr>
        <w:t xml:space="preserve">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sidR="00481565">
        <w:rPr>
          <w:rFonts w:ascii="Arial" w:hAnsi="Arial" w:cs="Arial"/>
          <w:i/>
          <w:iCs/>
          <w:lang w:val="en-US" w:eastAsia="zh-CN"/>
        </w:rPr>
        <w:t xml:space="preserve"> are defined by RAN4.</w:t>
      </w:r>
    </w:p>
    <w:p w14:paraId="5A8D0EC7" w14:textId="77777777" w:rsidR="00C4466D" w:rsidRDefault="00C4466D" w:rsidP="00485218">
      <w:pPr>
        <w:pStyle w:val="ListParagraph"/>
        <w:spacing w:before="360" w:after="0"/>
        <w:ind w:left="360"/>
        <w:jc w:val="both"/>
        <w:rPr>
          <w:rFonts w:ascii="Arial" w:hAnsi="Arial" w:cs="Arial"/>
          <w:i/>
          <w:iCs/>
          <w:lang w:val="en-US" w:eastAsia="zh-CN"/>
        </w:rPr>
      </w:pPr>
    </w:p>
    <w:p w14:paraId="6355BA81" w14:textId="77777777" w:rsidR="00152571" w:rsidRPr="00152571" w:rsidRDefault="00152571" w:rsidP="00485218">
      <w:pPr>
        <w:spacing w:after="0"/>
        <w:jc w:val="both"/>
        <w:rPr>
          <w:rFonts w:ascii="Arial" w:hAnsi="Arial" w:cs="Arial"/>
          <w:lang w:val="en-US" w:eastAsia="zh-CN"/>
        </w:rPr>
      </w:pPr>
    </w:p>
    <w:p w14:paraId="4BD4225E" w14:textId="1531804F" w:rsidR="00481565" w:rsidRPr="00481565" w:rsidRDefault="00C071AE" w:rsidP="00485218">
      <w:pPr>
        <w:pStyle w:val="Heading2"/>
        <w:spacing w:before="180" w:after="180"/>
        <w:ind w:left="1134" w:hanging="1134"/>
        <w:jc w:val="both"/>
        <w:rPr>
          <w:rFonts w:ascii="Arial" w:eastAsia="SimSun" w:hAnsi="Arial" w:cs="Arial"/>
          <w:color w:val="auto"/>
          <w:sz w:val="32"/>
          <w:szCs w:val="20"/>
          <w:lang w:val="en-US" w:eastAsia="zh-CN"/>
        </w:rPr>
      </w:pPr>
      <w:r w:rsidRPr="00C071AE">
        <w:rPr>
          <w:rFonts w:ascii="Arial" w:eastAsia="SimSun" w:hAnsi="Arial" w:cs="Arial"/>
          <w:color w:val="auto"/>
          <w:sz w:val="32"/>
          <w:szCs w:val="20"/>
          <w:lang w:val="en-US" w:eastAsia="zh-CN"/>
        </w:rPr>
        <w:t>2.</w:t>
      </w:r>
      <w:r w:rsidR="00481565">
        <w:rPr>
          <w:rFonts w:ascii="Arial" w:eastAsia="SimSun" w:hAnsi="Arial" w:cs="Arial"/>
          <w:color w:val="auto"/>
          <w:sz w:val="32"/>
          <w:szCs w:val="20"/>
          <w:lang w:val="en-US" w:eastAsia="zh-CN"/>
        </w:rPr>
        <w:t>2</w:t>
      </w:r>
      <w:r w:rsidRPr="00C071AE">
        <w:rPr>
          <w:rFonts w:ascii="Arial" w:eastAsia="SimSun" w:hAnsi="Arial" w:cs="Arial"/>
          <w:color w:val="auto"/>
          <w:sz w:val="32"/>
          <w:szCs w:val="20"/>
          <w:lang w:val="en-US" w:eastAsia="zh-CN"/>
        </w:rPr>
        <w:t xml:space="preserve"> </w:t>
      </w:r>
      <w:r>
        <w:rPr>
          <w:rFonts w:ascii="Arial" w:eastAsia="SimSun" w:hAnsi="Arial" w:cs="Arial"/>
          <w:color w:val="auto"/>
          <w:sz w:val="32"/>
          <w:szCs w:val="20"/>
          <w:lang w:val="en-US" w:eastAsia="zh-CN"/>
        </w:rPr>
        <w:t>Dynamic power sharing scheme</w:t>
      </w:r>
    </w:p>
    <w:p w14:paraId="7EE78522" w14:textId="309E0A7A" w:rsidR="00757E9D" w:rsidRDefault="005542D6" w:rsidP="00485218">
      <w:pPr>
        <w:jc w:val="both"/>
        <w:rPr>
          <w:rFonts w:ascii="Arial" w:hAnsi="Arial" w:cs="Arial"/>
          <w:lang w:val="en-US" w:eastAsia="zh-CN"/>
        </w:rPr>
      </w:pPr>
      <w:r>
        <w:rPr>
          <w:rFonts w:ascii="Arial" w:hAnsi="Arial" w:cs="Arial"/>
          <w:lang w:val="en-US" w:eastAsia="zh-CN"/>
        </w:rPr>
        <w:t xml:space="preserve">In the RAN1 #98meeting, one design principle was agreed to </w:t>
      </w:r>
      <w:r w:rsidRPr="004B4ECE">
        <w:rPr>
          <w:rFonts w:ascii="Arial" w:hAnsi="Arial" w:cs="Arial"/>
          <w:lang w:val="en-US"/>
        </w:rPr>
        <w:t>reuse the existing CA power determination for uplink transmissions on CC(s) in a same CG</w:t>
      </w:r>
      <w:r>
        <w:rPr>
          <w:rFonts w:ascii="Arial" w:hAnsi="Arial" w:cs="Arial"/>
          <w:lang w:val="en-US"/>
        </w:rPr>
        <w:t xml:space="preserve">. There are still at least two controversial issues regarding uplink power sharing that should be addressed, </w:t>
      </w:r>
      <w:r>
        <w:rPr>
          <w:rFonts w:ascii="Arial" w:hAnsi="Arial" w:cs="Arial"/>
          <w:lang w:val="en-US" w:eastAsia="zh-CN"/>
        </w:rPr>
        <w:t xml:space="preserve">one is whether and how to define ‘look-ahead’ behavior and the other is priority order determination for the overlapped </w:t>
      </w:r>
      <w:r w:rsidR="00ED4D09">
        <w:rPr>
          <w:rFonts w:ascii="Arial" w:hAnsi="Arial" w:cs="Arial"/>
          <w:lang w:val="en-US" w:eastAsia="zh-CN"/>
        </w:rPr>
        <w:t xml:space="preserve">uplink </w:t>
      </w:r>
      <w:r>
        <w:rPr>
          <w:rFonts w:ascii="Arial" w:hAnsi="Arial" w:cs="Arial"/>
          <w:lang w:val="en-US" w:eastAsia="zh-CN"/>
        </w:rPr>
        <w:t>transmissions across CGs.</w:t>
      </w:r>
    </w:p>
    <w:p w14:paraId="60E759BA" w14:textId="20DECE65" w:rsidR="009E59FA" w:rsidRDefault="00B66702" w:rsidP="00485218">
      <w:pPr>
        <w:jc w:val="both"/>
        <w:rPr>
          <w:rFonts w:ascii="Arial" w:hAnsi="Arial" w:cs="Arial"/>
          <w:lang w:val="en-US" w:eastAsia="zh-CN"/>
        </w:rPr>
      </w:pPr>
      <w:r>
        <w:rPr>
          <w:rFonts w:ascii="Arial" w:hAnsi="Arial" w:cs="Arial"/>
          <w:lang w:val="en-US" w:eastAsia="zh-CN"/>
        </w:rPr>
        <w:t>For dynamic power sharing</w:t>
      </w:r>
      <w:r w:rsidR="004229CC">
        <w:rPr>
          <w:rFonts w:ascii="Arial" w:hAnsi="Arial" w:cs="Arial"/>
          <w:lang w:val="en-US" w:eastAsia="zh-CN"/>
        </w:rPr>
        <w:t>,</w:t>
      </w:r>
      <w:r w:rsidR="00644D23">
        <w:rPr>
          <w:rFonts w:ascii="Arial" w:hAnsi="Arial" w:cs="Arial"/>
          <w:lang w:val="en-US" w:eastAsia="zh-CN"/>
        </w:rPr>
        <w:t xml:space="preserve"> in some cases,</w:t>
      </w:r>
      <w:r w:rsidR="004229CC">
        <w:rPr>
          <w:rFonts w:ascii="Arial" w:hAnsi="Arial" w:cs="Arial"/>
          <w:lang w:val="en-US" w:eastAsia="zh-CN"/>
        </w:rPr>
        <w:t xml:space="preserve"> </w:t>
      </w:r>
      <w:r w:rsidR="00431C40">
        <w:rPr>
          <w:rFonts w:ascii="Arial" w:hAnsi="Arial" w:cs="Arial"/>
          <w:lang w:val="en-US" w:eastAsia="zh-CN"/>
        </w:rPr>
        <w:t>UE needs to re-scale the power in the middle of UL transmission due to the overlapping transmission of other CG with higher priority order, causing phase discontinuity problem. To reduce the probability of this kind of power adjustment operation, it was proposed to define “look-ahead” behaviors</w:t>
      </w:r>
      <w:r w:rsidR="00ED4D09">
        <w:rPr>
          <w:rFonts w:ascii="Arial" w:hAnsi="Arial" w:cs="Arial"/>
          <w:lang w:val="en-US" w:eastAsia="zh-CN"/>
        </w:rPr>
        <w:t xml:space="preserve">, which </w:t>
      </w:r>
      <w:r w:rsidR="00431C40">
        <w:rPr>
          <w:rFonts w:ascii="Arial" w:hAnsi="Arial" w:cs="Arial"/>
          <w:lang w:val="en-US" w:eastAsia="zh-CN"/>
        </w:rPr>
        <w:t>requests UE to</w:t>
      </w:r>
      <w:r w:rsidR="00ED4D09">
        <w:rPr>
          <w:rFonts w:ascii="Arial" w:hAnsi="Arial" w:cs="Arial"/>
          <w:lang w:val="en-US" w:eastAsia="zh-CN"/>
        </w:rPr>
        <w:t xml:space="preserve"> jointly</w:t>
      </w:r>
      <w:r w:rsidR="00431C40">
        <w:rPr>
          <w:rFonts w:ascii="Arial" w:hAnsi="Arial" w:cs="Arial"/>
          <w:lang w:val="en-US" w:eastAsia="zh-CN"/>
        </w:rPr>
        <w:t xml:space="preserve"> determine a transmission power at a given time instance by taking into account the overlapped PUSCH of other CG that is scheduled </w:t>
      </w:r>
      <w:r w:rsidR="00644D23">
        <w:rPr>
          <w:rFonts w:ascii="Arial" w:hAnsi="Arial" w:cs="Arial"/>
          <w:lang w:val="en-US" w:eastAsia="zh-CN"/>
        </w:rPr>
        <w:t xml:space="preserve">at a later time. </w:t>
      </w:r>
      <w:r w:rsidR="001D5272">
        <w:rPr>
          <w:rFonts w:ascii="Arial" w:hAnsi="Arial" w:cs="Arial"/>
          <w:lang w:val="en-US" w:eastAsia="zh-CN"/>
        </w:rPr>
        <w:t>Generally speaking, t</w:t>
      </w:r>
      <w:r w:rsidR="00644D23">
        <w:rPr>
          <w:rFonts w:ascii="Arial" w:hAnsi="Arial" w:cs="Arial"/>
          <w:lang w:val="en-US" w:eastAsia="zh-CN"/>
        </w:rPr>
        <w:t xml:space="preserve">his results in more stringent processing timing requirement at UE side. </w:t>
      </w:r>
    </w:p>
    <w:p w14:paraId="31C33B69" w14:textId="2BA11201" w:rsidR="00397863" w:rsidRDefault="00644D23" w:rsidP="00485218">
      <w:pPr>
        <w:jc w:val="both"/>
        <w:rPr>
          <w:rFonts w:ascii="Arial" w:hAnsi="Arial" w:cs="Arial"/>
          <w:lang w:val="en-US" w:eastAsia="zh-CN"/>
        </w:rPr>
      </w:pPr>
      <w:r w:rsidRPr="00ED4D09">
        <w:rPr>
          <w:rFonts w:ascii="Arial" w:hAnsi="Arial" w:cs="Arial"/>
          <w:lang w:val="en-US" w:eastAsia="zh-CN"/>
        </w:rPr>
        <w:t xml:space="preserve">In Rel-15, some kind of ‘look-ahead’ behavior was </w:t>
      </w:r>
      <w:r w:rsidR="009E59FA" w:rsidRPr="00ED4D09">
        <w:rPr>
          <w:rFonts w:ascii="Arial" w:hAnsi="Arial" w:cs="Arial"/>
          <w:lang w:val="en-US" w:eastAsia="zh-CN"/>
        </w:rPr>
        <w:t>introduced</w:t>
      </w:r>
      <w:r w:rsidRPr="00ED4D09">
        <w:rPr>
          <w:rFonts w:ascii="Arial" w:hAnsi="Arial" w:cs="Arial"/>
          <w:lang w:val="en-US" w:eastAsia="zh-CN"/>
        </w:rPr>
        <w:t xml:space="preserve"> for UCI multiplexing </w:t>
      </w:r>
      <w:r w:rsidR="00ED4D09">
        <w:rPr>
          <w:rFonts w:ascii="Arial" w:hAnsi="Arial" w:cs="Arial"/>
          <w:lang w:val="en-US" w:eastAsia="zh-CN"/>
        </w:rPr>
        <w:t xml:space="preserve">operation. In our view, it </w:t>
      </w:r>
      <w:r w:rsidR="00FE67BA">
        <w:rPr>
          <w:rFonts w:ascii="Arial" w:hAnsi="Arial" w:cs="Arial"/>
          <w:lang w:val="en-US" w:eastAsia="zh-CN"/>
        </w:rPr>
        <w:t xml:space="preserve">can </w:t>
      </w:r>
      <w:r w:rsidR="009E59FA" w:rsidRPr="00ED4D09">
        <w:rPr>
          <w:rFonts w:ascii="Arial" w:hAnsi="Arial" w:cs="Arial"/>
          <w:lang w:val="en-US" w:eastAsia="zh-CN"/>
        </w:rPr>
        <w:t xml:space="preserve">serve as a starting point to define </w:t>
      </w:r>
      <w:r w:rsidR="00ED4D09">
        <w:rPr>
          <w:rFonts w:ascii="Arial" w:hAnsi="Arial" w:cs="Arial"/>
          <w:lang w:val="en-US" w:eastAsia="zh-CN"/>
        </w:rPr>
        <w:t>‘look-ahead’</w:t>
      </w:r>
      <w:r w:rsidR="009E59FA" w:rsidRPr="00ED4D09">
        <w:rPr>
          <w:rFonts w:ascii="Arial" w:hAnsi="Arial" w:cs="Arial"/>
          <w:lang w:val="en-US" w:eastAsia="zh-CN"/>
        </w:rPr>
        <w:t xml:space="preserve"> </w:t>
      </w:r>
      <w:r w:rsidR="00ED4D09">
        <w:rPr>
          <w:rFonts w:ascii="Arial" w:hAnsi="Arial" w:cs="Arial"/>
          <w:lang w:val="en-US" w:eastAsia="zh-CN"/>
        </w:rPr>
        <w:t>requirement</w:t>
      </w:r>
      <w:r w:rsidR="009E59FA" w:rsidRPr="00ED4D09">
        <w:rPr>
          <w:rFonts w:ascii="Arial" w:hAnsi="Arial" w:cs="Arial"/>
          <w:lang w:val="en-US" w:eastAsia="zh-CN"/>
        </w:rPr>
        <w:t xml:space="preserve"> </w:t>
      </w:r>
      <w:r w:rsidR="00ED4D09">
        <w:rPr>
          <w:rFonts w:ascii="Arial" w:hAnsi="Arial" w:cs="Arial"/>
          <w:lang w:val="en-US" w:eastAsia="zh-CN"/>
        </w:rPr>
        <w:t xml:space="preserve">to enable </w:t>
      </w:r>
      <w:r w:rsidR="009E59FA" w:rsidRPr="00ED4D09">
        <w:rPr>
          <w:rFonts w:ascii="Arial" w:hAnsi="Arial" w:cs="Arial"/>
          <w:lang w:val="en-US" w:eastAsia="zh-CN"/>
        </w:rPr>
        <w:t>dynamic power sharing</w:t>
      </w:r>
      <w:r w:rsidR="0048043C" w:rsidRPr="00ED4D09">
        <w:rPr>
          <w:rFonts w:ascii="Arial" w:hAnsi="Arial" w:cs="Arial"/>
          <w:lang w:val="en-US" w:eastAsia="zh-CN"/>
        </w:rPr>
        <w:t xml:space="preserve"> for NR-NR DC</w:t>
      </w:r>
      <w:r w:rsidR="009E59FA" w:rsidRPr="00ED4D09">
        <w:rPr>
          <w:rFonts w:ascii="Arial" w:hAnsi="Arial" w:cs="Arial"/>
          <w:lang w:val="en-US" w:eastAsia="zh-CN"/>
        </w:rPr>
        <w:t>.</w:t>
      </w:r>
      <w:r w:rsidR="00DA1593">
        <w:rPr>
          <w:rFonts w:ascii="Arial" w:hAnsi="Arial" w:cs="Arial"/>
          <w:lang w:val="en-US" w:eastAsia="zh-CN"/>
        </w:rPr>
        <w:t xml:space="preserve"> </w:t>
      </w:r>
      <w:r w:rsidR="002D1FD7">
        <w:rPr>
          <w:rFonts w:ascii="Arial" w:hAnsi="Arial" w:cs="Arial"/>
          <w:lang w:val="en-US" w:eastAsia="zh-CN"/>
        </w:rPr>
        <w:t>First, UE determines a group of overlapping UL transmissions. Secondly, UE determines the transmission</w:t>
      </w:r>
      <w:r w:rsidR="00DE64D5">
        <w:rPr>
          <w:rFonts w:ascii="Arial" w:hAnsi="Arial" w:cs="Arial"/>
          <w:lang w:val="en-US" w:eastAsia="zh-CN"/>
        </w:rPr>
        <w:t xml:space="preserve"> power</w:t>
      </w:r>
      <w:r w:rsidR="002D1FD7">
        <w:rPr>
          <w:rFonts w:ascii="Arial" w:hAnsi="Arial" w:cs="Arial"/>
          <w:lang w:val="en-US" w:eastAsia="zh-CN"/>
        </w:rPr>
        <w:t xml:space="preserve"> of overlapping UL transmissions </w:t>
      </w:r>
      <w:r w:rsidR="00DE64D5">
        <w:rPr>
          <w:rFonts w:ascii="Arial" w:hAnsi="Arial" w:cs="Arial"/>
          <w:lang w:val="en-US" w:eastAsia="zh-CN"/>
        </w:rPr>
        <w:t>depending on whether the overlapping UL transmissions satisfy the UCI multiplexing timeline conditions defined in Rel-15. Similar</w:t>
      </w:r>
      <w:r w:rsidR="0030741B">
        <w:rPr>
          <w:rFonts w:ascii="Arial" w:hAnsi="Arial" w:cs="Arial"/>
          <w:lang w:val="en-US" w:eastAsia="zh-CN"/>
        </w:rPr>
        <w:t xml:space="preserve"> as Rel-15 UCI multiplexing operation, the reference point for timeline condition can be defined as the first symbol of the earliest overlapping uplink transmissions.  </w:t>
      </w:r>
    </w:p>
    <w:p w14:paraId="25F22775" w14:textId="644E0EF2" w:rsidR="00DE64D5" w:rsidRDefault="00DE64D5" w:rsidP="00485218">
      <w:pPr>
        <w:jc w:val="both"/>
        <w:rPr>
          <w:rFonts w:ascii="Arial" w:hAnsi="Arial" w:cs="Arial"/>
          <w:lang w:val="en-US" w:eastAsia="zh-CN"/>
        </w:rPr>
      </w:pPr>
      <w:r>
        <w:rPr>
          <w:rFonts w:ascii="Arial" w:hAnsi="Arial" w:cs="Arial"/>
          <w:lang w:val="en-US" w:eastAsia="zh-CN"/>
        </w:rPr>
        <w:t>FIG.1 provides one example for the timeline conditions.</w:t>
      </w:r>
      <w:r w:rsidR="0030741B">
        <w:rPr>
          <w:rFonts w:ascii="Arial" w:hAnsi="Arial" w:cs="Arial"/>
          <w:lang w:val="en-US" w:eastAsia="zh-CN"/>
        </w:rPr>
        <w:t xml:space="preserve"> </w:t>
      </w:r>
      <w:r w:rsidR="00DA1593">
        <w:rPr>
          <w:rFonts w:ascii="Arial" w:hAnsi="Arial" w:cs="Arial"/>
          <w:lang w:val="en-US" w:eastAsia="zh-CN"/>
        </w:rPr>
        <w:t>In this case, t</w:t>
      </w:r>
      <w:r w:rsidR="0030741B">
        <w:rPr>
          <w:rFonts w:ascii="Arial" w:hAnsi="Arial" w:cs="Arial"/>
          <w:lang w:val="en-US" w:eastAsia="zh-CN"/>
        </w:rPr>
        <w:t xml:space="preserve">he first symbol of </w:t>
      </w:r>
      <w:r w:rsidR="00DA1593">
        <w:rPr>
          <w:rFonts w:ascii="Arial" w:hAnsi="Arial" w:cs="Arial"/>
          <w:lang w:val="en-US" w:eastAsia="zh-CN"/>
        </w:rPr>
        <w:t xml:space="preserve">leading transmission </w:t>
      </w:r>
      <w:r w:rsidR="0030741B">
        <w:rPr>
          <w:rFonts w:ascii="Arial" w:hAnsi="Arial" w:cs="Arial"/>
          <w:lang w:val="en-US" w:eastAsia="zh-CN"/>
        </w:rPr>
        <w:t>PUSCH</w:t>
      </w:r>
      <w:r w:rsidR="00DA1593">
        <w:rPr>
          <w:rFonts w:ascii="Arial" w:hAnsi="Arial" w:cs="Arial"/>
          <w:lang w:val="en-US" w:eastAsia="zh-CN"/>
        </w:rPr>
        <w:t xml:space="preserve"> #1 is used as the reference point. The PDCCH with the DCI format scheduling the PUSCH #2 meets the timeline condition. Hence, the UE can jointly determine the transmission power of PUSCH #1 and PUSCH #2 to mitigate the phase discontinuity problem.    </w:t>
      </w:r>
      <w:r w:rsidR="0030741B">
        <w:rPr>
          <w:rFonts w:ascii="Arial" w:hAnsi="Arial" w:cs="Arial"/>
          <w:lang w:val="en-US" w:eastAsia="zh-CN"/>
        </w:rPr>
        <w:t xml:space="preserve"> </w:t>
      </w:r>
      <w:r>
        <w:rPr>
          <w:rFonts w:ascii="Arial" w:hAnsi="Arial" w:cs="Arial"/>
          <w:lang w:val="en-US" w:eastAsia="zh-CN"/>
        </w:rPr>
        <w:t xml:space="preserve"> </w:t>
      </w:r>
    </w:p>
    <w:p w14:paraId="535C6507" w14:textId="419A3186" w:rsidR="0030741B" w:rsidRDefault="0030741B" w:rsidP="00485218">
      <w:pPr>
        <w:jc w:val="center"/>
        <w:rPr>
          <w:rFonts w:ascii="Arial" w:hAnsi="Arial" w:cs="Arial"/>
          <w:lang w:val="en-US" w:eastAsia="zh-CN"/>
        </w:rPr>
      </w:pPr>
      <w:r>
        <w:rPr>
          <w:rFonts w:ascii="Arial" w:hAnsi="Arial" w:cs="Arial"/>
          <w:noProof/>
          <w:lang w:val="en-US" w:eastAsia="zh-CN"/>
        </w:rPr>
        <w:drawing>
          <wp:inline distT="0" distB="0" distL="0" distR="0" wp14:anchorId="2A90BE23" wp14:editId="44BA979E">
            <wp:extent cx="5478780" cy="19608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9-10-02 at 4.51.56 P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42273" cy="1983591"/>
                    </a:xfrm>
                    <a:prstGeom prst="rect">
                      <a:avLst/>
                    </a:prstGeom>
                  </pic:spPr>
                </pic:pic>
              </a:graphicData>
            </a:graphic>
          </wp:inline>
        </w:drawing>
      </w:r>
    </w:p>
    <w:p w14:paraId="536AC99B" w14:textId="2383C809" w:rsidR="0030741B" w:rsidRPr="00DA1593" w:rsidRDefault="0030741B" w:rsidP="00485218">
      <w:pPr>
        <w:jc w:val="center"/>
        <w:rPr>
          <w:rFonts w:ascii="Arial" w:hAnsi="Arial" w:cs="Arial"/>
          <w:b/>
          <w:bCs/>
          <w:lang w:val="en-US" w:eastAsia="zh-CN"/>
        </w:rPr>
      </w:pPr>
      <w:r w:rsidRPr="00DA1593">
        <w:rPr>
          <w:rFonts w:ascii="Arial" w:hAnsi="Arial" w:cs="Arial"/>
          <w:b/>
          <w:bCs/>
          <w:lang w:val="en-US" w:eastAsia="zh-CN"/>
        </w:rPr>
        <w:t xml:space="preserve">Figure 1: </w:t>
      </w:r>
      <w:r w:rsidR="00DA1593" w:rsidRPr="00DA1593">
        <w:rPr>
          <w:rFonts w:ascii="Arial" w:hAnsi="Arial" w:cs="Arial"/>
          <w:b/>
          <w:bCs/>
          <w:lang w:val="en-US" w:eastAsia="zh-CN"/>
        </w:rPr>
        <w:t>Dynamic power sharing across CGs with ‘look-ahead’ operation</w:t>
      </w:r>
    </w:p>
    <w:p w14:paraId="4C803FE3" w14:textId="77777777" w:rsidR="00DA1593" w:rsidRDefault="00DA1593" w:rsidP="00485218">
      <w:pPr>
        <w:jc w:val="both"/>
        <w:rPr>
          <w:rFonts w:ascii="Arial" w:hAnsi="Arial" w:cs="Arial"/>
          <w:lang w:val="en-US" w:eastAsia="zh-CN"/>
        </w:rPr>
      </w:pPr>
    </w:p>
    <w:p w14:paraId="177DA254" w14:textId="45575114" w:rsidR="001D5272" w:rsidRDefault="009E59FA" w:rsidP="00485218">
      <w:pPr>
        <w:jc w:val="both"/>
        <w:rPr>
          <w:rFonts w:ascii="Arial" w:hAnsi="Arial" w:cs="Arial"/>
          <w:lang w:val="en-US" w:eastAsia="zh-CN"/>
        </w:rPr>
      </w:pPr>
      <w:r w:rsidRPr="00ED4D09">
        <w:rPr>
          <w:rFonts w:ascii="Arial" w:hAnsi="Arial" w:cs="Arial"/>
          <w:lang w:val="en-US" w:eastAsia="zh-CN"/>
        </w:rPr>
        <w:lastRenderedPageBreak/>
        <w:t>Given the concerns on potential restrictions of hardware structure, we believe it is reasonable to introduce UE capability for dynamic power sharing support.</w:t>
      </w:r>
      <w:r w:rsidR="00606297">
        <w:rPr>
          <w:rFonts w:ascii="Arial" w:hAnsi="Arial" w:cs="Arial"/>
          <w:lang w:val="en-US" w:eastAsia="zh-CN"/>
        </w:rPr>
        <w:t xml:space="preserve"> </w:t>
      </w:r>
    </w:p>
    <w:p w14:paraId="4DC026AD" w14:textId="7743CA68" w:rsidR="008220E8" w:rsidRPr="00B66702" w:rsidRDefault="00B66702" w:rsidP="00485218">
      <w:pPr>
        <w:spacing w:after="0"/>
        <w:jc w:val="both"/>
        <w:rPr>
          <w:rFonts w:ascii="Arial" w:hAnsi="Arial" w:cs="Arial"/>
          <w:b/>
          <w:bCs/>
          <w:lang w:val="en-US" w:eastAsia="zh-CN"/>
        </w:rPr>
      </w:pPr>
      <w:r w:rsidRPr="00B66702">
        <w:rPr>
          <w:rFonts w:ascii="Arial" w:hAnsi="Arial" w:cs="Arial"/>
          <w:b/>
          <w:bCs/>
          <w:lang w:val="en-US" w:eastAsia="zh-CN"/>
        </w:rPr>
        <w:t xml:space="preserve">Proposal </w:t>
      </w:r>
      <w:r w:rsidR="00481565">
        <w:rPr>
          <w:rFonts w:ascii="Arial" w:hAnsi="Arial" w:cs="Arial"/>
          <w:b/>
          <w:bCs/>
          <w:lang w:val="en-US" w:eastAsia="zh-CN"/>
        </w:rPr>
        <w:t>2</w:t>
      </w:r>
      <w:r w:rsidRPr="00B66702">
        <w:rPr>
          <w:rFonts w:ascii="Arial" w:hAnsi="Arial" w:cs="Arial"/>
          <w:b/>
          <w:bCs/>
          <w:lang w:val="en-US" w:eastAsia="zh-CN"/>
        </w:rPr>
        <w:t xml:space="preserve">: </w:t>
      </w:r>
    </w:p>
    <w:p w14:paraId="323BAA21" w14:textId="29D0BB66" w:rsidR="0048043C" w:rsidRDefault="0048043C" w:rsidP="00485218">
      <w:pPr>
        <w:pStyle w:val="ListParagraph"/>
        <w:numPr>
          <w:ilvl w:val="0"/>
          <w:numId w:val="21"/>
        </w:numPr>
        <w:jc w:val="both"/>
        <w:rPr>
          <w:rFonts w:ascii="Arial" w:hAnsi="Arial" w:cs="Arial"/>
          <w:i/>
          <w:iCs/>
          <w:lang w:val="en-US" w:eastAsia="zh-CN"/>
        </w:rPr>
      </w:pPr>
      <w:r>
        <w:rPr>
          <w:rFonts w:ascii="Arial" w:hAnsi="Arial" w:cs="Arial"/>
          <w:i/>
          <w:iCs/>
          <w:lang w:val="en-US" w:eastAsia="zh-CN"/>
        </w:rPr>
        <w:t>Reus</w:t>
      </w:r>
      <w:r w:rsidR="00B5370C">
        <w:rPr>
          <w:rFonts w:ascii="Arial" w:hAnsi="Arial" w:cs="Arial"/>
          <w:i/>
          <w:iCs/>
          <w:lang w:val="en-US" w:eastAsia="zh-CN"/>
        </w:rPr>
        <w:t>e</w:t>
      </w:r>
      <w:r>
        <w:rPr>
          <w:rFonts w:ascii="Arial" w:hAnsi="Arial" w:cs="Arial"/>
          <w:i/>
          <w:iCs/>
          <w:lang w:val="en-US" w:eastAsia="zh-CN"/>
        </w:rPr>
        <w:t xml:space="preserve"> </w:t>
      </w:r>
      <w:r w:rsidR="00DE64D5">
        <w:rPr>
          <w:rFonts w:ascii="Arial" w:hAnsi="Arial" w:cs="Arial"/>
          <w:i/>
          <w:iCs/>
          <w:lang w:val="en-US" w:eastAsia="zh-CN"/>
        </w:rPr>
        <w:t>Rel-15 timeline</w:t>
      </w:r>
      <w:r>
        <w:rPr>
          <w:rFonts w:ascii="Arial" w:hAnsi="Arial" w:cs="Arial"/>
          <w:i/>
          <w:iCs/>
          <w:lang w:val="en-US" w:eastAsia="zh-CN"/>
        </w:rPr>
        <w:t xml:space="preserve"> </w:t>
      </w:r>
      <w:r w:rsidR="00DE64D5">
        <w:rPr>
          <w:rFonts w:ascii="Arial" w:hAnsi="Arial" w:cs="Arial"/>
          <w:i/>
          <w:iCs/>
          <w:lang w:val="en-US" w:eastAsia="zh-CN"/>
        </w:rPr>
        <w:t>defined for</w:t>
      </w:r>
      <w:r>
        <w:rPr>
          <w:rFonts w:ascii="Arial" w:hAnsi="Arial" w:cs="Arial"/>
          <w:i/>
          <w:iCs/>
          <w:lang w:val="en-US" w:eastAsia="zh-CN"/>
        </w:rPr>
        <w:t xml:space="preserve"> UCI multiplexing on</w:t>
      </w:r>
      <w:r w:rsidR="00DE64D5">
        <w:rPr>
          <w:rFonts w:ascii="Arial" w:hAnsi="Arial" w:cs="Arial"/>
          <w:i/>
          <w:iCs/>
          <w:lang w:val="en-US" w:eastAsia="zh-CN"/>
        </w:rPr>
        <w:t xml:space="preserve"> overlapped UL </w:t>
      </w:r>
      <w:r w:rsidR="00F059AD">
        <w:rPr>
          <w:rFonts w:ascii="Arial" w:hAnsi="Arial" w:cs="Arial"/>
          <w:i/>
          <w:iCs/>
          <w:lang w:val="en-US" w:eastAsia="zh-CN"/>
        </w:rPr>
        <w:t>transmissions</w:t>
      </w:r>
      <w:r>
        <w:rPr>
          <w:rFonts w:ascii="Arial" w:hAnsi="Arial" w:cs="Arial"/>
          <w:i/>
          <w:iCs/>
          <w:lang w:val="en-US" w:eastAsia="zh-CN"/>
        </w:rPr>
        <w:t xml:space="preserve"> as staring point to define ‘look-ahead’ behavior for NR-NR</w:t>
      </w:r>
      <w:r w:rsidR="00C928D7">
        <w:rPr>
          <w:rFonts w:ascii="Arial" w:hAnsi="Arial" w:cs="Arial"/>
          <w:i/>
          <w:iCs/>
          <w:lang w:val="en-US" w:eastAsia="zh-CN"/>
        </w:rPr>
        <w:t xml:space="preserve"> DC</w:t>
      </w:r>
      <w:r>
        <w:rPr>
          <w:rFonts w:ascii="Arial" w:hAnsi="Arial" w:cs="Arial"/>
          <w:i/>
          <w:iCs/>
          <w:lang w:val="en-US" w:eastAsia="zh-CN"/>
        </w:rPr>
        <w:t xml:space="preserve"> power control in Rel-16. </w:t>
      </w:r>
    </w:p>
    <w:p w14:paraId="64C778FB" w14:textId="77777777" w:rsidR="001B12E0" w:rsidRDefault="0048043C" w:rsidP="00485218">
      <w:pPr>
        <w:pStyle w:val="ListParagraph"/>
        <w:numPr>
          <w:ilvl w:val="0"/>
          <w:numId w:val="21"/>
        </w:numPr>
        <w:jc w:val="both"/>
        <w:rPr>
          <w:rFonts w:ascii="Arial" w:hAnsi="Arial" w:cs="Arial"/>
          <w:i/>
          <w:iCs/>
          <w:lang w:val="en-US" w:eastAsia="zh-CN"/>
        </w:rPr>
      </w:pPr>
      <w:r>
        <w:rPr>
          <w:rFonts w:ascii="Arial" w:hAnsi="Arial" w:cs="Arial"/>
          <w:i/>
          <w:iCs/>
          <w:lang w:val="en-US" w:eastAsia="zh-CN"/>
        </w:rPr>
        <w:t>Introduc</w:t>
      </w:r>
      <w:r w:rsidR="00B5370C">
        <w:rPr>
          <w:rFonts w:ascii="Arial" w:hAnsi="Arial" w:cs="Arial"/>
          <w:i/>
          <w:iCs/>
          <w:lang w:val="en-US" w:eastAsia="zh-CN"/>
        </w:rPr>
        <w:t>e a UE capability to indicate the support of dynamic power sharing for Rel-16 NR-NR DC.</w:t>
      </w:r>
    </w:p>
    <w:p w14:paraId="4842D687" w14:textId="77777777" w:rsidR="00411011" w:rsidRDefault="00411011" w:rsidP="00485218">
      <w:pPr>
        <w:jc w:val="both"/>
        <w:rPr>
          <w:rFonts w:ascii="Arial" w:hAnsi="Arial" w:cs="Arial"/>
          <w:lang w:val="en-US" w:eastAsia="zh-CN"/>
        </w:rPr>
      </w:pPr>
    </w:p>
    <w:p w14:paraId="12FCB8E5" w14:textId="6D75188F" w:rsidR="002C40DF" w:rsidRDefault="001D22F1" w:rsidP="00485218">
      <w:pPr>
        <w:jc w:val="both"/>
        <w:rPr>
          <w:rFonts w:ascii="Arial" w:hAnsi="Arial" w:cs="Arial"/>
          <w:lang w:val="en-US" w:eastAsia="zh-CN"/>
        </w:rPr>
      </w:pPr>
      <w:r>
        <w:rPr>
          <w:rFonts w:ascii="Arial" w:hAnsi="Arial" w:cs="Arial"/>
          <w:lang w:val="en-US" w:eastAsia="zh-CN"/>
        </w:rPr>
        <w:t>For dynamic power sharing, as shown in F</w:t>
      </w:r>
      <w:r w:rsidR="00411011">
        <w:rPr>
          <w:rFonts w:ascii="Arial" w:hAnsi="Arial" w:cs="Arial"/>
          <w:lang w:val="en-US" w:eastAsia="zh-CN"/>
        </w:rPr>
        <w:t>igure</w:t>
      </w:r>
      <w:r>
        <w:rPr>
          <w:rFonts w:ascii="Arial" w:hAnsi="Arial" w:cs="Arial"/>
          <w:lang w:val="en-US" w:eastAsia="zh-CN"/>
        </w:rPr>
        <w:t xml:space="preserve">.1 above, UL power prioritization and scaling are inevitable even with introducing ‘look-ahead’ operation. With regard to the prioritization operation, two options were proposed, either prioritizing MCG over SCG (Option 1) or reusing the prioritization orders defined for Rel-15 CA (Option 2). Option 1 would result in rather simple UE implementation by avoiding </w:t>
      </w:r>
      <w:r w:rsidR="00406600">
        <w:rPr>
          <w:rFonts w:ascii="Arial" w:hAnsi="Arial" w:cs="Arial"/>
          <w:lang w:val="en-US" w:eastAsia="zh-CN"/>
        </w:rPr>
        <w:t>ping-pong impacts between two CGs</w:t>
      </w:r>
      <w:r>
        <w:rPr>
          <w:rFonts w:ascii="Arial" w:hAnsi="Arial" w:cs="Arial"/>
          <w:lang w:val="en-US" w:eastAsia="zh-CN"/>
        </w:rPr>
        <w:t xml:space="preserve">. </w:t>
      </w:r>
      <w:r w:rsidR="00406600">
        <w:rPr>
          <w:rFonts w:ascii="Arial" w:hAnsi="Arial" w:cs="Arial"/>
          <w:lang w:val="en-US" w:eastAsia="zh-CN"/>
        </w:rPr>
        <w:t xml:space="preserve">However, traffic in SCG is not always just best effort traffic that can be easily dropped. As one example, PUCCH transmission on SCG is essential and should not be dropped </w:t>
      </w:r>
      <w:r w:rsidR="00411011">
        <w:rPr>
          <w:rFonts w:ascii="Arial" w:hAnsi="Arial" w:cs="Arial"/>
          <w:lang w:val="en-US" w:eastAsia="zh-CN"/>
        </w:rPr>
        <w:t>due to overlapping with</w:t>
      </w:r>
      <w:r w:rsidR="00406600">
        <w:rPr>
          <w:rFonts w:ascii="Arial" w:hAnsi="Arial" w:cs="Arial"/>
          <w:lang w:val="en-US" w:eastAsia="zh-CN"/>
        </w:rPr>
        <w:t xml:space="preserve"> less important transmission on MCG e.g. SRS. To solve this problem, we believe a minimum guaranteed power should be reserved for SCG to ensure the UL transmissions such as PUCCH channel. </w:t>
      </w:r>
    </w:p>
    <w:p w14:paraId="3DD4754F" w14:textId="77777777" w:rsidR="00411011" w:rsidRDefault="00411011" w:rsidP="00485218">
      <w:pPr>
        <w:spacing w:after="0"/>
        <w:jc w:val="both"/>
        <w:rPr>
          <w:rFonts w:ascii="Arial" w:hAnsi="Arial" w:cs="Arial"/>
          <w:b/>
          <w:bCs/>
          <w:lang w:val="en-US" w:eastAsia="zh-CN"/>
        </w:rPr>
      </w:pPr>
      <w:r w:rsidRPr="00152571">
        <w:rPr>
          <w:rFonts w:ascii="Arial" w:hAnsi="Arial" w:cs="Arial"/>
          <w:b/>
          <w:bCs/>
          <w:lang w:val="en-US" w:eastAsia="zh-CN"/>
        </w:rPr>
        <w:t>Proposal</w:t>
      </w:r>
      <w:r>
        <w:rPr>
          <w:rFonts w:ascii="Arial" w:hAnsi="Arial" w:cs="Arial"/>
          <w:b/>
          <w:bCs/>
          <w:lang w:val="en-US" w:eastAsia="zh-CN"/>
        </w:rPr>
        <w:t xml:space="preserve"> 3</w:t>
      </w:r>
      <w:r w:rsidRPr="00152571">
        <w:rPr>
          <w:rFonts w:ascii="Arial" w:hAnsi="Arial" w:cs="Arial"/>
          <w:b/>
          <w:bCs/>
          <w:lang w:val="en-US" w:eastAsia="zh-CN"/>
        </w:rPr>
        <w:t>:</w:t>
      </w:r>
    </w:p>
    <w:p w14:paraId="4A0E2C65" w14:textId="0F519987" w:rsidR="00411011" w:rsidRDefault="00411011" w:rsidP="00485218">
      <w:pPr>
        <w:pStyle w:val="ListParagraph"/>
        <w:numPr>
          <w:ilvl w:val="0"/>
          <w:numId w:val="21"/>
        </w:numPr>
        <w:jc w:val="both"/>
        <w:rPr>
          <w:rFonts w:ascii="Arial" w:hAnsi="Arial" w:cs="Arial"/>
          <w:i/>
          <w:iCs/>
          <w:lang w:val="en-US" w:eastAsia="zh-CN"/>
        </w:rPr>
      </w:pPr>
      <w:r>
        <w:rPr>
          <w:rFonts w:ascii="Arial" w:hAnsi="Arial" w:cs="Arial"/>
          <w:i/>
          <w:iCs/>
          <w:lang w:val="en-US" w:eastAsia="zh-CN"/>
        </w:rPr>
        <w:t xml:space="preserve">For dynamic power sharing, prioritize MCG over SCG in case of power limitation.  </w:t>
      </w:r>
    </w:p>
    <w:p w14:paraId="1AA5313E" w14:textId="4AEC6A8A" w:rsidR="00411011" w:rsidRPr="0093250F" w:rsidRDefault="00411011" w:rsidP="00485218">
      <w:pPr>
        <w:pStyle w:val="ListParagraph"/>
        <w:numPr>
          <w:ilvl w:val="0"/>
          <w:numId w:val="21"/>
        </w:numPr>
        <w:jc w:val="both"/>
        <w:rPr>
          <w:rFonts w:ascii="Arial" w:hAnsi="Arial" w:cs="Arial"/>
          <w:i/>
          <w:iCs/>
          <w:lang w:val="en-US" w:eastAsia="zh-CN"/>
        </w:rPr>
      </w:pPr>
      <w:r w:rsidRPr="0093250F">
        <w:rPr>
          <w:rFonts w:ascii="Arial" w:hAnsi="Arial" w:cs="Arial"/>
          <w:i/>
          <w:iCs/>
          <w:lang w:val="en-US" w:eastAsia="zh-CN"/>
        </w:rPr>
        <w:t xml:space="preserve">Support </w:t>
      </w:r>
      <w:r>
        <w:rPr>
          <w:rFonts w:ascii="Arial" w:hAnsi="Arial" w:cs="Arial"/>
          <w:i/>
          <w:iCs/>
          <w:lang w:val="en-US" w:eastAsia="zh-CN"/>
        </w:rPr>
        <w:t xml:space="preserve">to introduce configurable minimum guaranteed transmission powers for SCG in a same FRX by higher layers. </w:t>
      </w:r>
    </w:p>
    <w:p w14:paraId="21E976C8" w14:textId="77777777" w:rsidR="00406600" w:rsidRDefault="00406600" w:rsidP="00485218">
      <w:pPr>
        <w:jc w:val="both"/>
        <w:rPr>
          <w:rFonts w:ascii="Arial" w:hAnsi="Arial" w:cs="Arial"/>
          <w:lang w:val="en-US" w:eastAsia="zh-CN"/>
        </w:rPr>
      </w:pPr>
    </w:p>
    <w:p w14:paraId="096BF616" w14:textId="503C0B25" w:rsidR="00B70FFC" w:rsidRDefault="006B1DB6" w:rsidP="00485218">
      <w:pPr>
        <w:pStyle w:val="Heading2"/>
        <w:spacing w:before="180" w:after="180"/>
        <w:ind w:left="1134" w:hanging="1134"/>
        <w:jc w:val="both"/>
        <w:rPr>
          <w:rFonts w:ascii="Arial" w:eastAsia="SimSun" w:hAnsi="Arial" w:cs="Arial"/>
          <w:color w:val="auto"/>
          <w:sz w:val="32"/>
          <w:szCs w:val="20"/>
          <w:lang w:val="en-US" w:eastAsia="zh-CN"/>
        </w:rPr>
      </w:pPr>
      <w:r w:rsidRPr="00B70FFC">
        <w:rPr>
          <w:rFonts w:ascii="Arial" w:eastAsia="SimSun" w:hAnsi="Arial" w:cs="Arial"/>
          <w:color w:val="auto"/>
          <w:sz w:val="32"/>
          <w:szCs w:val="20"/>
          <w:lang w:val="en-US" w:eastAsia="zh-CN"/>
        </w:rPr>
        <w:t xml:space="preserve">2.3 </w:t>
      </w:r>
      <w:r w:rsidR="00B70FFC" w:rsidRPr="00B70FFC">
        <w:rPr>
          <w:rFonts w:ascii="Arial" w:eastAsia="SimSun" w:hAnsi="Arial" w:cs="Arial"/>
          <w:color w:val="auto"/>
          <w:sz w:val="32"/>
          <w:szCs w:val="20"/>
          <w:lang w:val="en-US" w:eastAsia="zh-CN"/>
        </w:rPr>
        <w:t>Power headroom reporting</w:t>
      </w:r>
      <w:r w:rsidR="00B70FFC">
        <w:rPr>
          <w:rFonts w:ascii="Arial" w:eastAsia="SimSun" w:hAnsi="Arial" w:cs="Arial"/>
          <w:color w:val="auto"/>
          <w:sz w:val="32"/>
          <w:szCs w:val="20"/>
          <w:lang w:val="en-US" w:eastAsia="zh-CN"/>
        </w:rPr>
        <w:t xml:space="preserve"> (PHR)</w:t>
      </w:r>
      <w:r w:rsidR="00B70FFC" w:rsidRPr="00B70FFC">
        <w:rPr>
          <w:rFonts w:ascii="Arial" w:eastAsia="SimSun" w:hAnsi="Arial" w:cs="Arial"/>
          <w:color w:val="auto"/>
          <w:sz w:val="32"/>
          <w:szCs w:val="20"/>
          <w:lang w:val="en-US" w:eastAsia="zh-CN"/>
        </w:rPr>
        <w:t xml:space="preserve"> </w:t>
      </w:r>
    </w:p>
    <w:p w14:paraId="5568DB28" w14:textId="67813EC0" w:rsidR="00563948" w:rsidRDefault="00B70FFC" w:rsidP="00485218">
      <w:pPr>
        <w:jc w:val="both"/>
        <w:rPr>
          <w:rFonts w:ascii="Arial" w:hAnsi="Arial" w:cs="Arial"/>
          <w:lang w:val="en-US" w:eastAsia="zh-CN"/>
        </w:rPr>
      </w:pPr>
      <w:r>
        <w:rPr>
          <w:rFonts w:ascii="Arial" w:hAnsi="Arial" w:cs="Arial"/>
          <w:lang w:val="en-US" w:eastAsia="zh-CN"/>
        </w:rPr>
        <w:t xml:space="preserve">One more FFS aspect related to power headroom reporting for NR-NR DC. The PHR provides the information about the difference between the nominal UE maximum transmit power and the estimated for UL-SCH transmissions and is required for link adaptation. In dual connectivity, scheduling is conducted independently </w:t>
      </w:r>
      <w:r w:rsidR="00563948">
        <w:rPr>
          <w:rFonts w:ascii="Arial" w:hAnsi="Arial" w:cs="Arial"/>
          <w:lang w:val="en-US" w:eastAsia="zh-CN"/>
        </w:rPr>
        <w:t>in MgNB and SgNB without tight coordination, which makes it difficult to exploit the PHR as efficiently as CA case. However, it is still beneficial that UE reports PH of all CCs from both MgNB and SgNB to both nodes to serve different purposes</w:t>
      </w:r>
      <w:r w:rsidR="00251514">
        <w:rPr>
          <w:rFonts w:ascii="Arial" w:hAnsi="Arial" w:cs="Arial"/>
          <w:lang w:val="en-US" w:eastAsia="zh-CN"/>
        </w:rPr>
        <w:t xml:space="preserve"> as elaborated in following</w:t>
      </w:r>
      <w:r w:rsidR="00563948">
        <w:rPr>
          <w:rFonts w:ascii="Arial" w:hAnsi="Arial" w:cs="Arial"/>
          <w:lang w:val="en-US" w:eastAsia="zh-CN"/>
        </w:rPr>
        <w:t xml:space="preserve">. </w:t>
      </w:r>
    </w:p>
    <w:p w14:paraId="19928AB1" w14:textId="5F1B7746" w:rsidR="00563948" w:rsidRPr="00B70FFC" w:rsidRDefault="00563948" w:rsidP="00485218">
      <w:pPr>
        <w:jc w:val="both"/>
        <w:rPr>
          <w:rFonts w:ascii="Arial" w:hAnsi="Arial" w:cs="Arial"/>
          <w:lang w:val="en-US" w:eastAsia="zh-CN"/>
        </w:rPr>
      </w:pPr>
      <w:r>
        <w:rPr>
          <w:rFonts w:ascii="Arial" w:hAnsi="Arial" w:cs="Arial"/>
          <w:lang w:val="en-US" w:eastAsia="zh-CN"/>
        </w:rPr>
        <w:t>In LTE DC, UE is configured by RRC signaling to report either virtual PH or actual PH for the activated CCs of another CG/gNB.</w:t>
      </w:r>
      <w:r w:rsidR="00485218">
        <w:rPr>
          <w:rFonts w:ascii="Arial" w:hAnsi="Arial" w:cs="Arial"/>
          <w:lang w:val="en-US" w:eastAsia="zh-CN"/>
        </w:rPr>
        <w:t xml:space="preserve"> Per definition,</w:t>
      </w:r>
      <w:r>
        <w:rPr>
          <w:rFonts w:ascii="Arial" w:hAnsi="Arial" w:cs="Arial"/>
          <w:lang w:val="en-US" w:eastAsia="zh-CN"/>
        </w:rPr>
        <w:t xml:space="preserve"> </w:t>
      </w:r>
      <w:r w:rsidR="00485218">
        <w:rPr>
          <w:rFonts w:ascii="Arial" w:hAnsi="Arial" w:cs="Arial"/>
          <w:lang w:val="en-US" w:eastAsia="zh-CN"/>
        </w:rPr>
        <w:t>v</w:t>
      </w:r>
      <w:r>
        <w:rPr>
          <w:rFonts w:ascii="Arial" w:hAnsi="Arial" w:cs="Arial"/>
          <w:lang w:val="en-US" w:eastAsia="zh-CN"/>
        </w:rPr>
        <w:t>irtual PH provides information of pathloss estimation based on fixed PRB allocation and is useful for the (re)configuration of minimum guaranteed or maximum allowable power for each node. One the other hand, actual PH provides the power usage information of other CG if there is some correlation between consecutive scheduling decisions within other CG. Fundamentally, two configurations target to different use cases and provides the best flexibility for gNB to select either of them based on deployment scenarios.</w:t>
      </w:r>
      <w:r w:rsidR="00485218">
        <w:rPr>
          <w:rFonts w:ascii="Arial" w:hAnsi="Arial" w:cs="Arial"/>
          <w:lang w:val="en-US" w:eastAsia="zh-CN"/>
        </w:rPr>
        <w:t xml:space="preserve"> The same framework of configurable actual/virtual PHR were reused for EN-DC and NE-DC. We believe this should be also reused for NR-NR DC to exploit the flexibility mentioned above.   </w:t>
      </w:r>
    </w:p>
    <w:p w14:paraId="54D22E61" w14:textId="6A37DCD7" w:rsidR="00485218" w:rsidRDefault="00485218" w:rsidP="00485218">
      <w:pPr>
        <w:spacing w:after="0"/>
        <w:jc w:val="both"/>
        <w:rPr>
          <w:rFonts w:ascii="Arial" w:hAnsi="Arial" w:cs="Arial"/>
          <w:b/>
          <w:bCs/>
          <w:lang w:val="en-US" w:eastAsia="zh-CN"/>
        </w:rPr>
      </w:pPr>
      <w:r w:rsidRPr="00152571">
        <w:rPr>
          <w:rFonts w:ascii="Arial" w:hAnsi="Arial" w:cs="Arial"/>
          <w:b/>
          <w:bCs/>
          <w:lang w:val="en-US" w:eastAsia="zh-CN"/>
        </w:rPr>
        <w:t>Proposal</w:t>
      </w:r>
      <w:r>
        <w:rPr>
          <w:rFonts w:ascii="Arial" w:hAnsi="Arial" w:cs="Arial"/>
          <w:b/>
          <w:bCs/>
          <w:lang w:val="en-US" w:eastAsia="zh-CN"/>
        </w:rPr>
        <w:t xml:space="preserve"> 4</w:t>
      </w:r>
      <w:r w:rsidRPr="00152571">
        <w:rPr>
          <w:rFonts w:ascii="Arial" w:hAnsi="Arial" w:cs="Arial"/>
          <w:b/>
          <w:bCs/>
          <w:lang w:val="en-US" w:eastAsia="zh-CN"/>
        </w:rPr>
        <w:t>:</w:t>
      </w:r>
    </w:p>
    <w:p w14:paraId="1E4A236B" w14:textId="6618BEB5" w:rsidR="00485218" w:rsidRDefault="00485218" w:rsidP="00485218">
      <w:pPr>
        <w:pStyle w:val="ListParagraph"/>
        <w:numPr>
          <w:ilvl w:val="0"/>
          <w:numId w:val="21"/>
        </w:numPr>
        <w:jc w:val="both"/>
        <w:rPr>
          <w:rFonts w:ascii="Arial" w:hAnsi="Arial" w:cs="Arial"/>
          <w:i/>
          <w:iCs/>
          <w:lang w:val="en-US" w:eastAsia="zh-CN"/>
        </w:rPr>
      </w:pPr>
      <w:r>
        <w:rPr>
          <w:rFonts w:ascii="Arial" w:hAnsi="Arial" w:cs="Arial"/>
          <w:i/>
          <w:iCs/>
          <w:lang w:val="en-US" w:eastAsia="zh-CN"/>
        </w:rPr>
        <w:t xml:space="preserve">Reuse the Rel-15 EN-DC framework to support configurable actual/virtual PHR for the active CCs of another CG/gNB.   </w:t>
      </w:r>
    </w:p>
    <w:p w14:paraId="33D694F9" w14:textId="77777777" w:rsidR="00485218" w:rsidRPr="00485218" w:rsidRDefault="00485218" w:rsidP="00485218">
      <w:pPr>
        <w:jc w:val="both"/>
        <w:rPr>
          <w:rFonts w:ascii="Arial" w:hAnsi="Arial" w:cs="Arial"/>
          <w:i/>
          <w:iCs/>
          <w:lang w:val="en-US" w:eastAsia="zh-CN"/>
        </w:rPr>
      </w:pPr>
    </w:p>
    <w:p w14:paraId="71E62887" w14:textId="77777777" w:rsidR="00B975F2" w:rsidRPr="005A4E4F" w:rsidRDefault="00B975F2" w:rsidP="00485218">
      <w:pPr>
        <w:pStyle w:val="Heading1"/>
        <w:jc w:val="both"/>
        <w:rPr>
          <w:rFonts w:cs="Arial"/>
          <w:lang w:val="en-US" w:eastAsia="zh-CN"/>
        </w:rPr>
      </w:pPr>
      <w:r w:rsidRPr="00B822B1">
        <w:rPr>
          <w:rFonts w:cs="Arial"/>
          <w:lang w:val="en-US"/>
        </w:rPr>
        <w:t>3. C</w:t>
      </w:r>
      <w:r w:rsidRPr="00B822B1">
        <w:rPr>
          <w:rFonts w:cs="Arial"/>
          <w:lang w:val="en-US" w:eastAsia="zh-CN"/>
        </w:rPr>
        <w:t xml:space="preserve">onclusion </w:t>
      </w:r>
    </w:p>
    <w:p w14:paraId="25ADBC5B" w14:textId="052E1E3F" w:rsidR="00B975F2" w:rsidRDefault="002053BF" w:rsidP="00485218">
      <w:pPr>
        <w:jc w:val="both"/>
        <w:rPr>
          <w:rFonts w:ascii="Arial" w:hAnsi="Arial" w:cs="Arial"/>
          <w:lang w:val="en-US"/>
        </w:rPr>
      </w:pPr>
      <w:r w:rsidRPr="002053BF">
        <w:rPr>
          <w:rFonts w:ascii="Arial" w:hAnsi="Arial" w:cs="Arial"/>
          <w:lang w:val="en-US"/>
        </w:rPr>
        <w:t xml:space="preserve">In this contribution, we discussed the details of power sharing mechanisms for NR DC operation. We make following proposals:  </w:t>
      </w:r>
    </w:p>
    <w:p w14:paraId="586CF15B" w14:textId="77777777" w:rsidR="00485218" w:rsidRDefault="00485218" w:rsidP="00485218">
      <w:pPr>
        <w:spacing w:after="120"/>
        <w:jc w:val="both"/>
        <w:rPr>
          <w:rFonts w:ascii="Arial" w:hAnsi="Arial" w:cs="Arial"/>
          <w:b/>
          <w:bCs/>
          <w:lang w:val="en-US" w:eastAsia="zh-CN"/>
        </w:rPr>
      </w:pPr>
      <w:r w:rsidRPr="00152571">
        <w:rPr>
          <w:rFonts w:ascii="Arial" w:hAnsi="Arial" w:cs="Arial"/>
          <w:b/>
          <w:bCs/>
          <w:lang w:val="en-US" w:eastAsia="zh-CN"/>
        </w:rPr>
        <w:t>Proposal</w:t>
      </w:r>
      <w:r>
        <w:rPr>
          <w:rFonts w:ascii="Arial" w:hAnsi="Arial" w:cs="Arial"/>
          <w:b/>
          <w:bCs/>
          <w:lang w:val="en-US" w:eastAsia="zh-CN"/>
        </w:rPr>
        <w:t xml:space="preserve"> 1</w:t>
      </w:r>
      <w:r w:rsidRPr="00152571">
        <w:rPr>
          <w:rFonts w:ascii="Arial" w:hAnsi="Arial" w:cs="Arial"/>
          <w:b/>
          <w:bCs/>
          <w:lang w:val="en-US" w:eastAsia="zh-CN"/>
        </w:rPr>
        <w:t>:</w:t>
      </w:r>
      <w:r>
        <w:rPr>
          <w:rFonts w:ascii="Arial" w:hAnsi="Arial" w:cs="Arial"/>
          <w:b/>
          <w:bCs/>
          <w:lang w:val="en-US" w:eastAsia="zh-CN"/>
        </w:rPr>
        <w:t xml:space="preserve"> Adopt Alt.1 for</w:t>
      </w:r>
      <w:r w:rsidRPr="00152571">
        <w:rPr>
          <w:rFonts w:ascii="Arial" w:hAnsi="Arial" w:cs="Arial"/>
          <w:b/>
          <w:bCs/>
          <w:lang w:val="en-US" w:eastAsia="zh-CN"/>
        </w:rPr>
        <w:t xml:space="preserve"> </w:t>
      </w:r>
      <w:r w:rsidRPr="003F0EA8">
        <w:rPr>
          <w:rFonts w:ascii="Arial" w:hAnsi="Arial" w:cs="Arial"/>
          <w:b/>
          <w:bCs/>
          <w:lang w:val="en-US" w:eastAsia="zh-CN"/>
        </w:rPr>
        <w:t xml:space="preserve">Semi-static power sharing </w:t>
      </w:r>
      <w:r>
        <w:rPr>
          <w:rFonts w:ascii="Arial" w:hAnsi="Arial" w:cs="Arial"/>
          <w:b/>
          <w:bCs/>
          <w:lang w:val="en-US" w:eastAsia="zh-CN"/>
        </w:rPr>
        <w:t xml:space="preserve">operation </w:t>
      </w:r>
      <w:r w:rsidRPr="00C4466D">
        <w:rPr>
          <w:rFonts w:ascii="Arial" w:hAnsi="Arial" w:cs="Arial"/>
          <w:b/>
          <w:bCs/>
          <w:lang w:eastAsia="zh-CN"/>
        </w:rPr>
        <w:t xml:space="preserve">with </w:t>
      </w:r>
      <m:oMath>
        <m:sSub>
          <m:sSubPr>
            <m:ctrlPr>
              <w:rPr>
                <w:rFonts w:ascii="Cambria Math" w:hAnsi="Cambria Math" w:cs="Arial"/>
                <w:b/>
                <w:bCs/>
                <w:i/>
                <w:iCs/>
                <w:lang w:eastAsia="zh-CN"/>
              </w:rPr>
            </m:ctrlPr>
          </m:sSubPr>
          <m:e>
            <m:r>
              <m:rPr>
                <m:sty m:val="b"/>
              </m:rPr>
              <w:rPr>
                <w:rFonts w:ascii="Cambria Math" w:hAnsi="Cambria Math" w:cs="Arial"/>
                <w:lang w:eastAsia="zh-CN"/>
              </w:rPr>
              <m:t>P</m:t>
            </m:r>
          </m:e>
          <m:sub>
            <m:r>
              <m:rPr>
                <m:sty m:val="b"/>
              </m:rPr>
              <w:rPr>
                <w:rFonts w:ascii="Cambria Math" w:hAnsi="Cambria Math" w:cs="Arial"/>
                <w:lang w:eastAsia="zh-CN"/>
              </w:rPr>
              <m:t>MCG</m:t>
            </m:r>
          </m:sub>
        </m:sSub>
      </m:oMath>
      <w:r w:rsidRPr="00C4466D">
        <w:rPr>
          <w:rFonts w:ascii="Arial" w:hAnsi="Arial" w:cs="Arial"/>
          <w:b/>
          <w:bCs/>
          <w:lang w:eastAsia="zh-CN"/>
        </w:rPr>
        <w:t xml:space="preserve">+ </w:t>
      </w:r>
      <m:oMath>
        <m:sSub>
          <m:sSubPr>
            <m:ctrlPr>
              <w:rPr>
                <w:rFonts w:ascii="Cambria Math" w:hAnsi="Cambria Math" w:cs="Arial"/>
                <w:b/>
                <w:bCs/>
                <w:i/>
                <w:iCs/>
                <w:lang w:eastAsia="zh-CN"/>
              </w:rPr>
            </m:ctrlPr>
          </m:sSubPr>
          <m:e>
            <m:r>
              <m:rPr>
                <m:sty m:val="b"/>
              </m:rPr>
              <w:rPr>
                <w:rFonts w:ascii="Cambria Math" w:hAnsi="Cambria Math" w:cs="Arial"/>
                <w:lang w:eastAsia="zh-CN"/>
              </w:rPr>
              <m:t>P</m:t>
            </m:r>
          </m:e>
          <m:sub>
            <m:r>
              <m:rPr>
                <m:sty m:val="b"/>
              </m:rPr>
              <w:rPr>
                <w:rFonts w:ascii="Cambria Math" w:hAnsi="Cambria Math" w:cs="Arial"/>
                <w:lang w:eastAsia="zh-CN"/>
              </w:rPr>
              <m:t>SCG</m:t>
            </m:r>
          </m:sub>
        </m:sSub>
        <m:r>
          <m:rPr>
            <m:sty m:val="bi"/>
          </m:rPr>
          <w:rPr>
            <w:rFonts w:ascii="Cambria Math" w:hAnsi="Cambria Math" w:cs="Arial"/>
            <w:lang w:eastAsia="zh-CN"/>
          </w:rPr>
          <m:t>≤</m:t>
        </m:r>
        <m:sSubSup>
          <m:sSubSupPr>
            <m:ctrlPr>
              <w:rPr>
                <w:rFonts w:ascii="Cambria Math" w:hAnsi="Cambria Math" w:cs="Arial"/>
                <w:b/>
                <w:bCs/>
                <w:i/>
                <w:iCs/>
                <w:lang w:eastAsia="zh-CN"/>
              </w:rPr>
            </m:ctrlPr>
          </m:sSubSupPr>
          <m:e>
            <m:r>
              <m:rPr>
                <m:sty m:val="bi"/>
              </m:rPr>
              <w:rPr>
                <w:rFonts w:ascii="Cambria Math" w:hAnsi="Cambria Math" w:cs="Arial"/>
                <w:lang w:eastAsia="zh-CN"/>
              </w:rPr>
              <m:t>P</m:t>
            </m:r>
          </m:e>
          <m:sub>
            <m:r>
              <m:rPr>
                <m:sty m:val="bi"/>
              </m:rPr>
              <w:rPr>
                <w:rFonts w:ascii="Cambria Math" w:hAnsi="Cambria Math" w:cs="Arial"/>
                <w:lang w:eastAsia="zh-CN"/>
              </w:rPr>
              <m:t>Total</m:t>
            </m:r>
          </m:sub>
          <m:sup>
            <m:r>
              <m:rPr>
                <m:sty m:val="bi"/>
              </m:rPr>
              <w:rPr>
                <w:rFonts w:ascii="Cambria Math" w:hAnsi="Cambria Math" w:cs="Arial"/>
                <w:lang w:eastAsia="zh-CN"/>
              </w:rPr>
              <m:t>NN- DC</m:t>
            </m:r>
          </m:sup>
        </m:sSubSup>
      </m:oMath>
      <w:r>
        <w:rPr>
          <w:rFonts w:ascii="Arial" w:hAnsi="Arial" w:cs="Arial"/>
          <w:b/>
          <w:bCs/>
          <w:lang w:val="en-US" w:eastAsia="zh-CN"/>
        </w:rPr>
        <w:t xml:space="preserve"> </w:t>
      </w:r>
      <w:r w:rsidRPr="003F0EA8">
        <w:rPr>
          <w:rFonts w:ascii="Arial" w:hAnsi="Arial" w:cs="Arial"/>
          <w:b/>
          <w:bCs/>
          <w:lang w:val="en-US" w:eastAsia="zh-CN"/>
        </w:rPr>
        <w:t>as follows:</w:t>
      </w:r>
    </w:p>
    <w:p w14:paraId="667411EA" w14:textId="77777777" w:rsidR="00485218" w:rsidRDefault="00485218" w:rsidP="00485218">
      <w:pPr>
        <w:pStyle w:val="ListParagraph"/>
        <w:numPr>
          <w:ilvl w:val="0"/>
          <w:numId w:val="18"/>
        </w:numPr>
        <w:spacing w:after="0"/>
        <w:jc w:val="both"/>
        <w:rPr>
          <w:rFonts w:ascii="Arial" w:hAnsi="Arial" w:cs="Arial"/>
          <w:i/>
          <w:iCs/>
          <w:lang w:val="en-US" w:eastAsia="zh-CN"/>
        </w:rPr>
      </w:pPr>
      <w:r w:rsidRPr="00C4466D">
        <w:rPr>
          <w:rFonts w:ascii="Arial" w:hAnsi="Arial" w:cs="Arial"/>
          <w:i/>
          <w:iCs/>
          <w:lang w:val="en-US" w:eastAsia="zh-CN"/>
        </w:rPr>
        <w:lastRenderedPageBreak/>
        <w:t>For the uplink transmission in MCG, the UE checks the semi-statically configured direction of the overlapping symbols of all serving cells of SCG, and vice versa</w:t>
      </w:r>
      <w:r>
        <w:rPr>
          <w:rFonts w:ascii="Arial" w:hAnsi="Arial" w:cs="Arial"/>
          <w:i/>
          <w:iCs/>
          <w:lang w:val="en-US" w:eastAsia="zh-CN"/>
        </w:rPr>
        <w:t xml:space="preserve">. </w:t>
      </w:r>
    </w:p>
    <w:p w14:paraId="0DE02064" w14:textId="77777777" w:rsidR="00485218" w:rsidRPr="00C4466D" w:rsidRDefault="00485218" w:rsidP="00485218">
      <w:pPr>
        <w:pStyle w:val="ListParagraph"/>
        <w:numPr>
          <w:ilvl w:val="2"/>
          <w:numId w:val="18"/>
        </w:numPr>
        <w:spacing w:after="0"/>
        <w:jc w:val="both"/>
        <w:rPr>
          <w:rFonts w:ascii="Arial" w:hAnsi="Arial" w:cs="Arial"/>
          <w:i/>
          <w:iCs/>
          <w:lang w:val="en-US" w:eastAsia="zh-CN"/>
        </w:rPr>
      </w:pPr>
      <w:r w:rsidRPr="00C4466D">
        <w:rPr>
          <w:rFonts w:ascii="Arial" w:hAnsi="Arial" w:cs="Arial"/>
          <w:i/>
          <w:iCs/>
          <w:lang w:val="en-US"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4466D">
        <w:rPr>
          <w:rFonts w:ascii="Arial" w:hAnsi="Arial" w:cs="Arial"/>
          <w:i/>
          <w:iCs/>
          <w:lang w:val="en-US" w:eastAsia="zh-CN"/>
        </w:rPr>
        <w:t xml:space="preserve">in MCG such that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r>
          <w:rPr>
            <w:rFonts w:ascii="Cambria Math" w:hAnsi="Cambria Math" w:cs="Arial"/>
            <w:lang w:val="en-US" w:eastAsia="zh-CN"/>
          </w:rPr>
          <m:t>≤</m:t>
        </m:r>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4466D">
        <w:rPr>
          <w:rFonts w:ascii="Arial" w:hAnsi="Arial" w:cs="Arial"/>
          <w:i/>
          <w:iCs/>
          <w:lang w:val="en-US" w:eastAsia="zh-CN"/>
        </w:rPr>
        <w:t xml:space="preserve">; </w:t>
      </w:r>
    </w:p>
    <w:p w14:paraId="6A4762C2" w14:textId="77777777" w:rsidR="00485218" w:rsidRPr="00C4466D" w:rsidRDefault="00485218" w:rsidP="00485218">
      <w:pPr>
        <w:pStyle w:val="ListParagraph"/>
        <w:numPr>
          <w:ilvl w:val="2"/>
          <w:numId w:val="18"/>
        </w:numPr>
        <w:jc w:val="both"/>
        <w:rPr>
          <w:rFonts w:ascii="Arial" w:hAnsi="Arial" w:cs="Arial"/>
          <w:i/>
          <w:iCs/>
          <w:lang w:val="en-US" w:eastAsia="zh-CN"/>
        </w:rPr>
      </w:pPr>
      <w:r w:rsidRPr="00C4466D">
        <w:rPr>
          <w:rFonts w:ascii="Arial" w:hAnsi="Arial" w:cs="Arial"/>
          <w:i/>
          <w:iCs/>
          <w:lang w:val="en-US" w:eastAsia="zh-CN"/>
        </w:rPr>
        <w:t xml:space="preserve">Otherwise (i.e. collides with only semi-static ‘DL’ symbols on all CCs of SCG),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4466D">
        <w:rPr>
          <w:rFonts w:ascii="Arial" w:hAnsi="Arial" w:cs="Arial"/>
          <w:i/>
          <w:iCs/>
          <w:lang w:val="en-US" w:eastAsia="zh-CN"/>
        </w:rPr>
        <w:t xml:space="preserve"> can be up to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sidRPr="00C4466D">
        <w:rPr>
          <w:rFonts w:ascii="Arial" w:hAnsi="Arial" w:cs="Arial"/>
          <w:i/>
          <w:iCs/>
          <w:lang w:val="en-US" w:eastAsia="zh-CN"/>
        </w:rPr>
        <w:t xml:space="preserve"> and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SCG</m:t>
            </m:r>
          </m:sub>
        </m:sSub>
      </m:oMath>
      <w:r w:rsidRPr="00C4466D">
        <w:rPr>
          <w:rFonts w:ascii="Arial" w:hAnsi="Arial" w:cs="Arial"/>
          <w:i/>
          <w:iCs/>
          <w:lang w:val="en-US" w:eastAsia="zh-CN"/>
        </w:rPr>
        <w:t xml:space="preserve"> can be up to </w:t>
      </w:r>
      <m:oMath>
        <m:r>
          <w:rPr>
            <w:rFonts w:ascii="Cambria Math" w:hAnsi="Cambria Math" w:cs="Arial"/>
            <w:lang w:val="en-US" w:eastAsia="zh-CN"/>
          </w:rPr>
          <m:t> </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Pr>
          <w:rFonts w:ascii="Arial" w:hAnsi="Arial" w:cs="Arial"/>
          <w:i/>
          <w:iCs/>
          <w:lang w:val="en-US" w:eastAsia="zh-CN"/>
        </w:rPr>
        <w:t xml:space="preserve">, wherein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Pr>
          <w:rFonts w:ascii="Arial" w:hAnsi="Arial" w:cs="Arial"/>
          <w:i/>
          <w:iCs/>
          <w:lang w:val="en-US" w:eastAsia="zh-CN"/>
        </w:rPr>
        <w:t xml:space="preserve">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Pr>
          <w:rFonts w:ascii="Arial" w:hAnsi="Arial" w:cs="Arial"/>
          <w:i/>
          <w:iCs/>
          <w:lang w:val="en-US" w:eastAsia="zh-CN"/>
        </w:rPr>
        <w:t xml:space="preserve"> are defined by RAN4.</w:t>
      </w:r>
    </w:p>
    <w:p w14:paraId="2A34810E" w14:textId="77777777" w:rsidR="00485218" w:rsidRPr="00B66702" w:rsidRDefault="00485218" w:rsidP="00485218">
      <w:pPr>
        <w:spacing w:after="0"/>
        <w:jc w:val="both"/>
        <w:rPr>
          <w:rFonts w:ascii="Arial" w:hAnsi="Arial" w:cs="Arial"/>
          <w:b/>
          <w:bCs/>
          <w:lang w:val="en-US" w:eastAsia="zh-CN"/>
        </w:rPr>
      </w:pPr>
      <w:r w:rsidRPr="00B66702">
        <w:rPr>
          <w:rFonts w:ascii="Arial" w:hAnsi="Arial" w:cs="Arial"/>
          <w:b/>
          <w:bCs/>
          <w:lang w:val="en-US" w:eastAsia="zh-CN"/>
        </w:rPr>
        <w:t xml:space="preserve">Proposal </w:t>
      </w:r>
      <w:r>
        <w:rPr>
          <w:rFonts w:ascii="Arial" w:hAnsi="Arial" w:cs="Arial"/>
          <w:b/>
          <w:bCs/>
          <w:lang w:val="en-US" w:eastAsia="zh-CN"/>
        </w:rPr>
        <w:t>2</w:t>
      </w:r>
      <w:r w:rsidRPr="00B66702">
        <w:rPr>
          <w:rFonts w:ascii="Arial" w:hAnsi="Arial" w:cs="Arial"/>
          <w:b/>
          <w:bCs/>
          <w:lang w:val="en-US" w:eastAsia="zh-CN"/>
        </w:rPr>
        <w:t xml:space="preserve">: </w:t>
      </w:r>
    </w:p>
    <w:p w14:paraId="3B47B733" w14:textId="77777777" w:rsidR="00485218" w:rsidRDefault="00485218" w:rsidP="00485218">
      <w:pPr>
        <w:pStyle w:val="ListParagraph"/>
        <w:numPr>
          <w:ilvl w:val="0"/>
          <w:numId w:val="21"/>
        </w:numPr>
        <w:jc w:val="both"/>
        <w:rPr>
          <w:rFonts w:ascii="Arial" w:hAnsi="Arial" w:cs="Arial"/>
          <w:i/>
          <w:iCs/>
          <w:lang w:val="en-US" w:eastAsia="zh-CN"/>
        </w:rPr>
      </w:pPr>
      <w:r>
        <w:rPr>
          <w:rFonts w:ascii="Arial" w:hAnsi="Arial" w:cs="Arial"/>
          <w:i/>
          <w:iCs/>
          <w:lang w:val="en-US" w:eastAsia="zh-CN"/>
        </w:rPr>
        <w:t xml:space="preserve">Reuse Rel-15 timeline defined for UCI multiplexing on overlapped UL transmissions as staring point to define ‘look-ahead’ behavior for NR-NR DC power control in Rel-16. </w:t>
      </w:r>
    </w:p>
    <w:p w14:paraId="494BF372" w14:textId="77777777" w:rsidR="00485218" w:rsidRDefault="00485218" w:rsidP="00485218">
      <w:pPr>
        <w:pStyle w:val="ListParagraph"/>
        <w:numPr>
          <w:ilvl w:val="0"/>
          <w:numId w:val="21"/>
        </w:numPr>
        <w:jc w:val="both"/>
        <w:rPr>
          <w:rFonts w:ascii="Arial" w:hAnsi="Arial" w:cs="Arial"/>
          <w:i/>
          <w:iCs/>
          <w:lang w:val="en-US" w:eastAsia="zh-CN"/>
        </w:rPr>
      </w:pPr>
      <w:r>
        <w:rPr>
          <w:rFonts w:ascii="Arial" w:hAnsi="Arial" w:cs="Arial"/>
          <w:i/>
          <w:iCs/>
          <w:lang w:val="en-US" w:eastAsia="zh-CN"/>
        </w:rPr>
        <w:t>Introduce a UE capability to indicate the support of dynamic power sharing for Rel-16 NR-NR DC.</w:t>
      </w:r>
    </w:p>
    <w:p w14:paraId="56CD7571" w14:textId="77777777" w:rsidR="00485218" w:rsidRDefault="00485218" w:rsidP="00485218">
      <w:pPr>
        <w:spacing w:after="0"/>
        <w:jc w:val="both"/>
        <w:rPr>
          <w:rFonts w:ascii="Arial" w:hAnsi="Arial" w:cs="Arial"/>
          <w:b/>
          <w:bCs/>
          <w:lang w:val="en-US" w:eastAsia="zh-CN"/>
        </w:rPr>
      </w:pPr>
      <w:r w:rsidRPr="00152571">
        <w:rPr>
          <w:rFonts w:ascii="Arial" w:hAnsi="Arial" w:cs="Arial"/>
          <w:b/>
          <w:bCs/>
          <w:lang w:val="en-US" w:eastAsia="zh-CN"/>
        </w:rPr>
        <w:t>Proposal</w:t>
      </w:r>
      <w:r>
        <w:rPr>
          <w:rFonts w:ascii="Arial" w:hAnsi="Arial" w:cs="Arial"/>
          <w:b/>
          <w:bCs/>
          <w:lang w:val="en-US" w:eastAsia="zh-CN"/>
        </w:rPr>
        <w:t xml:space="preserve"> 3</w:t>
      </w:r>
      <w:r w:rsidRPr="00152571">
        <w:rPr>
          <w:rFonts w:ascii="Arial" w:hAnsi="Arial" w:cs="Arial"/>
          <w:b/>
          <w:bCs/>
          <w:lang w:val="en-US" w:eastAsia="zh-CN"/>
        </w:rPr>
        <w:t>:</w:t>
      </w:r>
    </w:p>
    <w:p w14:paraId="231F44CC" w14:textId="77777777" w:rsidR="00485218" w:rsidRDefault="00485218" w:rsidP="00485218">
      <w:pPr>
        <w:pStyle w:val="ListParagraph"/>
        <w:numPr>
          <w:ilvl w:val="0"/>
          <w:numId w:val="21"/>
        </w:numPr>
        <w:jc w:val="both"/>
        <w:rPr>
          <w:rFonts w:ascii="Arial" w:hAnsi="Arial" w:cs="Arial"/>
          <w:i/>
          <w:iCs/>
          <w:lang w:val="en-US" w:eastAsia="zh-CN"/>
        </w:rPr>
      </w:pPr>
      <w:r>
        <w:rPr>
          <w:rFonts w:ascii="Arial" w:hAnsi="Arial" w:cs="Arial"/>
          <w:i/>
          <w:iCs/>
          <w:lang w:val="en-US" w:eastAsia="zh-CN"/>
        </w:rPr>
        <w:t xml:space="preserve">For dynamic power sharing, prioritize MCG over SCG in case of power limitation.  </w:t>
      </w:r>
    </w:p>
    <w:p w14:paraId="019F0A4C" w14:textId="77777777" w:rsidR="00485218" w:rsidRPr="0093250F" w:rsidRDefault="00485218" w:rsidP="00485218">
      <w:pPr>
        <w:pStyle w:val="ListParagraph"/>
        <w:numPr>
          <w:ilvl w:val="0"/>
          <w:numId w:val="21"/>
        </w:numPr>
        <w:jc w:val="both"/>
        <w:rPr>
          <w:rFonts w:ascii="Arial" w:hAnsi="Arial" w:cs="Arial"/>
          <w:i/>
          <w:iCs/>
          <w:lang w:val="en-US" w:eastAsia="zh-CN"/>
        </w:rPr>
      </w:pPr>
      <w:r w:rsidRPr="0093250F">
        <w:rPr>
          <w:rFonts w:ascii="Arial" w:hAnsi="Arial" w:cs="Arial"/>
          <w:i/>
          <w:iCs/>
          <w:lang w:val="en-US" w:eastAsia="zh-CN"/>
        </w:rPr>
        <w:t xml:space="preserve">Support </w:t>
      </w:r>
      <w:r>
        <w:rPr>
          <w:rFonts w:ascii="Arial" w:hAnsi="Arial" w:cs="Arial"/>
          <w:i/>
          <w:iCs/>
          <w:lang w:val="en-US" w:eastAsia="zh-CN"/>
        </w:rPr>
        <w:t xml:space="preserve">to introduce configurable minimum guaranteed transmission powers for SCG in a same FRX by higher layers. </w:t>
      </w:r>
    </w:p>
    <w:p w14:paraId="2E8EC9E8" w14:textId="77777777" w:rsidR="00485218" w:rsidRDefault="00485218" w:rsidP="00485218">
      <w:pPr>
        <w:spacing w:after="0"/>
        <w:jc w:val="both"/>
        <w:rPr>
          <w:rFonts w:ascii="Arial" w:hAnsi="Arial" w:cs="Arial"/>
          <w:b/>
          <w:bCs/>
          <w:lang w:val="en-US" w:eastAsia="zh-CN"/>
        </w:rPr>
      </w:pPr>
      <w:r w:rsidRPr="00152571">
        <w:rPr>
          <w:rFonts w:ascii="Arial" w:hAnsi="Arial" w:cs="Arial"/>
          <w:b/>
          <w:bCs/>
          <w:lang w:val="en-US" w:eastAsia="zh-CN"/>
        </w:rPr>
        <w:t>Proposal</w:t>
      </w:r>
      <w:r>
        <w:rPr>
          <w:rFonts w:ascii="Arial" w:hAnsi="Arial" w:cs="Arial"/>
          <w:b/>
          <w:bCs/>
          <w:lang w:val="en-US" w:eastAsia="zh-CN"/>
        </w:rPr>
        <w:t xml:space="preserve"> 4</w:t>
      </w:r>
      <w:r w:rsidRPr="00152571">
        <w:rPr>
          <w:rFonts w:ascii="Arial" w:hAnsi="Arial" w:cs="Arial"/>
          <w:b/>
          <w:bCs/>
          <w:lang w:val="en-US" w:eastAsia="zh-CN"/>
        </w:rPr>
        <w:t>:</w:t>
      </w:r>
    </w:p>
    <w:p w14:paraId="47BA72A8" w14:textId="4A2770A1" w:rsidR="00485218" w:rsidRPr="00485218" w:rsidRDefault="00485218" w:rsidP="00485218">
      <w:pPr>
        <w:pStyle w:val="ListParagraph"/>
        <w:numPr>
          <w:ilvl w:val="0"/>
          <w:numId w:val="21"/>
        </w:numPr>
        <w:jc w:val="both"/>
        <w:rPr>
          <w:rFonts w:ascii="Arial" w:hAnsi="Arial" w:cs="Arial"/>
          <w:i/>
          <w:iCs/>
          <w:lang w:val="en-US" w:eastAsia="zh-CN"/>
        </w:rPr>
      </w:pPr>
      <w:r>
        <w:rPr>
          <w:rFonts w:ascii="Arial" w:hAnsi="Arial" w:cs="Arial"/>
          <w:i/>
          <w:iCs/>
          <w:lang w:val="en-US" w:eastAsia="zh-CN"/>
        </w:rPr>
        <w:t xml:space="preserve">Reuse the Rel-15 EN-DC framework to support configurable actual/virtual PHR for the active CCs of another CG/gNB.   </w:t>
      </w:r>
    </w:p>
    <w:p w14:paraId="1B4AD2A4" w14:textId="207FA7C2" w:rsidR="00335461" w:rsidRDefault="00335461" w:rsidP="00485218">
      <w:pPr>
        <w:jc w:val="both"/>
        <w:rPr>
          <w:rFonts w:ascii="Arial" w:hAnsi="Arial" w:cs="Arial"/>
          <w:i/>
          <w:lang w:val="en-US" w:eastAsia="zh-CN"/>
        </w:rPr>
      </w:pPr>
    </w:p>
    <w:p w14:paraId="5C539092" w14:textId="77777777" w:rsidR="00335461" w:rsidRPr="00AD19B9" w:rsidRDefault="00335461" w:rsidP="00485218">
      <w:pPr>
        <w:jc w:val="both"/>
        <w:rPr>
          <w:rFonts w:ascii="Arial" w:hAnsi="Arial" w:cs="Arial"/>
          <w:i/>
          <w:lang w:val="en-US" w:eastAsia="zh-CN"/>
        </w:rPr>
      </w:pPr>
    </w:p>
    <w:p w14:paraId="151FA589" w14:textId="77777777" w:rsidR="00B975F2" w:rsidRPr="00B822B1" w:rsidRDefault="00B975F2" w:rsidP="00485218">
      <w:pPr>
        <w:pStyle w:val="Heading1"/>
        <w:pBdr>
          <w:top w:val="single" w:sz="12" w:space="4" w:color="auto"/>
        </w:pBdr>
        <w:ind w:left="0" w:firstLine="0"/>
        <w:jc w:val="both"/>
        <w:rPr>
          <w:rFonts w:cs="Arial"/>
          <w:lang w:val="en-US"/>
        </w:rPr>
      </w:pPr>
      <w:r w:rsidRPr="00B822B1">
        <w:rPr>
          <w:rFonts w:cs="Arial"/>
          <w:lang w:val="en-US"/>
        </w:rPr>
        <w:t>References</w:t>
      </w:r>
    </w:p>
    <w:p w14:paraId="0C394DC3" w14:textId="5634B9A4" w:rsidR="00C071AE" w:rsidRPr="004B4ECE" w:rsidRDefault="00B975F2" w:rsidP="00485218">
      <w:pPr>
        <w:numPr>
          <w:ilvl w:val="0"/>
          <w:numId w:val="1"/>
        </w:numPr>
        <w:jc w:val="both"/>
        <w:rPr>
          <w:rFonts w:ascii="Arial" w:hAnsi="Arial" w:cs="Arial"/>
          <w:lang w:val="en-US" w:eastAsia="zh-CN"/>
        </w:rPr>
      </w:pPr>
      <w:r w:rsidRPr="00B822B1">
        <w:rPr>
          <w:rFonts w:ascii="Arial" w:hAnsi="Arial" w:cs="Arial"/>
          <w:lang w:val="en-US" w:eastAsia="zh-CN"/>
        </w:rPr>
        <w:t xml:space="preserve"> </w:t>
      </w:r>
      <w:r w:rsidR="00C4466D">
        <w:rPr>
          <w:rFonts w:ascii="Arial" w:hAnsi="Arial" w:cs="Arial"/>
          <w:lang w:val="en-US" w:eastAsia="zh-CN"/>
        </w:rPr>
        <w:t>RAN1 Chairman’s Notes, RAN1 #98, August 2019</w:t>
      </w:r>
    </w:p>
    <w:sectPr w:rsidR="00C071AE" w:rsidRPr="004B4ECE"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BAE49" w14:textId="77777777" w:rsidR="005A7164" w:rsidRDefault="005A7164">
      <w:pPr>
        <w:spacing w:after="0"/>
      </w:pPr>
      <w:r>
        <w:separator/>
      </w:r>
    </w:p>
  </w:endnote>
  <w:endnote w:type="continuationSeparator" w:id="0">
    <w:p w14:paraId="23095FF4" w14:textId="77777777" w:rsidR="005A7164" w:rsidRDefault="005A71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5A716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1E00B" w14:textId="77777777" w:rsidR="005A7164" w:rsidRDefault="005A7164">
      <w:pPr>
        <w:spacing w:after="0"/>
      </w:pPr>
      <w:r>
        <w:separator/>
      </w:r>
    </w:p>
  </w:footnote>
  <w:footnote w:type="continuationSeparator" w:id="0">
    <w:p w14:paraId="7FADCFA6" w14:textId="77777777" w:rsidR="005A7164" w:rsidRDefault="005A71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C1C39"/>
    <w:multiLevelType w:val="hybridMultilevel"/>
    <w:tmpl w:val="49B663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2755AD"/>
    <w:multiLevelType w:val="hybridMultilevel"/>
    <w:tmpl w:val="624E9F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EA4061"/>
    <w:multiLevelType w:val="hybridMultilevel"/>
    <w:tmpl w:val="9766A14A"/>
    <w:lvl w:ilvl="0" w:tplc="A78648BE">
      <w:start w:val="7"/>
      <w:numFmt w:val="bullet"/>
      <w:lvlText w:val="-"/>
      <w:lvlJc w:val="left"/>
      <w:pPr>
        <w:ind w:left="944" w:hanging="360"/>
      </w:pPr>
      <w:rPr>
        <w:rFonts w:ascii="Calibri" w:eastAsia="Consolas" w:hAnsi="Calibri" w:cs="Calibri"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4" w15:restartNumberingAfterBreak="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00304D"/>
    <w:multiLevelType w:val="hybridMultilevel"/>
    <w:tmpl w:val="5ABEB1C0"/>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6"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91D6A"/>
    <w:multiLevelType w:val="hybridMultilevel"/>
    <w:tmpl w:val="61D8FAA8"/>
    <w:lvl w:ilvl="0" w:tplc="8354C128">
      <w:start w:val="1"/>
      <w:numFmt w:val="bullet"/>
      <w:lvlText w:val="•"/>
      <w:lvlJc w:val="left"/>
      <w:pPr>
        <w:tabs>
          <w:tab w:val="num" w:pos="720"/>
        </w:tabs>
        <w:ind w:left="720" w:hanging="360"/>
      </w:pPr>
      <w:rPr>
        <w:rFonts w:ascii="Arial" w:hAnsi="Arial" w:hint="default"/>
      </w:rPr>
    </w:lvl>
    <w:lvl w:ilvl="1" w:tplc="C65EB86E" w:tentative="1">
      <w:start w:val="1"/>
      <w:numFmt w:val="bullet"/>
      <w:lvlText w:val="•"/>
      <w:lvlJc w:val="left"/>
      <w:pPr>
        <w:tabs>
          <w:tab w:val="num" w:pos="1440"/>
        </w:tabs>
        <w:ind w:left="1440" w:hanging="360"/>
      </w:pPr>
      <w:rPr>
        <w:rFonts w:ascii="Arial" w:hAnsi="Arial" w:hint="default"/>
      </w:rPr>
    </w:lvl>
    <w:lvl w:ilvl="2" w:tplc="03120692">
      <w:start w:val="1"/>
      <w:numFmt w:val="bullet"/>
      <w:lvlText w:val="•"/>
      <w:lvlJc w:val="left"/>
      <w:pPr>
        <w:tabs>
          <w:tab w:val="num" w:pos="2160"/>
        </w:tabs>
        <w:ind w:left="2160" w:hanging="360"/>
      </w:pPr>
      <w:rPr>
        <w:rFonts w:ascii="Arial" w:hAnsi="Arial" w:hint="default"/>
      </w:rPr>
    </w:lvl>
    <w:lvl w:ilvl="3" w:tplc="89748CAC" w:tentative="1">
      <w:start w:val="1"/>
      <w:numFmt w:val="bullet"/>
      <w:lvlText w:val="•"/>
      <w:lvlJc w:val="left"/>
      <w:pPr>
        <w:tabs>
          <w:tab w:val="num" w:pos="2880"/>
        </w:tabs>
        <w:ind w:left="2880" w:hanging="360"/>
      </w:pPr>
      <w:rPr>
        <w:rFonts w:ascii="Arial" w:hAnsi="Arial" w:hint="default"/>
      </w:rPr>
    </w:lvl>
    <w:lvl w:ilvl="4" w:tplc="0798AF7C" w:tentative="1">
      <w:start w:val="1"/>
      <w:numFmt w:val="bullet"/>
      <w:lvlText w:val="•"/>
      <w:lvlJc w:val="left"/>
      <w:pPr>
        <w:tabs>
          <w:tab w:val="num" w:pos="3600"/>
        </w:tabs>
        <w:ind w:left="3600" w:hanging="360"/>
      </w:pPr>
      <w:rPr>
        <w:rFonts w:ascii="Arial" w:hAnsi="Arial" w:hint="default"/>
      </w:rPr>
    </w:lvl>
    <w:lvl w:ilvl="5" w:tplc="B7BEA1A2" w:tentative="1">
      <w:start w:val="1"/>
      <w:numFmt w:val="bullet"/>
      <w:lvlText w:val="•"/>
      <w:lvlJc w:val="left"/>
      <w:pPr>
        <w:tabs>
          <w:tab w:val="num" w:pos="4320"/>
        </w:tabs>
        <w:ind w:left="4320" w:hanging="360"/>
      </w:pPr>
      <w:rPr>
        <w:rFonts w:ascii="Arial" w:hAnsi="Arial" w:hint="default"/>
      </w:rPr>
    </w:lvl>
    <w:lvl w:ilvl="6" w:tplc="306E6BDC" w:tentative="1">
      <w:start w:val="1"/>
      <w:numFmt w:val="bullet"/>
      <w:lvlText w:val="•"/>
      <w:lvlJc w:val="left"/>
      <w:pPr>
        <w:tabs>
          <w:tab w:val="num" w:pos="5040"/>
        </w:tabs>
        <w:ind w:left="5040" w:hanging="360"/>
      </w:pPr>
      <w:rPr>
        <w:rFonts w:ascii="Arial" w:hAnsi="Arial" w:hint="default"/>
      </w:rPr>
    </w:lvl>
    <w:lvl w:ilvl="7" w:tplc="4D42761E" w:tentative="1">
      <w:start w:val="1"/>
      <w:numFmt w:val="bullet"/>
      <w:lvlText w:val="•"/>
      <w:lvlJc w:val="left"/>
      <w:pPr>
        <w:tabs>
          <w:tab w:val="num" w:pos="5760"/>
        </w:tabs>
        <w:ind w:left="5760" w:hanging="360"/>
      </w:pPr>
      <w:rPr>
        <w:rFonts w:ascii="Arial" w:hAnsi="Arial" w:hint="default"/>
      </w:rPr>
    </w:lvl>
    <w:lvl w:ilvl="8" w:tplc="F2FEAD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8B47E6"/>
    <w:multiLevelType w:val="hybridMultilevel"/>
    <w:tmpl w:val="08F26A30"/>
    <w:lvl w:ilvl="0" w:tplc="2EA02C9E">
      <w:start w:val="1"/>
      <w:numFmt w:val="bullet"/>
      <w:lvlText w:val="•"/>
      <w:lvlJc w:val="left"/>
      <w:pPr>
        <w:tabs>
          <w:tab w:val="num" w:pos="720"/>
        </w:tabs>
        <w:ind w:left="720" w:hanging="360"/>
      </w:pPr>
      <w:rPr>
        <w:rFonts w:ascii="Arial" w:hAnsi="Arial" w:hint="default"/>
      </w:rPr>
    </w:lvl>
    <w:lvl w:ilvl="1" w:tplc="26AC0780">
      <w:start w:val="1"/>
      <w:numFmt w:val="bullet"/>
      <w:lvlText w:val="•"/>
      <w:lvlJc w:val="left"/>
      <w:pPr>
        <w:tabs>
          <w:tab w:val="num" w:pos="1440"/>
        </w:tabs>
        <w:ind w:left="1440" w:hanging="360"/>
      </w:pPr>
      <w:rPr>
        <w:rFonts w:ascii="Arial" w:hAnsi="Arial" w:hint="default"/>
      </w:rPr>
    </w:lvl>
    <w:lvl w:ilvl="2" w:tplc="F372143A" w:tentative="1">
      <w:start w:val="1"/>
      <w:numFmt w:val="bullet"/>
      <w:lvlText w:val="•"/>
      <w:lvlJc w:val="left"/>
      <w:pPr>
        <w:tabs>
          <w:tab w:val="num" w:pos="2160"/>
        </w:tabs>
        <w:ind w:left="2160" w:hanging="360"/>
      </w:pPr>
      <w:rPr>
        <w:rFonts w:ascii="Arial" w:hAnsi="Arial" w:hint="default"/>
      </w:rPr>
    </w:lvl>
    <w:lvl w:ilvl="3" w:tplc="6EB21D58" w:tentative="1">
      <w:start w:val="1"/>
      <w:numFmt w:val="bullet"/>
      <w:lvlText w:val="•"/>
      <w:lvlJc w:val="left"/>
      <w:pPr>
        <w:tabs>
          <w:tab w:val="num" w:pos="2880"/>
        </w:tabs>
        <w:ind w:left="2880" w:hanging="360"/>
      </w:pPr>
      <w:rPr>
        <w:rFonts w:ascii="Arial" w:hAnsi="Arial" w:hint="default"/>
      </w:rPr>
    </w:lvl>
    <w:lvl w:ilvl="4" w:tplc="058417A0" w:tentative="1">
      <w:start w:val="1"/>
      <w:numFmt w:val="bullet"/>
      <w:lvlText w:val="•"/>
      <w:lvlJc w:val="left"/>
      <w:pPr>
        <w:tabs>
          <w:tab w:val="num" w:pos="3600"/>
        </w:tabs>
        <w:ind w:left="3600" w:hanging="360"/>
      </w:pPr>
      <w:rPr>
        <w:rFonts w:ascii="Arial" w:hAnsi="Arial" w:hint="default"/>
      </w:rPr>
    </w:lvl>
    <w:lvl w:ilvl="5" w:tplc="D3C602A6" w:tentative="1">
      <w:start w:val="1"/>
      <w:numFmt w:val="bullet"/>
      <w:lvlText w:val="•"/>
      <w:lvlJc w:val="left"/>
      <w:pPr>
        <w:tabs>
          <w:tab w:val="num" w:pos="4320"/>
        </w:tabs>
        <w:ind w:left="4320" w:hanging="360"/>
      </w:pPr>
      <w:rPr>
        <w:rFonts w:ascii="Arial" w:hAnsi="Arial" w:hint="default"/>
      </w:rPr>
    </w:lvl>
    <w:lvl w:ilvl="6" w:tplc="137AAC6A" w:tentative="1">
      <w:start w:val="1"/>
      <w:numFmt w:val="bullet"/>
      <w:lvlText w:val="•"/>
      <w:lvlJc w:val="left"/>
      <w:pPr>
        <w:tabs>
          <w:tab w:val="num" w:pos="5040"/>
        </w:tabs>
        <w:ind w:left="5040" w:hanging="360"/>
      </w:pPr>
      <w:rPr>
        <w:rFonts w:ascii="Arial" w:hAnsi="Arial" w:hint="default"/>
      </w:rPr>
    </w:lvl>
    <w:lvl w:ilvl="7" w:tplc="F2460B56" w:tentative="1">
      <w:start w:val="1"/>
      <w:numFmt w:val="bullet"/>
      <w:lvlText w:val="•"/>
      <w:lvlJc w:val="left"/>
      <w:pPr>
        <w:tabs>
          <w:tab w:val="num" w:pos="5760"/>
        </w:tabs>
        <w:ind w:left="5760" w:hanging="360"/>
      </w:pPr>
      <w:rPr>
        <w:rFonts w:ascii="Arial" w:hAnsi="Arial" w:hint="default"/>
      </w:rPr>
    </w:lvl>
    <w:lvl w:ilvl="8" w:tplc="21B80B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80D5E63"/>
    <w:multiLevelType w:val="hybridMultilevel"/>
    <w:tmpl w:val="D5BE98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3" w15:restartNumberingAfterBreak="0">
    <w:nsid w:val="4E4A4318"/>
    <w:multiLevelType w:val="hybridMultilevel"/>
    <w:tmpl w:val="A0DC8C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CA58B4"/>
    <w:multiLevelType w:val="hybridMultilevel"/>
    <w:tmpl w:val="94D2A72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BF2080"/>
    <w:multiLevelType w:val="hybridMultilevel"/>
    <w:tmpl w:val="72744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EB4C89"/>
    <w:multiLevelType w:val="hybridMultilevel"/>
    <w:tmpl w:val="D4229F08"/>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D437566"/>
    <w:multiLevelType w:val="hybridMultilevel"/>
    <w:tmpl w:val="45540DC2"/>
    <w:lvl w:ilvl="0" w:tplc="1A20AB88">
      <w:start w:val="1"/>
      <w:numFmt w:val="bullet"/>
      <w:lvlText w:val="•"/>
      <w:lvlJc w:val="left"/>
      <w:pPr>
        <w:tabs>
          <w:tab w:val="num" w:pos="360"/>
        </w:tabs>
        <w:ind w:left="360" w:hanging="360"/>
      </w:pPr>
      <w:rPr>
        <w:rFonts w:ascii="Arial" w:hAnsi="Arial" w:hint="default"/>
      </w:rPr>
    </w:lvl>
    <w:lvl w:ilvl="1" w:tplc="0F20B4C4">
      <w:start w:val="1"/>
      <w:numFmt w:val="bullet"/>
      <w:lvlText w:val="•"/>
      <w:lvlJc w:val="left"/>
      <w:pPr>
        <w:tabs>
          <w:tab w:val="num" w:pos="1080"/>
        </w:tabs>
        <w:ind w:left="1080" w:hanging="360"/>
      </w:pPr>
      <w:rPr>
        <w:rFonts w:ascii="Arial" w:hAnsi="Arial" w:hint="default"/>
      </w:rPr>
    </w:lvl>
    <w:lvl w:ilvl="2" w:tplc="392831F6" w:tentative="1">
      <w:start w:val="1"/>
      <w:numFmt w:val="bullet"/>
      <w:lvlText w:val="•"/>
      <w:lvlJc w:val="left"/>
      <w:pPr>
        <w:tabs>
          <w:tab w:val="num" w:pos="1800"/>
        </w:tabs>
        <w:ind w:left="1800" w:hanging="360"/>
      </w:pPr>
      <w:rPr>
        <w:rFonts w:ascii="Arial" w:hAnsi="Arial" w:hint="default"/>
      </w:rPr>
    </w:lvl>
    <w:lvl w:ilvl="3" w:tplc="1DEC4092" w:tentative="1">
      <w:start w:val="1"/>
      <w:numFmt w:val="bullet"/>
      <w:lvlText w:val="•"/>
      <w:lvlJc w:val="left"/>
      <w:pPr>
        <w:tabs>
          <w:tab w:val="num" w:pos="2520"/>
        </w:tabs>
        <w:ind w:left="2520" w:hanging="360"/>
      </w:pPr>
      <w:rPr>
        <w:rFonts w:ascii="Arial" w:hAnsi="Arial" w:hint="default"/>
      </w:rPr>
    </w:lvl>
    <w:lvl w:ilvl="4" w:tplc="6AB04F50" w:tentative="1">
      <w:start w:val="1"/>
      <w:numFmt w:val="bullet"/>
      <w:lvlText w:val="•"/>
      <w:lvlJc w:val="left"/>
      <w:pPr>
        <w:tabs>
          <w:tab w:val="num" w:pos="3240"/>
        </w:tabs>
        <w:ind w:left="3240" w:hanging="360"/>
      </w:pPr>
      <w:rPr>
        <w:rFonts w:ascii="Arial" w:hAnsi="Arial" w:hint="default"/>
      </w:rPr>
    </w:lvl>
    <w:lvl w:ilvl="5" w:tplc="23DAD64C" w:tentative="1">
      <w:start w:val="1"/>
      <w:numFmt w:val="bullet"/>
      <w:lvlText w:val="•"/>
      <w:lvlJc w:val="left"/>
      <w:pPr>
        <w:tabs>
          <w:tab w:val="num" w:pos="3960"/>
        </w:tabs>
        <w:ind w:left="3960" w:hanging="360"/>
      </w:pPr>
      <w:rPr>
        <w:rFonts w:ascii="Arial" w:hAnsi="Arial" w:hint="default"/>
      </w:rPr>
    </w:lvl>
    <w:lvl w:ilvl="6" w:tplc="C1E2A266" w:tentative="1">
      <w:start w:val="1"/>
      <w:numFmt w:val="bullet"/>
      <w:lvlText w:val="•"/>
      <w:lvlJc w:val="left"/>
      <w:pPr>
        <w:tabs>
          <w:tab w:val="num" w:pos="4680"/>
        </w:tabs>
        <w:ind w:left="4680" w:hanging="360"/>
      </w:pPr>
      <w:rPr>
        <w:rFonts w:ascii="Arial" w:hAnsi="Arial" w:hint="default"/>
      </w:rPr>
    </w:lvl>
    <w:lvl w:ilvl="7" w:tplc="B2889A32" w:tentative="1">
      <w:start w:val="1"/>
      <w:numFmt w:val="bullet"/>
      <w:lvlText w:val="•"/>
      <w:lvlJc w:val="left"/>
      <w:pPr>
        <w:tabs>
          <w:tab w:val="num" w:pos="5400"/>
        </w:tabs>
        <w:ind w:left="5400" w:hanging="360"/>
      </w:pPr>
      <w:rPr>
        <w:rFonts w:ascii="Arial" w:hAnsi="Arial" w:hint="default"/>
      </w:rPr>
    </w:lvl>
    <w:lvl w:ilvl="8" w:tplc="0E5097A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5"/>
  </w:num>
  <w:num w:numId="3">
    <w:abstractNumId w:val="8"/>
  </w:num>
  <w:num w:numId="4">
    <w:abstractNumId w:val="22"/>
  </w:num>
  <w:num w:numId="5">
    <w:abstractNumId w:val="16"/>
  </w:num>
  <w:num w:numId="6">
    <w:abstractNumId w:val="14"/>
  </w:num>
  <w:num w:numId="7">
    <w:abstractNumId w:val="17"/>
  </w:num>
  <w:num w:numId="8">
    <w:abstractNumId w:val="1"/>
  </w:num>
  <w:num w:numId="9">
    <w:abstractNumId w:val="4"/>
  </w:num>
  <w:num w:numId="10">
    <w:abstractNumId w:val="19"/>
  </w:num>
  <w:num w:numId="11">
    <w:abstractNumId w:val="6"/>
  </w:num>
  <w:num w:numId="12">
    <w:abstractNumId w:val="11"/>
  </w:num>
  <w:num w:numId="13">
    <w:abstractNumId w:val="0"/>
  </w:num>
  <w:num w:numId="14">
    <w:abstractNumId w:val="23"/>
  </w:num>
  <w:num w:numId="15">
    <w:abstractNumId w:val="15"/>
  </w:num>
  <w:num w:numId="16">
    <w:abstractNumId w:val="18"/>
  </w:num>
  <w:num w:numId="17">
    <w:abstractNumId w:val="13"/>
  </w:num>
  <w:num w:numId="18">
    <w:abstractNumId w:val="12"/>
  </w:num>
  <w:num w:numId="19">
    <w:abstractNumId w:val="3"/>
  </w:num>
  <w:num w:numId="20">
    <w:abstractNumId w:val="2"/>
  </w:num>
  <w:num w:numId="21">
    <w:abstractNumId w:val="21"/>
  </w:num>
  <w:num w:numId="22">
    <w:abstractNumId w:val="24"/>
  </w:num>
  <w:num w:numId="23">
    <w:abstractNumId w:val="10"/>
  </w:num>
  <w:num w:numId="24">
    <w:abstractNumId w:val="9"/>
  </w:num>
  <w:num w:numId="25">
    <w:abstractNumId w:val="7"/>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402EC"/>
    <w:rsid w:val="00041822"/>
    <w:rsid w:val="00043EA5"/>
    <w:rsid w:val="0006735F"/>
    <w:rsid w:val="0007709B"/>
    <w:rsid w:val="0008305E"/>
    <w:rsid w:val="000A416F"/>
    <w:rsid w:val="000B2B28"/>
    <w:rsid w:val="000B394E"/>
    <w:rsid w:val="000B3A78"/>
    <w:rsid w:val="000C0C40"/>
    <w:rsid w:val="000C2B74"/>
    <w:rsid w:val="000C458D"/>
    <w:rsid w:val="000E190D"/>
    <w:rsid w:val="000F1868"/>
    <w:rsid w:val="000F2FCE"/>
    <w:rsid w:val="00102F82"/>
    <w:rsid w:val="00141FAE"/>
    <w:rsid w:val="0014729A"/>
    <w:rsid w:val="00152571"/>
    <w:rsid w:val="00177AA3"/>
    <w:rsid w:val="00180C2B"/>
    <w:rsid w:val="00181D34"/>
    <w:rsid w:val="00183D1D"/>
    <w:rsid w:val="00185D56"/>
    <w:rsid w:val="00187556"/>
    <w:rsid w:val="001949AF"/>
    <w:rsid w:val="001A000F"/>
    <w:rsid w:val="001A028F"/>
    <w:rsid w:val="001B12E0"/>
    <w:rsid w:val="001B179E"/>
    <w:rsid w:val="001D22F1"/>
    <w:rsid w:val="001D5272"/>
    <w:rsid w:val="001D681E"/>
    <w:rsid w:val="001E7186"/>
    <w:rsid w:val="001F0DAD"/>
    <w:rsid w:val="00203A90"/>
    <w:rsid w:val="002053BF"/>
    <w:rsid w:val="002259B3"/>
    <w:rsid w:val="00240384"/>
    <w:rsid w:val="00251514"/>
    <w:rsid w:val="00260B38"/>
    <w:rsid w:val="002623A4"/>
    <w:rsid w:val="00262722"/>
    <w:rsid w:val="00272E2E"/>
    <w:rsid w:val="00284187"/>
    <w:rsid w:val="002C09D3"/>
    <w:rsid w:val="002C1749"/>
    <w:rsid w:val="002C40DF"/>
    <w:rsid w:val="002D1FD7"/>
    <w:rsid w:val="002E05FB"/>
    <w:rsid w:val="002F126F"/>
    <w:rsid w:val="0030741B"/>
    <w:rsid w:val="00330585"/>
    <w:rsid w:val="00335461"/>
    <w:rsid w:val="00363167"/>
    <w:rsid w:val="00363BBA"/>
    <w:rsid w:val="00366323"/>
    <w:rsid w:val="003731A2"/>
    <w:rsid w:val="003738FB"/>
    <w:rsid w:val="00377C96"/>
    <w:rsid w:val="00392DF0"/>
    <w:rsid w:val="00397863"/>
    <w:rsid w:val="003B03BE"/>
    <w:rsid w:val="003E59A3"/>
    <w:rsid w:val="003E603B"/>
    <w:rsid w:val="003F0EA8"/>
    <w:rsid w:val="003F2794"/>
    <w:rsid w:val="003F35C9"/>
    <w:rsid w:val="00405A83"/>
    <w:rsid w:val="00406600"/>
    <w:rsid w:val="00411011"/>
    <w:rsid w:val="004229CC"/>
    <w:rsid w:val="00431C40"/>
    <w:rsid w:val="00443035"/>
    <w:rsid w:val="00443491"/>
    <w:rsid w:val="00447402"/>
    <w:rsid w:val="004611B2"/>
    <w:rsid w:val="004655DA"/>
    <w:rsid w:val="0048043C"/>
    <w:rsid w:val="00481565"/>
    <w:rsid w:val="00485218"/>
    <w:rsid w:val="00485C82"/>
    <w:rsid w:val="0049534F"/>
    <w:rsid w:val="004B4ECE"/>
    <w:rsid w:val="004C49E0"/>
    <w:rsid w:val="004D2DC9"/>
    <w:rsid w:val="004D40BD"/>
    <w:rsid w:val="004E0AC9"/>
    <w:rsid w:val="004E774D"/>
    <w:rsid w:val="0050071A"/>
    <w:rsid w:val="00501D54"/>
    <w:rsid w:val="005263EF"/>
    <w:rsid w:val="005542D6"/>
    <w:rsid w:val="00563948"/>
    <w:rsid w:val="00563D5B"/>
    <w:rsid w:val="0057150E"/>
    <w:rsid w:val="00576BFF"/>
    <w:rsid w:val="00593B39"/>
    <w:rsid w:val="005970B6"/>
    <w:rsid w:val="005A29B3"/>
    <w:rsid w:val="005A7164"/>
    <w:rsid w:val="005C60B7"/>
    <w:rsid w:val="005D0604"/>
    <w:rsid w:val="005E3610"/>
    <w:rsid w:val="006043EE"/>
    <w:rsid w:val="00606297"/>
    <w:rsid w:val="00644D23"/>
    <w:rsid w:val="00645311"/>
    <w:rsid w:val="00685B8E"/>
    <w:rsid w:val="006B1DB6"/>
    <w:rsid w:val="006C732E"/>
    <w:rsid w:val="006D541A"/>
    <w:rsid w:val="006D7A1D"/>
    <w:rsid w:val="006F0588"/>
    <w:rsid w:val="00704042"/>
    <w:rsid w:val="0071248E"/>
    <w:rsid w:val="00720763"/>
    <w:rsid w:val="00732A75"/>
    <w:rsid w:val="00757E9D"/>
    <w:rsid w:val="007718DC"/>
    <w:rsid w:val="00782E13"/>
    <w:rsid w:val="007A2149"/>
    <w:rsid w:val="007B36BD"/>
    <w:rsid w:val="007C1BB7"/>
    <w:rsid w:val="007D05CA"/>
    <w:rsid w:val="007D33A8"/>
    <w:rsid w:val="007D41A1"/>
    <w:rsid w:val="007E190F"/>
    <w:rsid w:val="00813070"/>
    <w:rsid w:val="008220E8"/>
    <w:rsid w:val="008701E7"/>
    <w:rsid w:val="008C021C"/>
    <w:rsid w:val="008D1D46"/>
    <w:rsid w:val="008D7057"/>
    <w:rsid w:val="008F0F8E"/>
    <w:rsid w:val="008F2A4F"/>
    <w:rsid w:val="00901A73"/>
    <w:rsid w:val="00930255"/>
    <w:rsid w:val="0093250F"/>
    <w:rsid w:val="00932CDF"/>
    <w:rsid w:val="009502F4"/>
    <w:rsid w:val="0096275C"/>
    <w:rsid w:val="0096551C"/>
    <w:rsid w:val="009658D8"/>
    <w:rsid w:val="009B2881"/>
    <w:rsid w:val="009B7A4B"/>
    <w:rsid w:val="009C6EFD"/>
    <w:rsid w:val="009E59FA"/>
    <w:rsid w:val="00A2193B"/>
    <w:rsid w:val="00A30C8A"/>
    <w:rsid w:val="00A344E7"/>
    <w:rsid w:val="00A5202E"/>
    <w:rsid w:val="00A617F3"/>
    <w:rsid w:val="00A944E3"/>
    <w:rsid w:val="00A969BD"/>
    <w:rsid w:val="00AB019B"/>
    <w:rsid w:val="00AB6F25"/>
    <w:rsid w:val="00AC1AA3"/>
    <w:rsid w:val="00AD19B9"/>
    <w:rsid w:val="00B1026D"/>
    <w:rsid w:val="00B147AE"/>
    <w:rsid w:val="00B5370C"/>
    <w:rsid w:val="00B66702"/>
    <w:rsid w:val="00B70FFC"/>
    <w:rsid w:val="00B800B2"/>
    <w:rsid w:val="00B8238D"/>
    <w:rsid w:val="00B975F2"/>
    <w:rsid w:val="00BA3989"/>
    <w:rsid w:val="00BC0F24"/>
    <w:rsid w:val="00BC2537"/>
    <w:rsid w:val="00BD43E0"/>
    <w:rsid w:val="00C071AE"/>
    <w:rsid w:val="00C11223"/>
    <w:rsid w:val="00C12097"/>
    <w:rsid w:val="00C14696"/>
    <w:rsid w:val="00C24439"/>
    <w:rsid w:val="00C4466D"/>
    <w:rsid w:val="00C56535"/>
    <w:rsid w:val="00C71168"/>
    <w:rsid w:val="00C928D7"/>
    <w:rsid w:val="00C95DFB"/>
    <w:rsid w:val="00CA6393"/>
    <w:rsid w:val="00CB11D0"/>
    <w:rsid w:val="00CC2E64"/>
    <w:rsid w:val="00D10586"/>
    <w:rsid w:val="00D30C17"/>
    <w:rsid w:val="00D4670D"/>
    <w:rsid w:val="00D46936"/>
    <w:rsid w:val="00D50A49"/>
    <w:rsid w:val="00D861AD"/>
    <w:rsid w:val="00D97F0D"/>
    <w:rsid w:val="00DA1593"/>
    <w:rsid w:val="00DA23E9"/>
    <w:rsid w:val="00DA6C93"/>
    <w:rsid w:val="00DC063B"/>
    <w:rsid w:val="00DC5D77"/>
    <w:rsid w:val="00DD47C9"/>
    <w:rsid w:val="00DE64D5"/>
    <w:rsid w:val="00E127DE"/>
    <w:rsid w:val="00E25ABB"/>
    <w:rsid w:val="00E40B01"/>
    <w:rsid w:val="00E40B42"/>
    <w:rsid w:val="00E61443"/>
    <w:rsid w:val="00E61983"/>
    <w:rsid w:val="00E72B9D"/>
    <w:rsid w:val="00E738D2"/>
    <w:rsid w:val="00EA2856"/>
    <w:rsid w:val="00EA559B"/>
    <w:rsid w:val="00EA7E1E"/>
    <w:rsid w:val="00EC1A41"/>
    <w:rsid w:val="00ED4D09"/>
    <w:rsid w:val="00EE5859"/>
    <w:rsid w:val="00EE5C07"/>
    <w:rsid w:val="00F059AD"/>
    <w:rsid w:val="00F22F47"/>
    <w:rsid w:val="00F61E59"/>
    <w:rsid w:val="00F76F97"/>
    <w:rsid w:val="00F77593"/>
    <w:rsid w:val="00F825A1"/>
    <w:rsid w:val="00F8597E"/>
    <w:rsid w:val="00F924B2"/>
    <w:rsid w:val="00FC1498"/>
    <w:rsid w:val="00FD52BD"/>
    <w:rsid w:val="00FE67BA"/>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1949AF"/>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56F5B-8D4C-6F4D-B460-FC7BAB32A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TotalTime>
  <Pages>4</Pages>
  <Words>1588</Words>
  <Characters>9057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37</cp:revision>
  <cp:lastPrinted>2019-01-22T03:27:00Z</cp:lastPrinted>
  <dcterms:created xsi:type="dcterms:W3CDTF">2019-08-05T03:40:00Z</dcterms:created>
  <dcterms:modified xsi:type="dcterms:W3CDTF">2019-10-05T00:34:00Z</dcterms:modified>
</cp:coreProperties>
</file>