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035B74" w:rsidP="00D2657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B646EF">
        <w:rPr>
          <w:b/>
          <w:kern w:val="2"/>
          <w:lang w:eastAsia="zh-CN"/>
        </w:rPr>
        <w:t>7</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59485D" w:rsidRPr="0059485D">
        <w:t xml:space="preserve"> </w:t>
      </w:r>
      <w:r w:rsidR="0059485D" w:rsidRPr="0059485D">
        <w:rPr>
          <w:b/>
          <w:kern w:val="2"/>
          <w:lang w:eastAsia="zh-CN"/>
        </w:rPr>
        <w:t>1907523</w:t>
      </w:r>
    </w:p>
    <w:p w:rsidR="009C0564" w:rsidRPr="00CF195E" w:rsidRDefault="00B646EF" w:rsidP="00CF195E">
      <w:pPr>
        <w:jc w:val="left"/>
        <w:rPr>
          <w:b/>
          <w:kern w:val="2"/>
          <w:lang w:eastAsia="zh-CN"/>
        </w:rPr>
      </w:pPr>
      <w:r>
        <w:rPr>
          <w:b/>
          <w:kern w:val="2"/>
          <w:lang w:eastAsia="zh-CN"/>
        </w:rPr>
        <w:t>Reno, USA, May 13 – 17, 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646EF" w:rsidRPr="00963477">
        <w:rPr>
          <w:b/>
          <w:kern w:val="2"/>
          <w:lang w:eastAsia="zh-CN"/>
        </w:rPr>
        <w:t>7.2.13.</w:t>
      </w:r>
      <w:r w:rsidR="00B646EF">
        <w:rPr>
          <w:b/>
          <w:kern w:val="2"/>
          <w:lang w:eastAsia="zh-CN"/>
        </w:rPr>
        <w:t>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B646EF" w:rsidRPr="00CF195E">
        <w:rPr>
          <w:b/>
          <w:kern w:val="2"/>
          <w:lang w:eastAsia="zh-CN"/>
        </w:rPr>
        <w:t>Huawei</w:t>
      </w:r>
      <w:r w:rsidR="00B646EF">
        <w:rPr>
          <w:b/>
          <w:kern w:val="2"/>
          <w:lang w:eastAsia="zh-CN"/>
        </w:rPr>
        <w:t>,</w:t>
      </w:r>
      <w:r w:rsidR="00B646EF" w:rsidRPr="006F5015">
        <w:rPr>
          <w:b/>
          <w:lang w:eastAsia="zh-CN"/>
        </w:rPr>
        <w:t xml:space="preserve"> </w:t>
      </w:r>
      <w:bookmarkStart w:id="0" w:name="OLE_LINK120"/>
      <w:bookmarkStart w:id="1" w:name="OLE_LINK121"/>
      <w:r w:rsidR="00B646EF">
        <w:rPr>
          <w:b/>
          <w:lang w:eastAsia="zh-CN"/>
        </w:rPr>
        <w:t>HiSilicon</w:t>
      </w:r>
      <w:bookmarkEnd w:id="0"/>
      <w:bookmarkEnd w:id="1"/>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646EF" w:rsidRPr="009946EB">
        <w:rPr>
          <w:b/>
          <w:kern w:val="2"/>
          <w:lang w:eastAsia="zh-CN"/>
        </w:rPr>
        <w:t>Details for contiguous data transmission with cross-carrier scheduling</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C64C87">
        <w:rPr>
          <w:b/>
          <w:kern w:val="2"/>
          <w:lang w:eastAsia="zh-CN"/>
        </w:rPr>
        <w:t>Discussion and D</w:t>
      </w:r>
      <w:bookmarkStart w:id="2" w:name="_GoBack"/>
      <w:bookmarkEnd w:id="2"/>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3" w:name="_Ref124589705"/>
      <w:bookmarkStart w:id="4" w:name="_Ref129681862"/>
      <w:r w:rsidRPr="00CF195E">
        <w:t>Introduction</w:t>
      </w:r>
      <w:bookmarkEnd w:id="3"/>
      <w:bookmarkEnd w:id="4"/>
    </w:p>
    <w:p w:rsidR="007A584A" w:rsidRPr="00093FF6" w:rsidRDefault="007A584A" w:rsidP="007A584A">
      <w:pPr>
        <w:spacing w:after="0"/>
        <w:jc w:val="left"/>
        <w:rPr>
          <w:rFonts w:ascii="Times" w:hAnsi="Times"/>
        </w:rPr>
      </w:pPr>
      <w:r>
        <w:rPr>
          <w:rFonts w:ascii="Times" w:hAnsi="Times" w:hint="eastAsia"/>
        </w:rPr>
        <w:t>In RAN1</w:t>
      </w:r>
      <w:r>
        <w:rPr>
          <w:rFonts w:ascii="Times" w:hAnsi="Times"/>
        </w:rPr>
        <w:t>#96bis</w:t>
      </w:r>
      <w:r>
        <w:rPr>
          <w:rFonts w:ascii="Times" w:hAnsi="Times" w:hint="eastAsia"/>
        </w:rPr>
        <w:t xml:space="preserve"> meeting</w:t>
      </w:r>
      <w:r w:rsidR="007901B3">
        <w:rPr>
          <w:rFonts w:ascii="Times" w:hAnsi="Times"/>
        </w:rPr>
        <w:t xml:space="preserve"> [</w:t>
      </w:r>
      <w:r w:rsidR="007901B3">
        <w:rPr>
          <w:rFonts w:ascii="Times" w:hAnsi="Times" w:hint="eastAsia"/>
        </w:rPr>
        <w:t>1]</w:t>
      </w:r>
      <w:r>
        <w:rPr>
          <w:rFonts w:ascii="Times" w:hAnsi="Times" w:hint="eastAsia"/>
        </w:rPr>
        <w:t xml:space="preserve"> </w:t>
      </w:r>
      <w:r>
        <w:rPr>
          <w:rFonts w:ascii="Times" w:hAnsi="Times"/>
        </w:rPr>
        <w:t xml:space="preserve">and email </w:t>
      </w:r>
      <w:r w:rsidR="001B2E4D">
        <w:rPr>
          <w:rFonts w:ascii="Times" w:hAnsi="Times"/>
        </w:rPr>
        <w:t xml:space="preserve">discussion </w:t>
      </w:r>
      <w:r w:rsidR="007901B3">
        <w:rPr>
          <w:rFonts w:ascii="Times" w:hAnsi="Times"/>
        </w:rPr>
        <w:fldChar w:fldCharType="begin"/>
      </w:r>
      <w:r w:rsidR="007901B3">
        <w:rPr>
          <w:rFonts w:ascii="Times" w:hAnsi="Times"/>
        </w:rPr>
        <w:instrText xml:space="preserve"> REF _Ref4776735 \n \h </w:instrText>
      </w:r>
      <w:r w:rsidR="007901B3">
        <w:rPr>
          <w:rFonts w:ascii="Times" w:hAnsi="Times"/>
        </w:rPr>
      </w:r>
      <w:r w:rsidR="007901B3">
        <w:rPr>
          <w:rFonts w:ascii="Times" w:hAnsi="Times"/>
        </w:rPr>
        <w:fldChar w:fldCharType="separate"/>
      </w:r>
      <w:r w:rsidR="007901B3">
        <w:rPr>
          <w:rFonts w:ascii="Times" w:hAnsi="Times"/>
        </w:rPr>
        <w:t>[2]</w:t>
      </w:r>
      <w:r w:rsidR="007901B3">
        <w:rPr>
          <w:rFonts w:ascii="Times" w:hAnsi="Times"/>
        </w:rPr>
        <w:fldChar w:fldCharType="end"/>
      </w:r>
      <w:r>
        <w:rPr>
          <w:rFonts w:ascii="Times" w:hAnsi="Times" w:hint="eastAsia"/>
        </w:rPr>
        <w:t xml:space="preserve">, the following </w:t>
      </w:r>
      <w:r>
        <w:rPr>
          <w:rFonts w:ascii="Times" w:hAnsi="Times"/>
        </w:rPr>
        <w:t>alternatives were identified</w:t>
      </w:r>
      <w:r>
        <w:rPr>
          <w:rFonts w:ascii="Times" w:hAnsi="Times" w:hint="eastAsia"/>
        </w:rPr>
        <w:t>:</w:t>
      </w:r>
    </w:p>
    <w:p w:rsidR="007A584A" w:rsidRPr="00397E67" w:rsidRDefault="007A584A" w:rsidP="007A584A">
      <w:pPr>
        <w:numPr>
          <w:ilvl w:val="0"/>
          <w:numId w:val="31"/>
        </w:numPr>
        <w:overflowPunct w:val="0"/>
        <w:snapToGrid/>
        <w:spacing w:after="0"/>
        <w:jc w:val="left"/>
        <w:textAlignment w:val="baseline"/>
      </w:pPr>
      <w:r>
        <w:rPr>
          <w:b/>
          <w:bCs/>
        </w:rPr>
        <w:t>Alt</w:t>
      </w:r>
      <w:r w:rsidRPr="00FA7E3D">
        <w:rPr>
          <w:b/>
          <w:bCs/>
        </w:rPr>
        <w:t xml:space="preserve"> 1</w:t>
      </w:r>
      <w:r w:rsidRPr="00397E67">
        <w:rPr>
          <w:bCs/>
        </w:rPr>
        <w:t xml:space="preserve">: Single-slot scheduling with increased number of </w:t>
      </w:r>
      <w:r w:rsidRPr="009918B6">
        <w:t>valid unicast DCIs per PDCCH monitoring occasion</w:t>
      </w:r>
    </w:p>
    <w:p w:rsidR="007A584A" w:rsidRPr="00F8540B" w:rsidRDefault="007A584A" w:rsidP="007A584A">
      <w:pPr>
        <w:numPr>
          <w:ilvl w:val="1"/>
          <w:numId w:val="32"/>
        </w:numPr>
        <w:overflowPunct w:val="0"/>
        <w:snapToGrid/>
        <w:spacing w:after="0"/>
        <w:jc w:val="left"/>
        <w:textAlignment w:val="baseline"/>
        <w:rPr>
          <w:i/>
        </w:rPr>
      </w:pPr>
      <w:r w:rsidRPr="00F8540B">
        <w:t>FFS: number of valid DCIs</w:t>
      </w:r>
    </w:p>
    <w:p w:rsidR="007A584A" w:rsidRPr="00FA7E3D" w:rsidRDefault="007A584A" w:rsidP="007A584A">
      <w:pPr>
        <w:pStyle w:val="af0"/>
        <w:numPr>
          <w:ilvl w:val="0"/>
          <w:numId w:val="31"/>
        </w:numPr>
        <w:autoSpaceDE/>
        <w:autoSpaceDN/>
        <w:adjustRightInd/>
        <w:snapToGrid/>
        <w:spacing w:after="0"/>
        <w:ind w:firstLineChars="0"/>
        <w:contextualSpacing/>
        <w:jc w:val="left"/>
        <w:rPr>
          <w:sz w:val="20"/>
          <w:szCs w:val="20"/>
        </w:rPr>
      </w:pPr>
      <w:r>
        <w:rPr>
          <w:b/>
          <w:bCs/>
          <w:sz w:val="20"/>
          <w:szCs w:val="20"/>
        </w:rPr>
        <w:t>Alt 2</w:t>
      </w:r>
      <w:r w:rsidRPr="00397E67">
        <w:rPr>
          <w:bCs/>
          <w:sz w:val="20"/>
          <w:szCs w:val="20"/>
        </w:rPr>
        <w:t>: Single-slot scheduling</w:t>
      </w:r>
      <w:r>
        <w:rPr>
          <w:bCs/>
          <w:sz w:val="20"/>
          <w:szCs w:val="20"/>
        </w:rPr>
        <w:t xml:space="preserve"> and</w:t>
      </w:r>
      <w:r w:rsidRPr="00397E67">
        <w:rPr>
          <w:bCs/>
          <w:sz w:val="20"/>
          <w:szCs w:val="20"/>
        </w:rPr>
        <w:t xml:space="preserve"> capability F</w:t>
      </w:r>
      <w:r>
        <w:rPr>
          <w:bCs/>
          <w:sz w:val="20"/>
          <w:szCs w:val="20"/>
        </w:rPr>
        <w:t>G 3-5/3-5b</w:t>
      </w:r>
    </w:p>
    <w:p w:rsidR="007A584A" w:rsidRPr="00B85B2E" w:rsidRDefault="007A584A" w:rsidP="007A584A">
      <w:pPr>
        <w:numPr>
          <w:ilvl w:val="1"/>
          <w:numId w:val="32"/>
        </w:numPr>
        <w:overflowPunct w:val="0"/>
        <w:snapToGrid/>
        <w:spacing w:after="0"/>
        <w:jc w:val="left"/>
        <w:textAlignment w:val="baseline"/>
      </w:pPr>
      <w:r w:rsidRPr="00B85B2E">
        <w:t>Note: When deriving the number of scheduling opportunities based on the number of slots in the scheduled cell overlapping one scheduling cell slot.</w:t>
      </w:r>
    </w:p>
    <w:p w:rsidR="007A584A" w:rsidRPr="00397E67" w:rsidRDefault="007A584A" w:rsidP="007A584A">
      <w:pPr>
        <w:numPr>
          <w:ilvl w:val="0"/>
          <w:numId w:val="31"/>
        </w:numPr>
        <w:overflowPunct w:val="0"/>
        <w:snapToGrid/>
        <w:spacing w:after="0"/>
        <w:jc w:val="left"/>
        <w:textAlignment w:val="baseline"/>
      </w:pPr>
      <w:r>
        <w:rPr>
          <w:b/>
          <w:bCs/>
        </w:rPr>
        <w:t>Alt</w:t>
      </w:r>
      <w:r w:rsidRPr="00FA7E3D">
        <w:rPr>
          <w:b/>
          <w:bCs/>
        </w:rPr>
        <w:t xml:space="preserve"> 3</w:t>
      </w:r>
      <w:r w:rsidRPr="00397E67">
        <w:rPr>
          <w:bCs/>
        </w:rPr>
        <w:t xml:space="preserve">: Multi-slot scheduling with different TB per slot  </w:t>
      </w:r>
    </w:p>
    <w:p w:rsidR="007A584A" w:rsidRPr="00397E67" w:rsidRDefault="007A584A" w:rsidP="007A584A">
      <w:pPr>
        <w:numPr>
          <w:ilvl w:val="0"/>
          <w:numId w:val="31"/>
        </w:numPr>
        <w:overflowPunct w:val="0"/>
        <w:snapToGrid/>
        <w:spacing w:after="0"/>
        <w:jc w:val="left"/>
        <w:textAlignment w:val="baseline"/>
      </w:pPr>
      <w:r>
        <w:rPr>
          <w:b/>
          <w:bCs/>
        </w:rPr>
        <w:t>Alt</w:t>
      </w:r>
      <w:r w:rsidRPr="00FA7E3D">
        <w:rPr>
          <w:b/>
          <w:bCs/>
        </w:rPr>
        <w:t xml:space="preserve"> 4:</w:t>
      </w:r>
      <w:r w:rsidRPr="00397E67">
        <w:rPr>
          <w:bCs/>
        </w:rPr>
        <w:t xml:space="preserve"> Multi-slot scheduling with one TB across multiple slots </w:t>
      </w:r>
    </w:p>
    <w:p w:rsidR="007A584A" w:rsidRPr="00B85B2E" w:rsidRDefault="007A584A" w:rsidP="007A584A">
      <w:pPr>
        <w:rPr>
          <w:lang w:eastAsia="x-none"/>
        </w:rPr>
      </w:pPr>
    </w:p>
    <w:p w:rsidR="007A584A" w:rsidRDefault="007A584A" w:rsidP="007A584A">
      <w:pPr>
        <w:tabs>
          <w:tab w:val="left" w:pos="2170"/>
        </w:tabs>
        <w:spacing w:beforeLines="50" w:before="120" w:after="0"/>
        <w:rPr>
          <w:lang w:eastAsia="zh-CN"/>
        </w:rPr>
      </w:pPr>
      <w:r>
        <w:rPr>
          <w:lang w:eastAsia="zh-CN"/>
        </w:rPr>
        <w:t xml:space="preserve">In this contribution, the detailed analysis </w:t>
      </w:r>
      <w:r w:rsidR="00DB296A">
        <w:rPr>
          <w:lang w:eastAsia="zh-CN"/>
        </w:rPr>
        <w:t xml:space="preserve">for multi-slot scheduling </w:t>
      </w:r>
      <w:r>
        <w:rPr>
          <w:lang w:eastAsia="zh-CN"/>
        </w:rPr>
        <w:t>and specification impact are further discussed.</w:t>
      </w:r>
    </w:p>
    <w:p w:rsidR="009A3A86" w:rsidRPr="00CF195E" w:rsidRDefault="000B59E2" w:rsidP="00CF195E">
      <w:pPr>
        <w:pStyle w:val="1"/>
      </w:pPr>
      <w:bookmarkStart w:id="5" w:name="_Ref129681832"/>
      <w:r>
        <w:t xml:space="preserve">Multi-slot scheduling </w:t>
      </w:r>
      <w:r w:rsidR="00B52058">
        <w:t xml:space="preserve">in </w:t>
      </w:r>
      <w:r w:rsidR="00B52058" w:rsidRPr="00CF195E">
        <w:t>LTE</w:t>
      </w:r>
      <w:r>
        <w:t xml:space="preserve"> LAA and NR-U</w:t>
      </w:r>
    </w:p>
    <w:p w:rsidR="00B52058" w:rsidRDefault="00CF5B34" w:rsidP="00EA2A61">
      <w:pPr>
        <w:rPr>
          <w:lang w:val="en-GB" w:eastAsia="zh-CN"/>
        </w:rPr>
      </w:pPr>
      <w:r>
        <w:rPr>
          <w:lang w:val="en-GB" w:eastAsia="zh-CN"/>
        </w:rPr>
        <w:t xml:space="preserve">It was proposed in the last RAN1 meeting that one DCI scheduling multi-slot as agreed in NR-U or specified for LTE LAA can be used for cross-carrier scheduling. </w:t>
      </w:r>
      <w:r w:rsidR="0022398C">
        <w:rPr>
          <w:rFonts w:hint="eastAsia"/>
          <w:lang w:val="en-GB" w:eastAsia="zh-CN"/>
        </w:rPr>
        <w:t>It should be noted that in LTE LAA and NR-U</w:t>
      </w:r>
      <w:r>
        <w:rPr>
          <w:lang w:val="en-GB" w:eastAsia="zh-CN"/>
        </w:rPr>
        <w:t>, the</w:t>
      </w:r>
      <w:r w:rsidR="0022398C">
        <w:rPr>
          <w:rFonts w:hint="eastAsia"/>
          <w:lang w:val="en-GB" w:eastAsia="zh-CN"/>
        </w:rPr>
        <w:t xml:space="preserve"> discussion </w:t>
      </w:r>
      <w:r>
        <w:rPr>
          <w:lang w:val="en-GB" w:eastAsia="zh-CN"/>
        </w:rPr>
        <w:t xml:space="preserve">of </w:t>
      </w:r>
      <w:r w:rsidR="0022398C">
        <w:rPr>
          <w:rFonts w:hint="eastAsia"/>
          <w:lang w:val="en-GB" w:eastAsia="zh-CN"/>
        </w:rPr>
        <w:t>multi-slot schedulin</w:t>
      </w:r>
      <w:r w:rsidR="0022398C">
        <w:rPr>
          <w:lang w:val="en-GB" w:eastAsia="zh-CN"/>
        </w:rPr>
        <w:t xml:space="preserve">g is only considered in uplink. And only UL DCI design is involved. </w:t>
      </w:r>
      <w:r w:rsidR="005A1BE2">
        <w:rPr>
          <w:lang w:val="en-GB" w:eastAsia="zh-CN"/>
        </w:rPr>
        <w:t xml:space="preserve">The UL DCI design </w:t>
      </w:r>
      <w:r w:rsidR="00225535">
        <w:rPr>
          <w:lang w:val="en-GB" w:eastAsia="zh-CN"/>
        </w:rPr>
        <w:t xml:space="preserve">in NR-U is still under discussion. </w:t>
      </w:r>
      <w:r w:rsidR="000769EB">
        <w:rPr>
          <w:lang w:val="en-GB" w:eastAsia="zh-CN"/>
        </w:rPr>
        <w:t xml:space="preserve">The contiguous data transmission with cross-carrier scheduling </w:t>
      </w:r>
      <w:r w:rsidR="00A26D4F">
        <w:rPr>
          <w:lang w:val="en-GB" w:eastAsia="zh-CN"/>
        </w:rPr>
        <w:t xml:space="preserve">discussed here </w:t>
      </w:r>
      <w:r w:rsidR="000769EB">
        <w:rPr>
          <w:lang w:val="en-GB" w:eastAsia="zh-CN"/>
        </w:rPr>
        <w:t>including both downlink and uplink.</w:t>
      </w:r>
      <w:r>
        <w:rPr>
          <w:lang w:val="en-GB" w:eastAsia="zh-CN"/>
        </w:rPr>
        <w:t xml:space="preserve"> And the motivation of support multi-slot scheduling in CA is different from that discussed in LAA and/or NR-U. For example, for the purpose of reducing the DCI overhead and increasing the throughput as desired in CA for</w:t>
      </w:r>
      <w:r w:rsidR="00F62745">
        <w:rPr>
          <w:lang w:val="en-GB" w:eastAsia="zh-CN"/>
        </w:rPr>
        <w:t xml:space="preserve"> </w:t>
      </w:r>
      <w:r>
        <w:rPr>
          <w:lang w:val="en-GB" w:eastAsia="zh-CN"/>
        </w:rPr>
        <w:t xml:space="preserve">a </w:t>
      </w:r>
      <w:r w:rsidR="00A41F53">
        <w:rPr>
          <w:lang w:val="en-GB" w:eastAsia="zh-CN"/>
        </w:rPr>
        <w:t xml:space="preserve">typical </w:t>
      </w:r>
      <w:r w:rsidR="00F62745">
        <w:rPr>
          <w:lang w:val="en-GB" w:eastAsia="zh-CN"/>
        </w:rPr>
        <w:t xml:space="preserve">scenario </w:t>
      </w:r>
      <w:r>
        <w:rPr>
          <w:lang w:val="en-GB" w:eastAsia="zh-CN"/>
        </w:rPr>
        <w:t xml:space="preserve">of </w:t>
      </w:r>
      <w:r w:rsidR="00A41F53">
        <w:rPr>
          <w:lang w:val="en-GB" w:eastAsia="zh-CN"/>
        </w:rPr>
        <w:t>lower SCS PDCCH scheduling higher SCS PDSCH</w:t>
      </w:r>
      <w:r w:rsidR="00F62745">
        <w:rPr>
          <w:lang w:val="en-GB" w:eastAsia="zh-CN"/>
        </w:rPr>
        <w:t>. Downlink scheduling related issues</w:t>
      </w:r>
      <w:r>
        <w:rPr>
          <w:lang w:val="en-GB" w:eastAsia="zh-CN"/>
        </w:rPr>
        <w:t>/objectives</w:t>
      </w:r>
      <w:r w:rsidR="00F62745">
        <w:rPr>
          <w:lang w:val="en-GB" w:eastAsia="zh-CN"/>
        </w:rPr>
        <w:t xml:space="preserve"> and DCI design </w:t>
      </w:r>
      <w:r>
        <w:rPr>
          <w:lang w:val="en-GB" w:eastAsia="zh-CN"/>
        </w:rPr>
        <w:t xml:space="preserve">require a separate discussion from the introduction of multi-slot scheduling in </w:t>
      </w:r>
      <w:r w:rsidR="00F62745">
        <w:rPr>
          <w:lang w:val="en-GB" w:eastAsia="zh-CN"/>
        </w:rPr>
        <w:t xml:space="preserve">LTE LAA </w:t>
      </w:r>
      <w:r w:rsidR="008554D6">
        <w:rPr>
          <w:lang w:val="en-GB" w:eastAsia="zh-CN"/>
        </w:rPr>
        <w:t>or NR-U mechanisms</w:t>
      </w:r>
      <w:r w:rsidR="00F62745">
        <w:rPr>
          <w:lang w:val="en-GB" w:eastAsia="zh-CN"/>
        </w:rPr>
        <w:t xml:space="preserve">. </w:t>
      </w:r>
    </w:p>
    <w:p w:rsidR="00694797" w:rsidRPr="00954CCF" w:rsidRDefault="00C57E43" w:rsidP="0037552D">
      <w:pPr>
        <w:rPr>
          <w:rFonts w:eastAsia="MS Mincho"/>
          <w:lang w:eastAsia="ja-JP"/>
        </w:rPr>
      </w:pPr>
      <w:r>
        <w:rPr>
          <w:b/>
          <w:i/>
          <w:lang w:val="en-AU"/>
        </w:rPr>
        <w:t>Observation</w:t>
      </w:r>
      <w:r w:rsidRPr="00092EC7">
        <w:rPr>
          <w:b/>
          <w:i/>
          <w:lang w:val="en-AU"/>
        </w:rPr>
        <w:t xml:space="preserve"> </w:t>
      </w:r>
      <w:r>
        <w:rPr>
          <w:b/>
          <w:i/>
          <w:lang w:val="en-AU"/>
        </w:rPr>
        <w:t>1</w:t>
      </w:r>
      <w:r w:rsidRPr="00092EC7">
        <w:rPr>
          <w:b/>
          <w:i/>
          <w:lang w:val="en-AU"/>
        </w:rPr>
        <w:t>:</w:t>
      </w:r>
      <w:r>
        <w:rPr>
          <w:b/>
          <w:i/>
          <w:lang w:val="en-AU"/>
        </w:rPr>
        <w:t xml:space="preserve"> The multi-slot scheduling in LTE LAA and NR-U consider only uplink transmission. </w:t>
      </w:r>
      <w:r w:rsidR="00176A80">
        <w:rPr>
          <w:b/>
          <w:i/>
          <w:lang w:val="en-AU"/>
        </w:rPr>
        <w:t xml:space="preserve">The mechanisms in LTE LAA or NR-U cannot be </w:t>
      </w:r>
      <w:r w:rsidR="00954CCF" w:rsidRPr="00035326">
        <w:rPr>
          <w:b/>
          <w:i/>
          <w:lang w:val="en-AU"/>
        </w:rPr>
        <w:t xml:space="preserve">easily adapted </w:t>
      </w:r>
      <w:r w:rsidR="00954CCF" w:rsidRPr="003721BA">
        <w:rPr>
          <w:b/>
          <w:i/>
          <w:lang w:val="en-AU"/>
        </w:rPr>
        <w:t xml:space="preserve">to </w:t>
      </w:r>
      <w:r w:rsidR="00D35D5A" w:rsidRPr="003721BA">
        <w:rPr>
          <w:b/>
          <w:i/>
          <w:lang w:val="en-AU"/>
        </w:rPr>
        <w:t xml:space="preserve">downlink </w:t>
      </w:r>
      <w:r w:rsidRPr="003721BA">
        <w:rPr>
          <w:b/>
          <w:i/>
          <w:lang w:val="en-AU"/>
        </w:rPr>
        <w:t xml:space="preserve">contiguous data transmission </w:t>
      </w:r>
      <w:r w:rsidR="00647F6A" w:rsidRPr="003721BA">
        <w:rPr>
          <w:b/>
          <w:i/>
          <w:lang w:val="en-AU"/>
        </w:rPr>
        <w:t>for</w:t>
      </w:r>
      <w:r w:rsidRPr="003721BA">
        <w:rPr>
          <w:b/>
          <w:i/>
          <w:lang w:val="en-AU"/>
        </w:rPr>
        <w:t xml:space="preserve"> cross-carrier scheduling with different numerologies</w:t>
      </w:r>
      <w:r w:rsidR="00CF5B34" w:rsidRPr="003721BA">
        <w:rPr>
          <w:b/>
          <w:i/>
          <w:lang w:val="en-AU"/>
        </w:rPr>
        <w:t xml:space="preserve"> due t</w:t>
      </w:r>
      <w:r w:rsidR="00CF5B34">
        <w:rPr>
          <w:b/>
          <w:i/>
          <w:lang w:val="en-AU"/>
        </w:rPr>
        <w:t>o different design targets and motivations</w:t>
      </w:r>
      <w:r w:rsidRPr="00886080">
        <w:rPr>
          <w:b/>
          <w:i/>
          <w:lang w:val="en-AU"/>
        </w:rPr>
        <w:t>.</w:t>
      </w:r>
    </w:p>
    <w:p w:rsidR="00650139" w:rsidRPr="00CF195E" w:rsidRDefault="00C6564F" w:rsidP="000E3846">
      <w:pPr>
        <w:pStyle w:val="1"/>
        <w:tabs>
          <w:tab w:val="clear" w:pos="432"/>
        </w:tabs>
      </w:pPr>
      <w:r>
        <w:t xml:space="preserve">Specification impact for </w:t>
      </w:r>
      <w:r w:rsidR="007B5FD5">
        <w:t>Alt 4</w:t>
      </w:r>
    </w:p>
    <w:p w:rsidR="00EA2A61" w:rsidRDefault="00EA2A61" w:rsidP="00EA2A61">
      <w:pPr>
        <w:jc w:val="center"/>
        <w:rPr>
          <w:lang w:val="en-AU" w:eastAsia="zh-CN"/>
        </w:rPr>
      </w:pPr>
      <w:r w:rsidRPr="00E522AB">
        <w:rPr>
          <w:noProof/>
          <w:lang w:eastAsia="zh-CN"/>
        </w:rPr>
        <w:drawing>
          <wp:inline distT="0" distB="0" distL="0" distR="0" wp14:anchorId="6E0DE4AA" wp14:editId="260A40A0">
            <wp:extent cx="3110536" cy="1570271"/>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8"/>
                    <a:stretch>
                      <a:fillRect/>
                    </a:stretch>
                  </pic:blipFill>
                  <pic:spPr>
                    <a:xfrm>
                      <a:off x="0" y="0"/>
                      <a:ext cx="3120016" cy="1575057"/>
                    </a:xfrm>
                    <a:prstGeom prst="rect">
                      <a:avLst/>
                    </a:prstGeom>
                  </pic:spPr>
                </pic:pic>
              </a:graphicData>
            </a:graphic>
          </wp:inline>
        </w:drawing>
      </w:r>
    </w:p>
    <w:p w:rsidR="00EA2A61" w:rsidRDefault="00EA2A61" w:rsidP="00EA2A61">
      <w:pPr>
        <w:pStyle w:val="a5"/>
      </w:pPr>
      <w:bookmarkStart w:id="6" w:name="_Ref4086577"/>
      <w:r>
        <w:t xml:space="preserve">Figure </w:t>
      </w:r>
      <w:r w:rsidR="00D74CE9">
        <w:rPr>
          <w:noProof/>
        </w:rPr>
        <w:fldChar w:fldCharType="begin"/>
      </w:r>
      <w:r w:rsidR="00D74CE9">
        <w:rPr>
          <w:noProof/>
        </w:rPr>
        <w:instrText xml:space="preserve"> SEQ Figure \* ARABIC </w:instrText>
      </w:r>
      <w:r w:rsidR="00D74CE9">
        <w:rPr>
          <w:noProof/>
        </w:rPr>
        <w:fldChar w:fldCharType="separate"/>
      </w:r>
      <w:r w:rsidR="00583A02">
        <w:rPr>
          <w:noProof/>
        </w:rPr>
        <w:t>1</w:t>
      </w:r>
      <w:r w:rsidR="00D74CE9">
        <w:rPr>
          <w:noProof/>
        </w:rPr>
        <w:fldChar w:fldCharType="end"/>
      </w:r>
      <w:bookmarkEnd w:id="6"/>
      <w:r>
        <w:t xml:space="preserve"> multi-slot scheduling with </w:t>
      </w:r>
      <w:r w:rsidR="004727FF">
        <w:t>one</w:t>
      </w:r>
      <w:r>
        <w:t xml:space="preserve"> TB across multiple slots</w:t>
      </w:r>
    </w:p>
    <w:p w:rsidR="008170F2" w:rsidRDefault="00716809" w:rsidP="00EA2A61">
      <w:pPr>
        <w:rPr>
          <w:lang w:val="en-AU" w:eastAsia="zh-CN"/>
        </w:rPr>
      </w:pPr>
      <w:r>
        <w:rPr>
          <w:lang w:val="en-AU" w:eastAsia="zh-CN"/>
        </w:rPr>
        <w:lastRenderedPageBreak/>
        <w:t>The principle of Alt 4 can be illustrated in</w:t>
      </w:r>
      <w:r w:rsidR="00D875B3">
        <w:rPr>
          <w:lang w:val="en-AU" w:eastAsia="zh-CN"/>
        </w:rPr>
        <w:t xml:space="preserve"> </w:t>
      </w:r>
      <w:r w:rsidR="00D875B3">
        <w:rPr>
          <w:lang w:val="en-AU" w:eastAsia="zh-CN"/>
        </w:rPr>
        <w:fldChar w:fldCharType="begin"/>
      </w:r>
      <w:r w:rsidR="00D875B3">
        <w:rPr>
          <w:lang w:val="en-AU" w:eastAsia="zh-CN"/>
        </w:rPr>
        <w:instrText xml:space="preserve"> REF _Ref4086577 \h </w:instrText>
      </w:r>
      <w:r w:rsidR="00D875B3">
        <w:rPr>
          <w:lang w:val="en-AU" w:eastAsia="zh-CN"/>
        </w:rPr>
      </w:r>
      <w:r w:rsidR="00D875B3">
        <w:rPr>
          <w:lang w:val="en-AU" w:eastAsia="zh-CN"/>
        </w:rPr>
        <w:fldChar w:fldCharType="separate"/>
      </w:r>
      <w:r w:rsidR="00D875B3">
        <w:t xml:space="preserve">Figure </w:t>
      </w:r>
      <w:r w:rsidR="00D875B3">
        <w:rPr>
          <w:noProof/>
        </w:rPr>
        <w:t>1</w:t>
      </w:r>
      <w:r w:rsidR="00D875B3">
        <w:rPr>
          <w:lang w:val="en-AU" w:eastAsia="zh-CN"/>
        </w:rPr>
        <w:fldChar w:fldCharType="end"/>
      </w:r>
      <w:r w:rsidR="00D875B3">
        <w:rPr>
          <w:lang w:val="en-AU" w:eastAsia="zh-CN"/>
        </w:rPr>
        <w:t>.</w:t>
      </w:r>
      <w:r w:rsidR="00F052B8">
        <w:rPr>
          <w:lang w:val="en-AU" w:eastAsia="zh-CN"/>
        </w:rPr>
        <w:t xml:space="preserve"> </w:t>
      </w:r>
      <w:r w:rsidR="00395ADE" w:rsidRPr="00F052B8">
        <w:rPr>
          <w:lang w:val="en-AU" w:eastAsia="zh-CN"/>
        </w:rPr>
        <w:t>Downlink multi-slot scheduling is prioritized</w:t>
      </w:r>
      <w:r w:rsidR="00EF4665">
        <w:rPr>
          <w:lang w:val="en-AU" w:eastAsia="zh-CN"/>
        </w:rPr>
        <w:t xml:space="preserve"> in the following discussion</w:t>
      </w:r>
      <w:r w:rsidR="008170F2">
        <w:rPr>
          <w:lang w:val="en-AU" w:eastAsia="zh-CN"/>
        </w:rPr>
        <w:t>:</w:t>
      </w:r>
    </w:p>
    <w:p w:rsidR="001C51C5" w:rsidRPr="000B647D" w:rsidRDefault="006F54E4" w:rsidP="00EA2A61">
      <w:pPr>
        <w:rPr>
          <w:u w:val="single"/>
          <w:lang w:val="en-AU" w:eastAsia="zh-CN"/>
        </w:rPr>
      </w:pPr>
      <w:r w:rsidRPr="000B647D">
        <w:rPr>
          <w:u w:val="single"/>
          <w:lang w:val="en-GB" w:eastAsia="zh-CN"/>
        </w:rPr>
        <w:t>General p</w:t>
      </w:r>
      <w:r w:rsidRPr="000B647D">
        <w:rPr>
          <w:rFonts w:hint="eastAsia"/>
          <w:u w:val="single"/>
          <w:lang w:val="en-GB" w:eastAsia="zh-CN"/>
        </w:rPr>
        <w:t>arameters need to be indica</w:t>
      </w:r>
      <w:r w:rsidRPr="000B647D">
        <w:rPr>
          <w:u w:val="single"/>
          <w:lang w:val="en-GB" w:eastAsia="zh-CN"/>
        </w:rPr>
        <w:t>ted:</w:t>
      </w:r>
    </w:p>
    <w:p w:rsidR="0058532D" w:rsidRDefault="006F54E4" w:rsidP="0058532D">
      <w:pPr>
        <w:rPr>
          <w:lang w:eastAsia="zh-CN"/>
        </w:rPr>
      </w:pPr>
      <w:r>
        <w:rPr>
          <w:lang w:val="en-AU" w:eastAsia="zh-CN"/>
        </w:rPr>
        <w:t xml:space="preserve">For the </w:t>
      </w:r>
      <w:r>
        <w:rPr>
          <w:lang w:val="en-GB" w:eastAsia="zh-CN"/>
        </w:rPr>
        <w:t>maximum</w:t>
      </w:r>
      <w:r w:rsidR="00BE5E14" w:rsidRPr="00885CE3">
        <w:rPr>
          <w:lang w:val="en-GB" w:eastAsia="zh-CN"/>
        </w:rPr>
        <w:t xml:space="preserve"> number of slots that one DCI can schedule </w:t>
      </w:r>
      <w:r w:rsidR="00BE5E14">
        <w:rPr>
          <w:lang w:val="en-GB" w:eastAsia="zh-CN"/>
        </w:rPr>
        <w:t xml:space="preserve">and indication of the </w:t>
      </w:r>
      <w:r w:rsidR="00BE5E14" w:rsidRPr="00885CE3">
        <w:rPr>
          <w:lang w:val="en-GB" w:eastAsia="zh-CN"/>
        </w:rPr>
        <w:t>number of slots that one DCI schedule</w:t>
      </w:r>
      <w:r w:rsidR="00BE5E14">
        <w:rPr>
          <w:lang w:val="en-GB" w:eastAsia="zh-CN"/>
        </w:rPr>
        <w:t>s</w:t>
      </w:r>
      <w:r>
        <w:rPr>
          <w:lang w:val="en-GB" w:eastAsia="zh-CN"/>
        </w:rPr>
        <w:t xml:space="preserve">, </w:t>
      </w:r>
      <w:r w:rsidR="0058532D">
        <w:rPr>
          <w:lang w:eastAsia="zh-CN"/>
        </w:rPr>
        <w:t xml:space="preserve">similar </w:t>
      </w:r>
      <w:r w:rsidR="0058532D" w:rsidRPr="002D2EDA">
        <w:rPr>
          <w:rFonts w:hint="eastAsia"/>
          <w:lang w:eastAsia="zh-CN"/>
        </w:rPr>
        <w:t>RRC configuration</w:t>
      </w:r>
      <w:r w:rsidR="0058532D">
        <w:rPr>
          <w:lang w:eastAsia="zh-CN"/>
        </w:rPr>
        <w:t xml:space="preserve"> for slot aggregation can be reused. </w:t>
      </w:r>
      <w:r w:rsidR="00062901">
        <w:rPr>
          <w:lang w:eastAsia="zh-CN"/>
        </w:rPr>
        <w:t>Minor RRC configuration impact is needed.</w:t>
      </w:r>
    </w:p>
    <w:p w:rsidR="007151F5" w:rsidRPr="006F54E4" w:rsidRDefault="007151F5" w:rsidP="00EA2A61">
      <w:pPr>
        <w:rPr>
          <w:lang w:eastAsia="zh-CN"/>
        </w:rPr>
      </w:pPr>
    </w:p>
    <w:p w:rsidR="001C51C5" w:rsidRPr="000B647D" w:rsidRDefault="008170F2" w:rsidP="00EA2A61">
      <w:pPr>
        <w:rPr>
          <w:u w:val="single"/>
          <w:lang w:val="en-AU" w:eastAsia="zh-CN"/>
        </w:rPr>
      </w:pPr>
      <w:r>
        <w:rPr>
          <w:u w:val="single"/>
          <w:lang w:val="en-AU" w:eastAsia="zh-CN"/>
        </w:rPr>
        <w:t>TBS/MCS</w:t>
      </w:r>
      <w:r w:rsidR="0047147D" w:rsidRPr="000B647D">
        <w:rPr>
          <w:u w:val="single"/>
          <w:lang w:val="en-AU" w:eastAsia="zh-CN"/>
        </w:rPr>
        <w:t>:</w:t>
      </w:r>
    </w:p>
    <w:p w:rsidR="001C51C5" w:rsidRDefault="00090912" w:rsidP="00EA2A61">
      <w:pPr>
        <w:rPr>
          <w:lang w:val="en-AU" w:eastAsia="zh-CN"/>
        </w:rPr>
      </w:pPr>
      <w:r>
        <w:rPr>
          <w:lang w:val="en-AU" w:eastAsia="zh-CN"/>
        </w:rPr>
        <w:t xml:space="preserve">In current specification, </w:t>
      </w:r>
      <w:r w:rsidR="003A73B2" w:rsidRPr="003A73B2">
        <w:rPr>
          <w:lang w:val="en-AU" w:eastAsia="zh-CN"/>
        </w:rPr>
        <w:t>TBS is determined in a formula manner for relatively large TB</w:t>
      </w:r>
      <w:r>
        <w:rPr>
          <w:lang w:val="en-AU" w:eastAsia="zh-CN"/>
        </w:rPr>
        <w:t xml:space="preserve"> </w:t>
      </w:r>
      <w:r w:rsidRPr="0048482F">
        <w:rPr>
          <w:lang w:eastAsia="ko-KR"/>
        </w:rPr>
        <w:t xml:space="preserve">within </w:t>
      </w:r>
      <w:r>
        <w:rPr>
          <w:lang w:eastAsia="ko-KR"/>
        </w:rPr>
        <w:t>a</w:t>
      </w:r>
      <w:r w:rsidRPr="0048482F">
        <w:rPr>
          <w:lang w:eastAsia="ko-KR"/>
        </w:rPr>
        <w:t xml:space="preserve"> slot</w:t>
      </w:r>
      <w:r>
        <w:rPr>
          <w:lang w:val="en-AU" w:eastAsia="zh-CN"/>
        </w:rPr>
        <w:t xml:space="preserve">. It </w:t>
      </w:r>
      <w:r w:rsidR="003A73B2" w:rsidRPr="003A73B2">
        <w:rPr>
          <w:lang w:val="en-AU" w:eastAsia="zh-CN"/>
        </w:rPr>
        <w:t>can be simply scaled</w:t>
      </w:r>
      <w:r w:rsidR="00B54ED1">
        <w:rPr>
          <w:lang w:val="en-AU" w:eastAsia="zh-CN"/>
        </w:rPr>
        <w:t xml:space="preserve"> by the number of slots or </w:t>
      </w:r>
      <w:r w:rsidR="008170F2">
        <w:rPr>
          <w:lang w:val="en-AU" w:eastAsia="zh-CN"/>
        </w:rPr>
        <w:t xml:space="preserve">the </w:t>
      </w:r>
      <w:r w:rsidR="00AA3E3C">
        <w:rPr>
          <w:lang w:val="en-AU" w:eastAsia="zh-CN"/>
        </w:rPr>
        <w:t>scaling factor</w:t>
      </w:r>
      <w:r w:rsidR="00B54ED1">
        <w:rPr>
          <w:lang w:val="en-AU" w:eastAsia="zh-CN"/>
        </w:rPr>
        <w:t>.</w:t>
      </w:r>
      <w:r w:rsidR="00502B96">
        <w:rPr>
          <w:lang w:val="en-AU" w:eastAsia="zh-CN"/>
        </w:rPr>
        <w:t xml:space="preserve"> If multi-slot scheduling is used for </w:t>
      </w:r>
      <w:r w:rsidR="00502B96" w:rsidRPr="003948AF">
        <w:rPr>
          <w:sz w:val="20"/>
          <w:szCs w:val="20"/>
          <w:lang w:val="en-GB"/>
        </w:rPr>
        <w:t xml:space="preserve">UE at cell edge with poor channel condition thus limited MCS can be used, </w:t>
      </w:r>
      <w:r w:rsidR="00502B96">
        <w:rPr>
          <w:sz w:val="20"/>
          <w:szCs w:val="20"/>
          <w:lang w:val="en-GB"/>
        </w:rPr>
        <w:t xml:space="preserve">only low MCS level </w:t>
      </w:r>
      <w:r w:rsidR="002E39F0">
        <w:rPr>
          <w:sz w:val="20"/>
          <w:szCs w:val="20"/>
          <w:lang w:val="en-GB"/>
        </w:rPr>
        <w:t xml:space="preserve">(e.g. 16QAM or QPSK) </w:t>
      </w:r>
      <w:r w:rsidR="00502B96">
        <w:rPr>
          <w:sz w:val="20"/>
          <w:szCs w:val="20"/>
          <w:lang w:val="en-GB"/>
        </w:rPr>
        <w:t xml:space="preserve">is practical and </w:t>
      </w:r>
      <w:r w:rsidR="00502B96" w:rsidRPr="003948AF">
        <w:rPr>
          <w:sz w:val="20"/>
          <w:szCs w:val="20"/>
          <w:lang w:val="en-GB"/>
        </w:rPr>
        <w:t>no new TBS is required</w:t>
      </w:r>
      <w:r w:rsidR="002E39F0">
        <w:rPr>
          <w:sz w:val="20"/>
          <w:szCs w:val="20"/>
          <w:lang w:val="en-GB"/>
        </w:rPr>
        <w:t>.</w:t>
      </w:r>
    </w:p>
    <w:p w:rsidR="001C51C5" w:rsidRDefault="001C51C5" w:rsidP="00EA2A61">
      <w:pPr>
        <w:rPr>
          <w:lang w:val="en-AU" w:eastAsia="zh-CN"/>
        </w:rPr>
      </w:pPr>
    </w:p>
    <w:p w:rsidR="001C51C5" w:rsidRPr="000B647D" w:rsidRDefault="001C51C5" w:rsidP="00EA2A61">
      <w:pPr>
        <w:rPr>
          <w:u w:val="single"/>
          <w:lang w:val="en-AU" w:eastAsia="zh-CN"/>
        </w:rPr>
      </w:pPr>
      <w:r w:rsidRPr="000B647D">
        <w:rPr>
          <w:rFonts w:hint="eastAsia"/>
          <w:u w:val="single"/>
          <w:lang w:val="en-AU" w:eastAsia="zh-CN"/>
        </w:rPr>
        <w:t xml:space="preserve">CBGs </w:t>
      </w:r>
      <w:r w:rsidR="008170F2">
        <w:rPr>
          <w:u w:val="single"/>
          <w:lang w:val="en-AU" w:eastAsia="zh-CN"/>
        </w:rPr>
        <w:t xml:space="preserve">across </w:t>
      </w:r>
      <w:r w:rsidRPr="000B647D">
        <w:rPr>
          <w:rFonts w:hint="eastAsia"/>
          <w:u w:val="single"/>
          <w:lang w:val="en-AU" w:eastAsia="zh-CN"/>
        </w:rPr>
        <w:t xml:space="preserve">slots: </w:t>
      </w:r>
    </w:p>
    <w:p w:rsidR="00583A02" w:rsidRDefault="00583A02" w:rsidP="00583A02">
      <w:pPr>
        <w:jc w:val="center"/>
      </w:pPr>
      <w:r>
        <w:object w:dxaOrig="8460" w:dyaOrig="2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89.1pt" o:ole="">
            <v:imagedata r:id="rId9" o:title=""/>
          </v:shape>
          <o:OLEObject Type="Embed" ProgID="Visio.Drawing.15" ShapeID="_x0000_i1025" DrawAspect="Content" ObjectID="_1618466647" r:id="rId10"/>
        </w:object>
      </w:r>
    </w:p>
    <w:p w:rsidR="00583A02" w:rsidRDefault="00583A02" w:rsidP="00583A02">
      <w:pPr>
        <w:pStyle w:val="a5"/>
        <w:rPr>
          <w:lang w:val="en-AU" w:eastAsia="zh-CN"/>
        </w:rPr>
      </w:pPr>
      <w:bookmarkStart w:id="7" w:name="_Ref7220376"/>
      <w:r>
        <w:t xml:space="preserve">Figure </w:t>
      </w:r>
      <w:r w:rsidR="002E4DE3">
        <w:rPr>
          <w:noProof/>
        </w:rPr>
        <w:fldChar w:fldCharType="begin"/>
      </w:r>
      <w:r w:rsidR="002E4DE3">
        <w:rPr>
          <w:noProof/>
        </w:rPr>
        <w:instrText xml:space="preserve"> SEQ Figure \* ARABIC </w:instrText>
      </w:r>
      <w:r w:rsidR="002E4DE3">
        <w:rPr>
          <w:noProof/>
        </w:rPr>
        <w:fldChar w:fldCharType="separate"/>
      </w:r>
      <w:r>
        <w:rPr>
          <w:noProof/>
        </w:rPr>
        <w:t>2</w:t>
      </w:r>
      <w:r w:rsidR="002E4DE3">
        <w:rPr>
          <w:noProof/>
        </w:rPr>
        <w:fldChar w:fldCharType="end"/>
      </w:r>
      <w:bookmarkEnd w:id="7"/>
      <w:r>
        <w:t xml:space="preserve"> CBG determination in current specification</w:t>
      </w:r>
    </w:p>
    <w:p w:rsidR="00485C48" w:rsidRDefault="00B4181E" w:rsidP="00EA2A61">
      <w:pPr>
        <w:rPr>
          <w:lang w:val="en-AU" w:eastAsia="zh-CN"/>
        </w:rPr>
      </w:pPr>
      <w:r>
        <w:rPr>
          <w:lang w:val="en-AU" w:eastAsia="zh-CN"/>
        </w:rPr>
        <w:t xml:space="preserve">Configurable/optional function if needed for e.g. cell-centric UEs. </w:t>
      </w:r>
      <w:r w:rsidR="00AE369B">
        <w:rPr>
          <w:rFonts w:hint="eastAsia"/>
          <w:lang w:val="en-AU" w:eastAsia="zh-CN"/>
        </w:rPr>
        <w:t xml:space="preserve">The </w:t>
      </w:r>
      <w:r w:rsidR="00AE369B">
        <w:rPr>
          <w:lang w:val="en-AU" w:eastAsia="zh-CN"/>
        </w:rPr>
        <w:t xml:space="preserve">number of </w:t>
      </w:r>
      <w:r w:rsidR="00AE369B">
        <w:rPr>
          <w:rFonts w:hint="eastAsia"/>
          <w:lang w:val="en-AU" w:eastAsia="zh-CN"/>
        </w:rPr>
        <w:t>CBG</w:t>
      </w:r>
      <w:r w:rsidR="00AE369B">
        <w:rPr>
          <w:lang w:val="en-AU" w:eastAsia="zh-CN"/>
        </w:rPr>
        <w:t>s</w:t>
      </w:r>
      <w:r w:rsidR="00AE369B">
        <w:rPr>
          <w:rFonts w:hint="eastAsia"/>
          <w:lang w:val="en-AU" w:eastAsia="zh-CN"/>
        </w:rPr>
        <w:t xml:space="preserve"> </w:t>
      </w:r>
      <w:r w:rsidR="00AE369B">
        <w:rPr>
          <w:lang w:val="en-AU" w:eastAsia="zh-CN"/>
        </w:rPr>
        <w:t xml:space="preserve">determination </w:t>
      </w:r>
      <w:r w:rsidR="00374078">
        <w:rPr>
          <w:lang w:val="en-AU" w:eastAsia="zh-CN"/>
        </w:rPr>
        <w:t>for</w:t>
      </w:r>
      <w:r w:rsidR="00AE369B">
        <w:rPr>
          <w:lang w:val="en-AU" w:eastAsia="zh-CN"/>
        </w:rPr>
        <w:t xml:space="preserve"> a TB </w:t>
      </w:r>
      <w:r w:rsidR="00F6583E">
        <w:rPr>
          <w:lang w:val="en-AU" w:eastAsia="zh-CN"/>
        </w:rPr>
        <w:t xml:space="preserve">and how to construct each CBG </w:t>
      </w:r>
      <w:r w:rsidR="00AE369B">
        <w:rPr>
          <w:lang w:val="en-AU" w:eastAsia="zh-CN"/>
        </w:rPr>
        <w:t xml:space="preserve">can </w:t>
      </w:r>
      <w:r w:rsidR="008170F2">
        <w:rPr>
          <w:lang w:val="en-AU" w:eastAsia="zh-CN"/>
        </w:rPr>
        <w:t>start from</w:t>
      </w:r>
      <w:r w:rsidR="008170F2" w:rsidRPr="00AE369B">
        <w:rPr>
          <w:lang w:val="en-AU" w:eastAsia="zh-CN"/>
        </w:rPr>
        <w:t xml:space="preserve"> </w:t>
      </w:r>
      <w:r w:rsidR="00AE369B" w:rsidRPr="00AE369B">
        <w:rPr>
          <w:lang w:val="en-AU" w:eastAsia="zh-CN"/>
        </w:rPr>
        <w:t>Rel-15 specification with</w:t>
      </w:r>
      <w:r w:rsidR="008170F2">
        <w:rPr>
          <w:lang w:val="en-AU" w:eastAsia="zh-CN"/>
        </w:rPr>
        <w:t xml:space="preserve"> </w:t>
      </w:r>
      <w:r w:rsidR="00AE369B" w:rsidRPr="00AE369B">
        <w:rPr>
          <w:lang w:val="en-AU" w:eastAsia="zh-CN"/>
        </w:rPr>
        <w:t>modifications</w:t>
      </w:r>
      <w:r w:rsidR="00F925FC">
        <w:rPr>
          <w:rFonts w:hint="eastAsia"/>
          <w:lang w:val="en-AU" w:eastAsia="zh-CN"/>
        </w:rPr>
        <w:t>.</w:t>
      </w:r>
      <w:r w:rsidR="00A8540B">
        <w:rPr>
          <w:lang w:val="en-AU" w:eastAsia="zh-CN"/>
        </w:rPr>
        <w:t xml:space="preserve"> </w:t>
      </w:r>
      <w:r w:rsidR="008170F2">
        <w:rPr>
          <w:lang w:val="en-AU" w:eastAsia="zh-CN"/>
        </w:rPr>
        <w:t>For example, t</w:t>
      </w:r>
      <w:r w:rsidR="00374078">
        <w:rPr>
          <w:lang w:val="en-AU" w:eastAsia="zh-CN"/>
        </w:rPr>
        <w:t>he</w:t>
      </w:r>
      <w:r w:rsidR="006F45C8">
        <w:rPr>
          <w:lang w:val="en-AU" w:eastAsia="zh-CN"/>
        </w:rPr>
        <w:t xml:space="preserve"> configuration for the</w:t>
      </w:r>
      <w:r w:rsidR="00A8540B">
        <w:rPr>
          <w:lang w:val="en-AU" w:eastAsia="zh-CN"/>
        </w:rPr>
        <w:t xml:space="preserve"> number of slots that one DCI schedules should </w:t>
      </w:r>
      <w:r w:rsidR="008170F2">
        <w:rPr>
          <w:lang w:val="en-AU" w:eastAsia="zh-CN"/>
        </w:rPr>
        <w:t xml:space="preserve">match </w:t>
      </w:r>
      <w:r w:rsidR="00374078">
        <w:rPr>
          <w:lang w:val="en-AU" w:eastAsia="zh-CN"/>
        </w:rPr>
        <w:t>t</w:t>
      </w:r>
      <w:r w:rsidR="00374078" w:rsidRPr="00374078">
        <w:rPr>
          <w:lang w:val="en-AU" w:eastAsia="zh-CN"/>
        </w:rPr>
        <w:t xml:space="preserve">he number of </w:t>
      </w:r>
      <w:r w:rsidR="00374078">
        <w:rPr>
          <w:lang w:val="en-AU" w:eastAsia="zh-CN"/>
        </w:rPr>
        <w:t>CBGs for a TB</w:t>
      </w:r>
      <w:r w:rsidR="008170F2">
        <w:rPr>
          <w:lang w:val="en-AU" w:eastAsia="zh-CN"/>
        </w:rPr>
        <w:t>, e.g.</w:t>
      </w:r>
      <w:r w:rsidR="00374078">
        <w:rPr>
          <w:lang w:val="en-AU" w:eastAsia="zh-CN"/>
        </w:rPr>
        <w:t xml:space="preserve"> </w:t>
      </w:r>
      <w:r w:rsidR="008170F2">
        <w:rPr>
          <w:lang w:val="en-AU" w:eastAsia="zh-CN"/>
        </w:rPr>
        <w:t>as</w:t>
      </w:r>
      <w:r w:rsidR="008170F2" w:rsidRPr="00374078">
        <w:rPr>
          <w:lang w:val="en-AU" w:eastAsia="zh-CN"/>
        </w:rPr>
        <w:t xml:space="preserve"> </w:t>
      </w:r>
      <w:r w:rsidR="00374078" w:rsidRPr="00374078">
        <w:rPr>
          <w:lang w:val="en-AU" w:eastAsia="zh-CN"/>
        </w:rPr>
        <w:t>an integer multiple of the number of slots</w:t>
      </w:r>
      <w:r w:rsidR="00374078">
        <w:rPr>
          <w:lang w:val="en-AU" w:eastAsia="zh-CN"/>
        </w:rPr>
        <w:t>.</w:t>
      </w:r>
      <w:r w:rsidR="00395D7E">
        <w:rPr>
          <w:lang w:val="en-AU" w:eastAsia="zh-CN"/>
        </w:rPr>
        <w:t xml:space="preserve"> Then integer number of CBGs can be transmitted in a slot. Taking </w:t>
      </w:r>
      <w:r w:rsidR="00395D7E">
        <w:rPr>
          <w:lang w:val="en-AU" w:eastAsia="zh-CN"/>
        </w:rPr>
        <w:fldChar w:fldCharType="begin"/>
      </w:r>
      <w:r w:rsidR="00395D7E">
        <w:rPr>
          <w:lang w:val="en-AU" w:eastAsia="zh-CN"/>
        </w:rPr>
        <w:instrText xml:space="preserve"> REF _Ref7220376 \h </w:instrText>
      </w:r>
      <w:r w:rsidR="00395D7E">
        <w:rPr>
          <w:lang w:val="en-AU" w:eastAsia="zh-CN"/>
        </w:rPr>
      </w:r>
      <w:r w:rsidR="00395D7E">
        <w:rPr>
          <w:lang w:val="en-AU" w:eastAsia="zh-CN"/>
        </w:rPr>
        <w:fldChar w:fldCharType="separate"/>
      </w:r>
      <w:r w:rsidR="00395D7E">
        <w:t xml:space="preserve">Figure </w:t>
      </w:r>
      <w:r w:rsidR="00395D7E">
        <w:rPr>
          <w:noProof/>
        </w:rPr>
        <w:t>2</w:t>
      </w:r>
      <w:r w:rsidR="00395D7E">
        <w:rPr>
          <w:lang w:val="en-AU" w:eastAsia="zh-CN"/>
        </w:rPr>
        <w:fldChar w:fldCharType="end"/>
      </w:r>
      <w:r w:rsidR="00395D7E">
        <w:rPr>
          <w:lang w:val="en-AU" w:eastAsia="zh-CN"/>
        </w:rPr>
        <w:t xml:space="preserve"> as an example, </w:t>
      </w:r>
      <w:r w:rsidR="00F6583E">
        <w:rPr>
          <w:lang w:val="en-AU" w:eastAsia="zh-CN"/>
        </w:rPr>
        <w:t xml:space="preserve">4 CBGs are derived according to </w:t>
      </w:r>
      <w:r w:rsidR="00F6583E" w:rsidRPr="003A60CC">
        <w:rPr>
          <w:i/>
          <w:color w:val="000000"/>
          <w:lang w:eastAsia="ja-JP"/>
        </w:rPr>
        <w:t>maxCodeBlockGroupsPerTransportBlock</w:t>
      </w:r>
      <w:r w:rsidR="00BC7F3D">
        <w:rPr>
          <w:i/>
          <w:color w:val="000000"/>
          <w:lang w:eastAsia="ja-JP"/>
        </w:rPr>
        <w:t xml:space="preserve"> </w:t>
      </w:r>
      <w:r w:rsidR="00BC7F3D" w:rsidRPr="00BC7F3D">
        <w:rPr>
          <w:lang w:val="en-AU" w:eastAsia="zh-CN"/>
        </w:rPr>
        <w:t>configuration</w:t>
      </w:r>
      <w:r w:rsidR="008170F2">
        <w:rPr>
          <w:lang w:val="en-AU" w:eastAsia="zh-CN"/>
        </w:rPr>
        <w:t>,</w:t>
      </w:r>
      <w:r w:rsidR="00BC7F3D" w:rsidRPr="00BC7F3D">
        <w:rPr>
          <w:lang w:val="en-AU" w:eastAsia="zh-CN"/>
        </w:rPr>
        <w:t xml:space="preserve"> N=4</w:t>
      </w:r>
      <w:r w:rsidR="00D92817">
        <w:rPr>
          <w:lang w:val="en-AU" w:eastAsia="zh-CN"/>
        </w:rPr>
        <w:t>.</w:t>
      </w:r>
      <w:r w:rsidR="00F56371">
        <w:rPr>
          <w:lang w:val="en-AU" w:eastAsia="zh-CN"/>
        </w:rPr>
        <w:t xml:space="preserve"> Then 2 or 4 slots can be configured to be sc</w:t>
      </w:r>
      <w:r w:rsidR="00FC2F47">
        <w:rPr>
          <w:lang w:val="en-AU" w:eastAsia="zh-CN"/>
        </w:rPr>
        <w:t>heduled with one DCI. If 2 slots are configured, 2 CBGs would be transmitted within a slot.</w:t>
      </w:r>
      <w:r w:rsidR="00485C48">
        <w:rPr>
          <w:lang w:val="en-AU" w:eastAsia="zh-CN"/>
        </w:rPr>
        <w:t xml:space="preserve"> The 4-bit CBGTI field in DCI can be seen as the </w:t>
      </w:r>
      <w:r w:rsidR="00485C48" w:rsidRPr="00485C48">
        <w:rPr>
          <w:lang w:val="en-AU" w:eastAsia="zh-CN"/>
        </w:rPr>
        <w:t>indicat</w:t>
      </w:r>
      <w:r w:rsidR="00485C48">
        <w:rPr>
          <w:lang w:val="en-AU" w:eastAsia="zh-CN"/>
        </w:rPr>
        <w:t>ion</w:t>
      </w:r>
      <w:r w:rsidR="00485C48" w:rsidRPr="00485C48">
        <w:rPr>
          <w:lang w:val="en-AU" w:eastAsia="zh-CN"/>
        </w:rPr>
        <w:t xml:space="preserve"> which CBGs of the TB are present in </w:t>
      </w:r>
      <w:r w:rsidR="00485C48">
        <w:rPr>
          <w:lang w:val="en-AU" w:eastAsia="zh-CN"/>
        </w:rPr>
        <w:t>all slots</w:t>
      </w:r>
      <w:r w:rsidR="00485C48" w:rsidRPr="00485C48">
        <w:rPr>
          <w:lang w:val="en-AU" w:eastAsia="zh-CN"/>
        </w:rPr>
        <w:t xml:space="preserve"> transmission</w:t>
      </w:r>
      <w:r w:rsidR="00485C48">
        <w:rPr>
          <w:lang w:val="en-AU" w:eastAsia="zh-CN"/>
        </w:rPr>
        <w:t xml:space="preserve"> scheduled with one DCI.</w:t>
      </w:r>
      <w:r w:rsidR="00D9664C">
        <w:rPr>
          <w:lang w:val="en-AU" w:eastAsia="zh-CN"/>
        </w:rPr>
        <w:t xml:space="preserve"> The first 2-bit </w:t>
      </w:r>
      <w:r w:rsidR="005B57E5">
        <w:rPr>
          <w:lang w:val="en-AU" w:eastAsia="zh-CN"/>
        </w:rPr>
        <w:t xml:space="preserve">of CBGTI </w:t>
      </w:r>
      <w:r w:rsidR="00D9664C">
        <w:rPr>
          <w:lang w:val="en-AU" w:eastAsia="zh-CN"/>
        </w:rPr>
        <w:t xml:space="preserve">indicates </w:t>
      </w:r>
      <w:r w:rsidR="00D9664C" w:rsidRPr="00485C48">
        <w:rPr>
          <w:lang w:val="en-AU" w:eastAsia="zh-CN"/>
        </w:rPr>
        <w:t xml:space="preserve">which CBGs of the TB are present in </w:t>
      </w:r>
      <w:r w:rsidR="00D9664C">
        <w:rPr>
          <w:lang w:val="en-AU" w:eastAsia="zh-CN"/>
        </w:rPr>
        <w:t xml:space="preserve">the first slot while the last 2-bit </w:t>
      </w:r>
      <w:r w:rsidR="005B57E5">
        <w:rPr>
          <w:lang w:val="en-AU" w:eastAsia="zh-CN"/>
        </w:rPr>
        <w:t xml:space="preserve">of CBGTI </w:t>
      </w:r>
      <w:r w:rsidR="00D9664C">
        <w:rPr>
          <w:lang w:val="en-AU" w:eastAsia="zh-CN"/>
        </w:rPr>
        <w:t xml:space="preserve">indicates </w:t>
      </w:r>
      <w:r w:rsidR="00D9664C" w:rsidRPr="00485C48">
        <w:rPr>
          <w:lang w:val="en-AU" w:eastAsia="zh-CN"/>
        </w:rPr>
        <w:t xml:space="preserve">which CBGs of the TB are present in </w:t>
      </w:r>
      <w:r w:rsidR="00D9664C">
        <w:rPr>
          <w:lang w:val="en-AU" w:eastAsia="zh-CN"/>
        </w:rPr>
        <w:t xml:space="preserve">the </w:t>
      </w:r>
      <w:r w:rsidR="00434B28">
        <w:rPr>
          <w:lang w:val="en-AU" w:eastAsia="zh-CN"/>
        </w:rPr>
        <w:t>second</w:t>
      </w:r>
      <w:r w:rsidR="00D9664C">
        <w:rPr>
          <w:lang w:val="en-AU" w:eastAsia="zh-CN"/>
        </w:rPr>
        <w:t xml:space="preserve"> slot</w:t>
      </w:r>
      <w:r w:rsidR="00434B28">
        <w:rPr>
          <w:lang w:val="en-AU" w:eastAsia="zh-CN"/>
        </w:rPr>
        <w:t>.</w:t>
      </w:r>
      <w:r w:rsidR="00DE3F65">
        <w:rPr>
          <w:lang w:val="en-AU" w:eastAsia="zh-CN"/>
        </w:rPr>
        <w:t xml:space="preserve"> </w:t>
      </w:r>
      <w:r w:rsidR="00DE3F65" w:rsidRPr="00DE3F65">
        <w:rPr>
          <w:lang w:val="en-AU" w:eastAsia="zh-CN"/>
        </w:rPr>
        <w:t>If the CBGFI</w:t>
      </w:r>
      <w:r w:rsidR="00DE3F65">
        <w:rPr>
          <w:lang w:val="en-AU" w:eastAsia="zh-CN"/>
        </w:rPr>
        <w:t xml:space="preserve"> </w:t>
      </w:r>
      <w:r w:rsidR="00DE3F65" w:rsidRPr="00DE3F65">
        <w:rPr>
          <w:lang w:val="en-AU" w:eastAsia="zh-CN"/>
        </w:rPr>
        <w:t>field of the scheduling DCI is present</w:t>
      </w:r>
      <w:r w:rsidR="00DE3F65">
        <w:rPr>
          <w:lang w:val="en-AU" w:eastAsia="zh-CN"/>
        </w:rPr>
        <w:t xml:space="preserve"> based on </w:t>
      </w:r>
      <w:r w:rsidR="00DE3F65" w:rsidRPr="00DE3F65">
        <w:rPr>
          <w:i/>
          <w:lang w:val="en-AU" w:eastAsia="zh-CN"/>
        </w:rPr>
        <w:t>codeBlockGroupFlushIndicator</w:t>
      </w:r>
      <w:r w:rsidR="00DE3F65">
        <w:rPr>
          <w:lang w:val="en-AU" w:eastAsia="zh-CN"/>
        </w:rPr>
        <w:t xml:space="preserve"> configuration</w:t>
      </w:r>
      <w:r w:rsidR="00DE3F65" w:rsidRPr="00DE3F65">
        <w:rPr>
          <w:lang w:val="en-AU" w:eastAsia="zh-CN"/>
        </w:rPr>
        <w:t xml:space="preserve">, CBGFI set to </w:t>
      </w:r>
      <w:r w:rsidR="008170F2" w:rsidRPr="00DE3F65">
        <w:rPr>
          <w:lang w:val="en-AU" w:eastAsia="zh-CN"/>
        </w:rPr>
        <w:t>'</w:t>
      </w:r>
      <w:r w:rsidR="00DE3F65" w:rsidRPr="00DE3F65">
        <w:rPr>
          <w:lang w:val="en-AU" w:eastAsia="zh-CN"/>
        </w:rPr>
        <w:t>0' indicates that the earlier received instances of the same CBGs being transmitted may be corrupted</w:t>
      </w:r>
      <w:r w:rsidR="00783C35">
        <w:rPr>
          <w:lang w:val="en-AU" w:eastAsia="zh-CN"/>
        </w:rPr>
        <w:t xml:space="preserve"> in all the slots scheduled with one DCI</w:t>
      </w:r>
      <w:r w:rsidR="00DE3F65" w:rsidRPr="00DE3F65">
        <w:rPr>
          <w:lang w:val="en-AU" w:eastAsia="zh-CN"/>
        </w:rPr>
        <w:t xml:space="preserve">, and CBGFI set to </w:t>
      </w:r>
      <w:r w:rsidR="008170F2" w:rsidRPr="00DE3F65">
        <w:rPr>
          <w:lang w:val="en-AU" w:eastAsia="zh-CN"/>
        </w:rPr>
        <w:t>'</w:t>
      </w:r>
      <w:r w:rsidR="00DE3F65" w:rsidRPr="00DE3F65">
        <w:rPr>
          <w:lang w:val="en-AU" w:eastAsia="zh-CN"/>
        </w:rPr>
        <w:t>1' indicates that the CBGs being retransmitted are combinable with the earlier received instances of the same CBGs</w:t>
      </w:r>
      <w:r w:rsidR="00783C35">
        <w:rPr>
          <w:lang w:val="en-AU" w:eastAsia="zh-CN"/>
        </w:rPr>
        <w:t xml:space="preserve"> in all the slots scheduled with one DCI</w:t>
      </w:r>
      <w:r w:rsidR="00DE3F65" w:rsidRPr="00DE3F65">
        <w:rPr>
          <w:lang w:val="en-AU" w:eastAsia="zh-CN"/>
        </w:rPr>
        <w:t>.</w:t>
      </w:r>
    </w:p>
    <w:p w:rsidR="008F0AD3" w:rsidRDefault="008F0AD3" w:rsidP="00EA2A61">
      <w:pPr>
        <w:rPr>
          <w:lang w:val="en-AU" w:eastAsia="zh-CN"/>
        </w:rPr>
      </w:pPr>
    </w:p>
    <w:p w:rsidR="008F0AD3" w:rsidRPr="000B647D" w:rsidRDefault="00B54ED1" w:rsidP="00EA2A61">
      <w:pPr>
        <w:rPr>
          <w:u w:val="single"/>
          <w:lang w:val="en-AU" w:eastAsia="zh-CN"/>
        </w:rPr>
      </w:pPr>
      <w:r w:rsidRPr="000B647D">
        <w:rPr>
          <w:u w:val="single"/>
          <w:lang w:val="en-AU" w:eastAsia="zh-CN"/>
        </w:rPr>
        <w:t>DCI design:</w:t>
      </w:r>
    </w:p>
    <w:p w:rsidR="00B54ED1" w:rsidRDefault="00117302" w:rsidP="00EA2A61">
      <w:pPr>
        <w:rPr>
          <w:lang w:val="en-AU" w:eastAsia="zh-CN"/>
        </w:rPr>
      </w:pPr>
      <w:r>
        <w:rPr>
          <w:lang w:val="en-AU" w:eastAsia="zh-CN"/>
        </w:rPr>
        <w:t>With the unified time-domain/fr</w:t>
      </w:r>
      <w:r w:rsidRPr="00117302">
        <w:rPr>
          <w:lang w:val="en-AU" w:eastAsia="zh-CN"/>
        </w:rPr>
        <w:t xml:space="preserve">equency-domain </w:t>
      </w:r>
      <w:r>
        <w:rPr>
          <w:lang w:val="en-AU" w:eastAsia="zh-CN"/>
        </w:rPr>
        <w:t xml:space="preserve">resource allocation and MCS within each slot of the multi-slot scheduling, </w:t>
      </w:r>
      <w:r w:rsidRPr="003948AF">
        <w:rPr>
          <w:sz w:val="20"/>
          <w:szCs w:val="20"/>
          <w:lang w:val="en-GB"/>
        </w:rPr>
        <w:t>the DCI design can be the same</w:t>
      </w:r>
      <w:r>
        <w:rPr>
          <w:lang w:val="en-AU" w:eastAsia="zh-CN"/>
        </w:rPr>
        <w:t xml:space="preserve"> as the current single slot scheduling. </w:t>
      </w:r>
      <w:r w:rsidR="002412A9" w:rsidRPr="002412A9">
        <w:rPr>
          <w:lang w:val="en-AU" w:eastAsia="zh-CN"/>
        </w:rPr>
        <w:t xml:space="preserve">Regardless of whether the </w:t>
      </w:r>
      <w:r w:rsidR="002412A9">
        <w:rPr>
          <w:lang w:val="en-AU" w:eastAsia="zh-CN"/>
        </w:rPr>
        <w:t xml:space="preserve">maximum </w:t>
      </w:r>
      <w:r w:rsidR="002412A9" w:rsidRPr="002412A9">
        <w:rPr>
          <w:lang w:val="en-AU" w:eastAsia="zh-CN"/>
        </w:rPr>
        <w:t xml:space="preserve">TBS size </w:t>
      </w:r>
      <w:r w:rsidR="002412A9">
        <w:rPr>
          <w:lang w:val="en-AU" w:eastAsia="zh-CN"/>
        </w:rPr>
        <w:t>is scaled or not, no</w:t>
      </w:r>
      <w:r w:rsidR="00B54ED1" w:rsidRPr="003A73B2">
        <w:rPr>
          <w:lang w:val="en-AU" w:eastAsia="zh-CN"/>
        </w:rPr>
        <w:t xml:space="preserve"> new MCS table</w:t>
      </w:r>
      <w:r w:rsidR="002412A9">
        <w:rPr>
          <w:lang w:val="en-AU" w:eastAsia="zh-CN"/>
        </w:rPr>
        <w:t xml:space="preserve"> </w:t>
      </w:r>
      <w:r w:rsidR="008170F2">
        <w:rPr>
          <w:lang w:val="en-AU" w:eastAsia="zh-CN"/>
        </w:rPr>
        <w:t>has to be introduced</w:t>
      </w:r>
      <w:r w:rsidR="00B54ED1" w:rsidRPr="003A73B2">
        <w:rPr>
          <w:lang w:val="en-AU" w:eastAsia="zh-CN"/>
        </w:rPr>
        <w:t>.</w:t>
      </w:r>
    </w:p>
    <w:p w:rsidR="00D60976" w:rsidRDefault="00D60976" w:rsidP="00EA2A61">
      <w:pPr>
        <w:rPr>
          <w:lang w:val="en-AU" w:eastAsia="zh-CN"/>
        </w:rPr>
      </w:pPr>
    </w:p>
    <w:p w:rsidR="00D60976" w:rsidRPr="000B647D" w:rsidRDefault="00906EA3" w:rsidP="00EA2A61">
      <w:pPr>
        <w:rPr>
          <w:color w:val="000000" w:themeColor="text1"/>
          <w:u w:val="single"/>
          <w:lang w:eastAsia="zh-CN"/>
        </w:rPr>
      </w:pPr>
      <w:r w:rsidRPr="000B647D">
        <w:rPr>
          <w:rFonts w:hint="eastAsia"/>
          <w:color w:val="000000" w:themeColor="text1"/>
          <w:u w:val="single"/>
          <w:lang w:eastAsia="zh-CN"/>
        </w:rPr>
        <w:t>HARQ-ACK codebook</w:t>
      </w:r>
      <w:r w:rsidRPr="000B647D">
        <w:rPr>
          <w:color w:val="000000" w:themeColor="text1"/>
          <w:u w:val="single"/>
          <w:lang w:eastAsia="zh-CN"/>
        </w:rPr>
        <w:t>:</w:t>
      </w:r>
    </w:p>
    <w:p w:rsidR="00906EA3" w:rsidRDefault="00AC7C19" w:rsidP="00EA2A61">
      <w:pPr>
        <w:rPr>
          <w:lang w:val="en-AU" w:eastAsia="zh-CN"/>
        </w:rPr>
      </w:pPr>
      <w:r>
        <w:rPr>
          <w:lang w:eastAsia="zh-CN"/>
        </w:rPr>
        <w:t>For Alt 4, only one PDSCH is transmitted on multi-slot</w:t>
      </w:r>
      <w:r w:rsidR="00AE5FB3">
        <w:rPr>
          <w:lang w:eastAsia="zh-CN"/>
        </w:rPr>
        <w:t xml:space="preserve"> scheduling</w:t>
      </w:r>
      <w:r>
        <w:rPr>
          <w:lang w:eastAsia="zh-CN"/>
        </w:rPr>
        <w:t>. For semi-static HARQ</w:t>
      </w:r>
      <w:r w:rsidR="00121D69">
        <w:rPr>
          <w:lang w:eastAsia="zh-CN"/>
        </w:rPr>
        <w:t>-ACK</w:t>
      </w:r>
      <w:r>
        <w:rPr>
          <w:lang w:eastAsia="zh-CN"/>
        </w:rPr>
        <w:t xml:space="preserve"> codebook,</w:t>
      </w:r>
      <w:r w:rsidR="00E03BBE">
        <w:rPr>
          <w:lang w:eastAsia="zh-CN"/>
        </w:rPr>
        <w:t xml:space="preserve"> the definition of K1 for multi-slot transmission </w:t>
      </w:r>
      <w:r w:rsidR="0091766A">
        <w:rPr>
          <w:lang w:eastAsia="zh-CN"/>
        </w:rPr>
        <w:t>just as</w:t>
      </w:r>
      <w:r w:rsidR="001E440D">
        <w:rPr>
          <w:lang w:val="en-AU" w:eastAsia="zh-CN"/>
        </w:rPr>
        <w:t xml:space="preserve"> </w:t>
      </w:r>
      <w:r w:rsidR="0091766A">
        <w:rPr>
          <w:lang w:val="en-AU" w:eastAsia="zh-CN"/>
        </w:rPr>
        <w:t xml:space="preserve">K1 definition for slot aggregation, which is from the </w:t>
      </w:r>
      <w:r w:rsidR="0091766A" w:rsidRPr="00B916EC">
        <w:t>PDSCH reception</w:t>
      </w:r>
      <w:r w:rsidR="0091766A" w:rsidRPr="00AD7255">
        <w:t xml:space="preserve"> </w:t>
      </w:r>
      <w:r w:rsidR="0091766A">
        <w:t>ending</w:t>
      </w:r>
      <w:r w:rsidR="0091766A" w:rsidRPr="00B916EC">
        <w:t xml:space="preserve"> </w:t>
      </w:r>
      <w:r w:rsidR="0091766A">
        <w:t xml:space="preserve">slot </w:t>
      </w:r>
      <w:r w:rsidR="0091766A" w:rsidRPr="00B916EC">
        <w:rPr>
          <w:position w:val="-6"/>
        </w:rPr>
        <w:object w:dxaOrig="180" w:dyaOrig="200">
          <v:shape id="_x0000_i1026" type="#_x0000_t75" style="width:8.7pt;height:10.7pt" o:ole="">
            <v:imagedata r:id="rId11" o:title=""/>
          </v:shape>
          <o:OLEObject Type="Embed" ProgID="Equation.3" ShapeID="_x0000_i1026" DrawAspect="Content" ObjectID="_1618466648" r:id="rId12"/>
        </w:object>
      </w:r>
      <w:r w:rsidR="0091766A">
        <w:t xml:space="preserve"> to the slot of HARQ-ACK feedback. </w:t>
      </w:r>
      <w:r w:rsidR="00121D69">
        <w:t>For dynamic HARQ-ACK codebook,</w:t>
      </w:r>
      <w:r w:rsidR="008A067D">
        <w:t xml:space="preserve"> </w:t>
      </w:r>
      <w:r w:rsidR="008A067D">
        <w:rPr>
          <w:lang w:val="en-AU" w:eastAsia="zh-CN"/>
        </w:rPr>
        <w:lastRenderedPageBreak/>
        <w:t>only one counter-DAI and/or total-DAI in DL DCI is needed. No impact on HARQ-ACK codebook generation.</w:t>
      </w:r>
    </w:p>
    <w:p w:rsidR="00035326" w:rsidRDefault="00035326" w:rsidP="00EA2A61">
      <w:pPr>
        <w:rPr>
          <w:lang w:val="en-AU" w:eastAsia="zh-CN"/>
        </w:rPr>
      </w:pPr>
    </w:p>
    <w:p w:rsidR="0058573F" w:rsidRPr="00035326" w:rsidRDefault="00085CE6" w:rsidP="00EA2A61">
      <w:pPr>
        <w:rPr>
          <w:color w:val="000000" w:themeColor="text1"/>
          <w:u w:val="single"/>
          <w:lang w:eastAsia="zh-CN"/>
        </w:rPr>
      </w:pPr>
      <w:r w:rsidRPr="00035326">
        <w:rPr>
          <w:color w:val="000000" w:themeColor="text1"/>
          <w:u w:val="single"/>
          <w:lang w:eastAsia="zh-CN"/>
        </w:rPr>
        <w:t>Physical channel processing:</w:t>
      </w:r>
    </w:p>
    <w:p w:rsidR="008170F2" w:rsidRDefault="00F917C6" w:rsidP="00EA2A61">
      <w:r w:rsidRPr="00035326">
        <w:rPr>
          <w:lang w:val="en-AU" w:eastAsia="zh-CN"/>
        </w:rPr>
        <w:t xml:space="preserve">Possible impact on scrambling procedure due to input code word length and the length of </w:t>
      </w:r>
      <w:r w:rsidRPr="00035326">
        <w:t xml:space="preserve">scrambling sequence </w:t>
      </w:r>
      <w:r w:rsidRPr="00035326">
        <w:rPr>
          <w:lang w:val="en-AU" w:eastAsia="zh-CN"/>
        </w:rPr>
        <w:t>mismatching</w:t>
      </w:r>
      <w:r w:rsidR="00B4181E">
        <w:rPr>
          <w:lang w:val="en-AU" w:eastAsia="zh-CN"/>
        </w:rPr>
        <w:t>, when CBG based processing is configured</w:t>
      </w:r>
      <w:r w:rsidRPr="00035326">
        <w:t>.</w:t>
      </w:r>
      <w:r w:rsidR="00035326">
        <w:t xml:space="preserve"> This would probably result in most implementation change compared to other functions as the scrambling is expected to be performed per CBG rather than per TB. However the specification impact for this change can be acceptable, for which the formulae in TS38.211 needs to be updated for this operation, as a configurable case. </w:t>
      </w:r>
    </w:p>
    <w:p w:rsidR="00035326" w:rsidRPr="003721BA" w:rsidRDefault="00035326" w:rsidP="00EA2A61">
      <w:pPr>
        <w:rPr>
          <w:lang w:eastAsia="zh-CN"/>
        </w:rPr>
      </w:pPr>
    </w:p>
    <w:p w:rsidR="00F917C6" w:rsidRDefault="008170F2" w:rsidP="00EA2A61">
      <w:pPr>
        <w:rPr>
          <w:lang w:val="en-AU" w:eastAsia="zh-CN"/>
        </w:rPr>
      </w:pPr>
      <w:r>
        <w:rPr>
          <w:rFonts w:hint="eastAsia"/>
          <w:lang w:val="en-AU" w:eastAsia="zh-CN"/>
        </w:rPr>
        <w:t xml:space="preserve">In summary, Table 1 </w:t>
      </w:r>
      <w:r>
        <w:rPr>
          <w:lang w:val="en-AU" w:eastAsia="zh-CN"/>
        </w:rPr>
        <w:t>provides</w:t>
      </w:r>
      <w:r>
        <w:rPr>
          <w:rFonts w:hint="eastAsia"/>
          <w:lang w:val="en-AU" w:eastAsia="zh-CN"/>
        </w:rPr>
        <w:t xml:space="preserve"> the</w:t>
      </w:r>
      <w:r>
        <w:rPr>
          <w:lang w:val="en-AU" w:eastAsia="zh-CN"/>
        </w:rPr>
        <w:t xml:space="preserve"> potential specification impact for Alt 4.</w:t>
      </w:r>
    </w:p>
    <w:p w:rsidR="008170F2" w:rsidRDefault="008170F2" w:rsidP="008170F2">
      <w:pPr>
        <w:pStyle w:val="a5"/>
        <w:rPr>
          <w:lang w:val="en-AU" w:eastAsia="zh-CN"/>
        </w:rP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specification impact analysis for Alt 4</w:t>
      </w:r>
    </w:p>
    <w:tbl>
      <w:tblPr>
        <w:tblStyle w:val="ac"/>
        <w:tblW w:w="5000" w:type="pct"/>
        <w:jc w:val="center"/>
        <w:tblLook w:val="04A0" w:firstRow="1" w:lastRow="0" w:firstColumn="1" w:lastColumn="0" w:noHBand="0" w:noVBand="1"/>
      </w:tblPr>
      <w:tblGrid>
        <w:gridCol w:w="2135"/>
        <w:gridCol w:w="4523"/>
        <w:gridCol w:w="2649"/>
      </w:tblGrid>
      <w:tr w:rsidR="008170F2" w:rsidTr="00B56436">
        <w:trPr>
          <w:jc w:val="center"/>
        </w:trPr>
        <w:tc>
          <w:tcPr>
            <w:tcW w:w="1147" w:type="pct"/>
          </w:tcPr>
          <w:p w:rsidR="008170F2" w:rsidRDefault="008170F2" w:rsidP="00B56436">
            <w:pPr>
              <w:jc w:val="center"/>
              <w:rPr>
                <w:lang w:val="en-AU" w:eastAsia="zh-CN"/>
              </w:rPr>
            </w:pPr>
            <w:r>
              <w:rPr>
                <w:rFonts w:hint="eastAsia"/>
                <w:lang w:val="en-AU" w:eastAsia="zh-CN"/>
              </w:rPr>
              <w:t>Item</w:t>
            </w:r>
          </w:p>
        </w:tc>
        <w:tc>
          <w:tcPr>
            <w:tcW w:w="2430" w:type="pct"/>
          </w:tcPr>
          <w:p w:rsidR="008170F2" w:rsidRDefault="008170F2" w:rsidP="00B56436">
            <w:pPr>
              <w:jc w:val="center"/>
              <w:rPr>
                <w:lang w:val="en-AU" w:eastAsia="zh-CN"/>
              </w:rPr>
            </w:pPr>
            <w:r>
              <w:rPr>
                <w:lang w:val="en-AU" w:eastAsia="zh-CN"/>
              </w:rPr>
              <w:t>Details</w:t>
            </w:r>
          </w:p>
        </w:tc>
        <w:tc>
          <w:tcPr>
            <w:tcW w:w="1423" w:type="pct"/>
          </w:tcPr>
          <w:p w:rsidR="008170F2" w:rsidRDefault="008170F2" w:rsidP="00B56436">
            <w:pPr>
              <w:jc w:val="center"/>
              <w:rPr>
                <w:lang w:val="en-AU" w:eastAsia="zh-CN"/>
              </w:rPr>
            </w:pPr>
            <w:r>
              <w:rPr>
                <w:lang w:val="en-AU" w:eastAsia="zh-CN"/>
              </w:rPr>
              <w:t>S</w:t>
            </w:r>
            <w:r>
              <w:rPr>
                <w:rFonts w:hint="eastAsia"/>
                <w:lang w:val="en-AU" w:eastAsia="zh-CN"/>
              </w:rPr>
              <w:t xml:space="preserve">pecification </w:t>
            </w:r>
            <w:r>
              <w:rPr>
                <w:lang w:val="en-AU" w:eastAsia="zh-CN"/>
              </w:rPr>
              <w:t>impact</w:t>
            </w:r>
          </w:p>
        </w:tc>
      </w:tr>
      <w:tr w:rsidR="008170F2" w:rsidTr="00B56436">
        <w:trPr>
          <w:jc w:val="center"/>
        </w:trPr>
        <w:tc>
          <w:tcPr>
            <w:tcW w:w="1147" w:type="pct"/>
            <w:vMerge w:val="restart"/>
            <w:vAlign w:val="center"/>
          </w:tcPr>
          <w:p w:rsidR="008170F2" w:rsidRPr="00885CE3" w:rsidRDefault="008170F2" w:rsidP="00B56436">
            <w:pPr>
              <w:jc w:val="center"/>
              <w:rPr>
                <w:lang w:val="en-GB" w:eastAsia="zh-CN"/>
              </w:rPr>
            </w:pPr>
            <w:r>
              <w:rPr>
                <w:lang w:val="en-GB" w:eastAsia="zh-CN"/>
              </w:rPr>
              <w:t>General p</w:t>
            </w:r>
            <w:r>
              <w:rPr>
                <w:rFonts w:hint="eastAsia"/>
                <w:lang w:val="en-GB" w:eastAsia="zh-CN"/>
              </w:rPr>
              <w:t>arameters need to be indica</w:t>
            </w:r>
            <w:r>
              <w:rPr>
                <w:lang w:val="en-GB" w:eastAsia="zh-CN"/>
              </w:rPr>
              <w:t>ted</w:t>
            </w:r>
          </w:p>
        </w:tc>
        <w:tc>
          <w:tcPr>
            <w:tcW w:w="2430" w:type="pct"/>
          </w:tcPr>
          <w:p w:rsidR="008170F2" w:rsidRDefault="008170F2" w:rsidP="00B56436">
            <w:pPr>
              <w:rPr>
                <w:lang w:val="en-GB" w:eastAsia="zh-CN"/>
              </w:rPr>
            </w:pPr>
            <w:r>
              <w:rPr>
                <w:lang w:val="en-GB" w:eastAsia="zh-CN"/>
              </w:rPr>
              <w:t>M</w:t>
            </w:r>
            <w:r w:rsidRPr="00885CE3">
              <w:rPr>
                <w:lang w:val="en-GB" w:eastAsia="zh-CN"/>
              </w:rPr>
              <w:t>aximum number of slots that one DCI can schedule</w:t>
            </w:r>
          </w:p>
        </w:tc>
        <w:tc>
          <w:tcPr>
            <w:tcW w:w="1423" w:type="pct"/>
          </w:tcPr>
          <w:p w:rsidR="008170F2" w:rsidRDefault="008170F2" w:rsidP="00B56436">
            <w:pPr>
              <w:rPr>
                <w:lang w:val="en-AU" w:eastAsia="zh-CN"/>
              </w:rPr>
            </w:pPr>
            <w:r>
              <w:rPr>
                <w:lang w:val="en-AU" w:eastAsia="zh-CN"/>
              </w:rPr>
              <w:t xml:space="preserve">Minor RRC configuration impact </w:t>
            </w:r>
          </w:p>
          <w:p w:rsidR="008170F2" w:rsidRDefault="008170F2" w:rsidP="00B56436">
            <w:pPr>
              <w:rPr>
                <w:lang w:val="en-AU" w:eastAsia="zh-CN"/>
              </w:rPr>
            </w:pPr>
          </w:p>
        </w:tc>
      </w:tr>
      <w:tr w:rsidR="008170F2" w:rsidTr="00B56436">
        <w:trPr>
          <w:jc w:val="center"/>
        </w:trPr>
        <w:tc>
          <w:tcPr>
            <w:tcW w:w="1147" w:type="pct"/>
            <w:vMerge/>
            <w:vAlign w:val="center"/>
          </w:tcPr>
          <w:p w:rsidR="008170F2" w:rsidRPr="00B81086" w:rsidRDefault="008170F2" w:rsidP="00B56436">
            <w:pPr>
              <w:jc w:val="center"/>
              <w:rPr>
                <w:color w:val="000000" w:themeColor="text1"/>
                <w:lang w:eastAsia="zh-CN"/>
              </w:rPr>
            </w:pPr>
          </w:p>
        </w:tc>
        <w:tc>
          <w:tcPr>
            <w:tcW w:w="2430" w:type="pct"/>
          </w:tcPr>
          <w:p w:rsidR="008170F2" w:rsidRPr="00B81086" w:rsidRDefault="008170F2" w:rsidP="00B56436">
            <w:pPr>
              <w:rPr>
                <w:color w:val="000000" w:themeColor="text1"/>
                <w:lang w:val="en-GB" w:eastAsia="zh-CN"/>
              </w:rPr>
            </w:pPr>
            <w:r>
              <w:rPr>
                <w:color w:val="000000" w:themeColor="text1"/>
                <w:lang w:eastAsia="zh-CN"/>
              </w:rPr>
              <w:t>Indication</w:t>
            </w:r>
            <w:r w:rsidRPr="00B81086">
              <w:rPr>
                <w:color w:val="000000" w:themeColor="text1"/>
                <w:lang w:eastAsia="zh-CN"/>
              </w:rPr>
              <w:t xml:space="preserve"> </w:t>
            </w:r>
            <w:r>
              <w:rPr>
                <w:color w:val="000000" w:themeColor="text1"/>
                <w:lang w:eastAsia="zh-CN"/>
              </w:rPr>
              <w:t xml:space="preserve">of </w:t>
            </w:r>
            <w:r w:rsidRPr="00B81086">
              <w:rPr>
                <w:color w:val="000000" w:themeColor="text1"/>
                <w:lang w:eastAsia="zh-CN"/>
              </w:rPr>
              <w:t>the number of slots that one DCI schedules</w:t>
            </w:r>
          </w:p>
        </w:tc>
        <w:tc>
          <w:tcPr>
            <w:tcW w:w="1423" w:type="pct"/>
          </w:tcPr>
          <w:p w:rsidR="008170F2" w:rsidRPr="00083031" w:rsidRDefault="008170F2" w:rsidP="00B56436">
            <w:pPr>
              <w:rPr>
                <w:lang w:val="en-AU" w:eastAsia="zh-CN"/>
              </w:rPr>
            </w:pPr>
            <w:r>
              <w:rPr>
                <w:lang w:val="en-AU" w:eastAsia="zh-CN"/>
              </w:rPr>
              <w:t xml:space="preserve">Minor </w:t>
            </w:r>
            <w:r w:rsidRPr="00083031">
              <w:rPr>
                <w:lang w:val="en-AU" w:eastAsia="zh-CN"/>
              </w:rPr>
              <w:t>RRC configuration</w:t>
            </w:r>
            <w:r>
              <w:rPr>
                <w:lang w:val="en-AU" w:eastAsia="zh-CN"/>
              </w:rPr>
              <w:t xml:space="preserve"> impact</w:t>
            </w:r>
          </w:p>
        </w:tc>
      </w:tr>
      <w:tr w:rsidR="008170F2" w:rsidTr="00B56436">
        <w:trPr>
          <w:jc w:val="center"/>
        </w:trPr>
        <w:tc>
          <w:tcPr>
            <w:tcW w:w="1147" w:type="pct"/>
            <w:vAlign w:val="center"/>
          </w:tcPr>
          <w:p w:rsidR="008170F2" w:rsidRPr="00B81086" w:rsidRDefault="008170F2" w:rsidP="00B56436">
            <w:pPr>
              <w:jc w:val="center"/>
              <w:rPr>
                <w:color w:val="000000" w:themeColor="text1"/>
                <w:lang w:eastAsia="zh-CN"/>
              </w:rPr>
            </w:pPr>
            <w:r>
              <w:rPr>
                <w:color w:val="000000" w:themeColor="text1"/>
                <w:lang w:eastAsia="zh-CN"/>
              </w:rPr>
              <w:t>TBS/MCS</w:t>
            </w:r>
          </w:p>
        </w:tc>
        <w:tc>
          <w:tcPr>
            <w:tcW w:w="2430" w:type="pct"/>
          </w:tcPr>
          <w:p w:rsidR="008170F2" w:rsidRPr="00B81086" w:rsidRDefault="008170F2" w:rsidP="00B56436">
            <w:pPr>
              <w:rPr>
                <w:color w:val="000000" w:themeColor="text1"/>
                <w:lang w:eastAsia="zh-CN"/>
              </w:rPr>
            </w:pPr>
            <w:r>
              <w:rPr>
                <w:rFonts w:hint="eastAsia"/>
                <w:color w:val="000000" w:themeColor="text1"/>
                <w:lang w:eastAsia="zh-CN"/>
              </w:rPr>
              <w:t>TB size determination</w:t>
            </w:r>
          </w:p>
        </w:tc>
        <w:tc>
          <w:tcPr>
            <w:tcW w:w="1423" w:type="pct"/>
          </w:tcPr>
          <w:p w:rsidR="008170F2" w:rsidRPr="00C25F57" w:rsidRDefault="008170F2" w:rsidP="00B56436">
            <w:pPr>
              <w:rPr>
                <w:lang w:val="en-AU" w:eastAsia="zh-CN"/>
              </w:rPr>
            </w:pPr>
            <w:r>
              <w:rPr>
                <w:lang w:val="en-AU" w:eastAsia="zh-CN"/>
              </w:rPr>
              <w:t>Minor</w:t>
            </w:r>
            <w:r>
              <w:rPr>
                <w:rFonts w:hint="eastAsia"/>
                <w:lang w:val="en-AU" w:eastAsia="zh-CN"/>
              </w:rPr>
              <w:t xml:space="preserve"> impact </w:t>
            </w:r>
            <w:r>
              <w:rPr>
                <w:lang w:val="en-AU" w:eastAsia="zh-CN"/>
              </w:rPr>
              <w:t>or simple scaling as already used in current TBS determination</w:t>
            </w:r>
          </w:p>
        </w:tc>
      </w:tr>
      <w:tr w:rsidR="008170F2" w:rsidTr="00B56436">
        <w:trPr>
          <w:jc w:val="center"/>
        </w:trPr>
        <w:tc>
          <w:tcPr>
            <w:tcW w:w="1147" w:type="pct"/>
            <w:vAlign w:val="center"/>
          </w:tcPr>
          <w:p w:rsidR="008170F2" w:rsidRDefault="008170F2" w:rsidP="00B56436">
            <w:pPr>
              <w:jc w:val="center"/>
              <w:rPr>
                <w:color w:val="000000" w:themeColor="text1"/>
                <w:lang w:eastAsia="zh-CN"/>
              </w:rPr>
            </w:pPr>
            <w:r>
              <w:rPr>
                <w:rFonts w:hint="eastAsia"/>
                <w:color w:val="000000" w:themeColor="text1"/>
                <w:lang w:eastAsia="zh-CN"/>
              </w:rPr>
              <w:t>CBG</w:t>
            </w:r>
            <w:r>
              <w:rPr>
                <w:color w:val="000000" w:themeColor="text1"/>
                <w:lang w:eastAsia="zh-CN"/>
              </w:rPr>
              <w:t>s</w:t>
            </w:r>
            <w:r>
              <w:rPr>
                <w:rFonts w:hint="eastAsia"/>
                <w:color w:val="000000" w:themeColor="text1"/>
                <w:lang w:eastAsia="zh-CN"/>
              </w:rPr>
              <w:t xml:space="preserve"> </w:t>
            </w:r>
            <w:r>
              <w:rPr>
                <w:color w:val="000000" w:themeColor="text1"/>
                <w:lang w:eastAsia="zh-CN"/>
              </w:rPr>
              <w:t>in</w:t>
            </w:r>
            <w:r>
              <w:rPr>
                <w:rFonts w:hint="eastAsia"/>
                <w:color w:val="000000" w:themeColor="text1"/>
                <w:lang w:eastAsia="zh-CN"/>
              </w:rPr>
              <w:t xml:space="preserve"> slot</w:t>
            </w:r>
            <w:r>
              <w:rPr>
                <w:color w:val="000000" w:themeColor="text1"/>
                <w:lang w:eastAsia="zh-CN"/>
              </w:rPr>
              <w:t>s</w:t>
            </w:r>
          </w:p>
        </w:tc>
        <w:tc>
          <w:tcPr>
            <w:tcW w:w="2430" w:type="pct"/>
          </w:tcPr>
          <w:p w:rsidR="008170F2" w:rsidRDefault="008170F2" w:rsidP="00B56436">
            <w:r w:rsidRPr="00633A84">
              <w:rPr>
                <w:rFonts w:hint="eastAsia"/>
                <w:color w:val="000000" w:themeColor="text1"/>
                <w:lang w:eastAsia="zh-CN"/>
              </w:rPr>
              <w:t>How to make multi-slot scheduling be compatible with CBG-based transmission, e.g., how to interpret CBGTI and CBGFI field in scheduling DCI</w:t>
            </w:r>
          </w:p>
        </w:tc>
        <w:tc>
          <w:tcPr>
            <w:tcW w:w="1423" w:type="pct"/>
          </w:tcPr>
          <w:p w:rsidR="008170F2" w:rsidRDefault="00EA5A5A" w:rsidP="00B56436">
            <w:pPr>
              <w:rPr>
                <w:lang w:val="en-AU" w:eastAsia="zh-CN"/>
              </w:rPr>
            </w:pPr>
            <w:r>
              <w:rPr>
                <w:lang w:val="en-AU" w:eastAsia="zh-CN"/>
              </w:rPr>
              <w:t>Minor</w:t>
            </w:r>
            <w:r w:rsidR="008170F2">
              <w:rPr>
                <w:rFonts w:hint="eastAsia"/>
                <w:lang w:val="en-AU" w:eastAsia="zh-CN"/>
              </w:rPr>
              <w:t xml:space="preserve"> </w:t>
            </w:r>
            <w:r w:rsidR="008170F2">
              <w:rPr>
                <w:lang w:val="en-AU" w:eastAsia="zh-CN"/>
              </w:rPr>
              <w:t>impact</w:t>
            </w:r>
          </w:p>
        </w:tc>
      </w:tr>
      <w:tr w:rsidR="00EA5A5A" w:rsidTr="00B56436">
        <w:trPr>
          <w:jc w:val="center"/>
        </w:trPr>
        <w:tc>
          <w:tcPr>
            <w:tcW w:w="1147" w:type="pct"/>
            <w:vMerge w:val="restart"/>
            <w:vAlign w:val="center"/>
          </w:tcPr>
          <w:p w:rsidR="00EA5A5A" w:rsidRPr="00B81086" w:rsidRDefault="00EA5A5A" w:rsidP="00B56436">
            <w:pPr>
              <w:jc w:val="center"/>
              <w:rPr>
                <w:color w:val="000000" w:themeColor="text1"/>
                <w:lang w:val="en-GB" w:eastAsia="zh-CN"/>
              </w:rPr>
            </w:pPr>
            <w:r w:rsidRPr="00B81086">
              <w:rPr>
                <w:rFonts w:hint="eastAsia"/>
                <w:color w:val="000000" w:themeColor="text1"/>
              </w:rPr>
              <w:t>DCI design</w:t>
            </w:r>
          </w:p>
        </w:tc>
        <w:tc>
          <w:tcPr>
            <w:tcW w:w="2430" w:type="pct"/>
          </w:tcPr>
          <w:p w:rsidR="00EA5A5A" w:rsidRPr="00B81086" w:rsidRDefault="00EA5A5A" w:rsidP="00B56436">
            <w:pPr>
              <w:rPr>
                <w:color w:val="000000" w:themeColor="text1"/>
                <w:lang w:val="en-GB" w:eastAsia="zh-CN"/>
              </w:rPr>
            </w:pPr>
            <w:r w:rsidRPr="00B81086">
              <w:rPr>
                <w:color w:val="000000" w:themeColor="text1"/>
                <w:lang w:val="en-GB" w:eastAsia="zh-CN"/>
              </w:rPr>
              <w:t xml:space="preserve">Time-domain resource allocation </w:t>
            </w:r>
            <w:r>
              <w:rPr>
                <w:color w:val="000000" w:themeColor="text1"/>
                <w:lang w:val="en-GB" w:eastAsia="zh-CN"/>
              </w:rPr>
              <w:t>in each slot</w:t>
            </w:r>
          </w:p>
        </w:tc>
        <w:tc>
          <w:tcPr>
            <w:tcW w:w="1423" w:type="pct"/>
            <w:vMerge w:val="restart"/>
          </w:tcPr>
          <w:p w:rsidR="00EA5A5A" w:rsidRDefault="00EA5A5A" w:rsidP="00B56436">
            <w:pPr>
              <w:rPr>
                <w:lang w:val="en-AU" w:eastAsia="zh-CN"/>
              </w:rPr>
            </w:pPr>
            <w:r>
              <w:rPr>
                <w:lang w:val="en-AU" w:eastAsia="zh-CN"/>
              </w:rPr>
              <w:t>Depending on the flexibility and specification impact trade-off, can be minor or no obvious change, or at least the same level of change compared to Alt 3.</w:t>
            </w:r>
          </w:p>
        </w:tc>
      </w:tr>
      <w:tr w:rsidR="00EA5A5A" w:rsidTr="00B56436">
        <w:trPr>
          <w:jc w:val="center"/>
        </w:trPr>
        <w:tc>
          <w:tcPr>
            <w:tcW w:w="1147" w:type="pct"/>
            <w:vMerge/>
            <w:vAlign w:val="center"/>
          </w:tcPr>
          <w:p w:rsidR="00EA5A5A" w:rsidRPr="00B81086" w:rsidRDefault="00EA5A5A" w:rsidP="00B56436">
            <w:pPr>
              <w:jc w:val="center"/>
              <w:rPr>
                <w:color w:val="000000" w:themeColor="text1"/>
                <w:lang w:val="en-GB" w:eastAsia="zh-CN"/>
              </w:rPr>
            </w:pPr>
          </w:p>
        </w:tc>
        <w:tc>
          <w:tcPr>
            <w:tcW w:w="2430" w:type="pct"/>
          </w:tcPr>
          <w:p w:rsidR="00EA5A5A" w:rsidRPr="00B81086" w:rsidRDefault="00EA5A5A" w:rsidP="00B56436">
            <w:pPr>
              <w:rPr>
                <w:color w:val="000000" w:themeColor="text1"/>
                <w:lang w:val="en-GB" w:eastAsia="zh-CN"/>
              </w:rPr>
            </w:pPr>
            <w:r w:rsidRPr="00B81086">
              <w:rPr>
                <w:color w:val="000000" w:themeColor="text1"/>
                <w:lang w:val="en-GB" w:eastAsia="zh-CN"/>
              </w:rPr>
              <w:t xml:space="preserve">frequency-domain resource allocation </w:t>
            </w:r>
            <w:r>
              <w:rPr>
                <w:color w:val="000000" w:themeColor="text1"/>
                <w:lang w:val="en-GB" w:eastAsia="zh-CN"/>
              </w:rPr>
              <w:t>in each slot</w:t>
            </w:r>
          </w:p>
        </w:tc>
        <w:tc>
          <w:tcPr>
            <w:tcW w:w="1423" w:type="pct"/>
            <w:vMerge/>
          </w:tcPr>
          <w:p w:rsidR="00EA5A5A" w:rsidRDefault="00EA5A5A" w:rsidP="00B56436">
            <w:pPr>
              <w:rPr>
                <w:lang w:val="en-AU" w:eastAsia="zh-CN"/>
              </w:rPr>
            </w:pPr>
          </w:p>
        </w:tc>
      </w:tr>
      <w:tr w:rsidR="00EA5A5A" w:rsidTr="00B56436">
        <w:trPr>
          <w:jc w:val="center"/>
        </w:trPr>
        <w:tc>
          <w:tcPr>
            <w:tcW w:w="1147" w:type="pct"/>
            <w:vMerge/>
            <w:vAlign w:val="center"/>
          </w:tcPr>
          <w:p w:rsidR="00EA5A5A" w:rsidRPr="00B81086" w:rsidRDefault="00EA5A5A" w:rsidP="00B56436">
            <w:pPr>
              <w:jc w:val="center"/>
              <w:rPr>
                <w:color w:val="000000" w:themeColor="text1"/>
              </w:rPr>
            </w:pPr>
          </w:p>
        </w:tc>
        <w:tc>
          <w:tcPr>
            <w:tcW w:w="2430" w:type="pct"/>
          </w:tcPr>
          <w:p w:rsidR="00EA5A5A" w:rsidRPr="00B81086" w:rsidRDefault="00EA5A5A" w:rsidP="00B56436">
            <w:pPr>
              <w:rPr>
                <w:color w:val="000000" w:themeColor="text1"/>
                <w:lang w:eastAsia="zh-CN"/>
              </w:rPr>
            </w:pPr>
            <w:r>
              <w:rPr>
                <w:rFonts w:hint="eastAsia"/>
                <w:color w:val="000000" w:themeColor="text1"/>
                <w:lang w:eastAsia="zh-CN"/>
              </w:rPr>
              <w:t>MCS</w:t>
            </w:r>
            <w:r>
              <w:rPr>
                <w:color w:val="000000" w:themeColor="text1"/>
                <w:lang w:eastAsia="zh-CN"/>
              </w:rPr>
              <w:t xml:space="preserve"> </w:t>
            </w:r>
          </w:p>
        </w:tc>
        <w:tc>
          <w:tcPr>
            <w:tcW w:w="1423" w:type="pct"/>
            <w:vMerge/>
          </w:tcPr>
          <w:p w:rsidR="00EA5A5A" w:rsidRDefault="00EA5A5A" w:rsidP="00B56436">
            <w:pPr>
              <w:rPr>
                <w:lang w:val="en-AU" w:eastAsia="zh-CN"/>
              </w:rPr>
            </w:pPr>
          </w:p>
        </w:tc>
      </w:tr>
      <w:tr w:rsidR="00EA5A5A" w:rsidTr="00B56436">
        <w:trPr>
          <w:jc w:val="center"/>
        </w:trPr>
        <w:tc>
          <w:tcPr>
            <w:tcW w:w="1147" w:type="pct"/>
            <w:vMerge/>
            <w:vAlign w:val="center"/>
          </w:tcPr>
          <w:p w:rsidR="00EA5A5A" w:rsidRPr="00B81086" w:rsidRDefault="00EA5A5A" w:rsidP="00B56436">
            <w:pPr>
              <w:jc w:val="center"/>
              <w:rPr>
                <w:color w:val="000000" w:themeColor="text1"/>
              </w:rPr>
            </w:pPr>
          </w:p>
        </w:tc>
        <w:tc>
          <w:tcPr>
            <w:tcW w:w="2430" w:type="pct"/>
          </w:tcPr>
          <w:p w:rsidR="00EA5A5A" w:rsidRDefault="00EA5A5A" w:rsidP="00B56436">
            <w:pPr>
              <w:rPr>
                <w:color w:val="000000" w:themeColor="text1"/>
                <w:lang w:eastAsia="zh-CN"/>
              </w:rPr>
            </w:pPr>
            <w:r>
              <w:rPr>
                <w:rFonts w:hint="eastAsia"/>
                <w:color w:val="000000" w:themeColor="text1"/>
                <w:lang w:eastAsia="zh-CN"/>
              </w:rPr>
              <w:t xml:space="preserve">Other </w:t>
            </w:r>
            <w:r>
              <w:rPr>
                <w:color w:val="000000" w:themeColor="text1"/>
                <w:lang w:eastAsia="zh-CN"/>
              </w:rPr>
              <w:t>fields</w:t>
            </w:r>
            <w:r>
              <w:rPr>
                <w:rFonts w:hint="eastAsia"/>
                <w:color w:val="000000" w:themeColor="text1"/>
                <w:lang w:eastAsia="zh-CN"/>
              </w:rPr>
              <w:t xml:space="preserve"> </w:t>
            </w:r>
            <w:r>
              <w:rPr>
                <w:color w:val="000000" w:themeColor="text1"/>
                <w:lang w:eastAsia="zh-CN"/>
              </w:rPr>
              <w:t>in DL DCI</w:t>
            </w:r>
          </w:p>
        </w:tc>
        <w:tc>
          <w:tcPr>
            <w:tcW w:w="1423" w:type="pct"/>
            <w:vMerge/>
          </w:tcPr>
          <w:p w:rsidR="00EA5A5A" w:rsidRDefault="00EA5A5A" w:rsidP="00B56436">
            <w:pPr>
              <w:rPr>
                <w:lang w:val="en-AU" w:eastAsia="zh-CN"/>
              </w:rPr>
            </w:pPr>
          </w:p>
        </w:tc>
      </w:tr>
      <w:tr w:rsidR="008170F2" w:rsidTr="00B56436">
        <w:trPr>
          <w:jc w:val="center"/>
        </w:trPr>
        <w:tc>
          <w:tcPr>
            <w:tcW w:w="1147" w:type="pct"/>
            <w:vMerge w:val="restart"/>
            <w:vAlign w:val="center"/>
          </w:tcPr>
          <w:p w:rsidR="008170F2" w:rsidRDefault="008170F2" w:rsidP="00B56436">
            <w:pPr>
              <w:jc w:val="center"/>
            </w:pPr>
            <w:r>
              <w:rPr>
                <w:rFonts w:hint="eastAsia"/>
                <w:color w:val="000000" w:themeColor="text1"/>
                <w:lang w:eastAsia="zh-CN"/>
              </w:rPr>
              <w:t>HARQ-ACK codebook</w:t>
            </w:r>
          </w:p>
        </w:tc>
        <w:tc>
          <w:tcPr>
            <w:tcW w:w="2430" w:type="pct"/>
          </w:tcPr>
          <w:p w:rsidR="008170F2" w:rsidRDefault="008170F2" w:rsidP="00B56436">
            <w:pPr>
              <w:rPr>
                <w:lang w:val="en-GB" w:eastAsia="zh-CN"/>
              </w:rPr>
            </w:pPr>
            <w:r>
              <w:rPr>
                <w:rFonts w:hint="eastAsia"/>
              </w:rPr>
              <w:t xml:space="preserve">semi-static HARQ-ACK codebook </w:t>
            </w:r>
          </w:p>
        </w:tc>
        <w:tc>
          <w:tcPr>
            <w:tcW w:w="1423" w:type="pct"/>
          </w:tcPr>
          <w:p w:rsidR="008170F2" w:rsidRPr="007874A4" w:rsidRDefault="00EA5A5A" w:rsidP="00B56436">
            <w:pPr>
              <w:rPr>
                <w:lang w:val="en-AU" w:eastAsia="zh-CN"/>
              </w:rPr>
            </w:pPr>
            <w:r>
              <w:rPr>
                <w:lang w:val="en-AU" w:eastAsia="zh-CN"/>
              </w:rPr>
              <w:t>Minor</w:t>
            </w:r>
            <w:r w:rsidR="008170F2">
              <w:rPr>
                <w:lang w:val="en-AU" w:eastAsia="zh-CN"/>
              </w:rPr>
              <w:t xml:space="preserve"> impact</w:t>
            </w:r>
          </w:p>
        </w:tc>
      </w:tr>
      <w:tr w:rsidR="008170F2" w:rsidTr="00B56436">
        <w:trPr>
          <w:jc w:val="center"/>
        </w:trPr>
        <w:tc>
          <w:tcPr>
            <w:tcW w:w="1147" w:type="pct"/>
            <w:vMerge/>
            <w:vAlign w:val="center"/>
          </w:tcPr>
          <w:p w:rsidR="008170F2" w:rsidRDefault="008170F2" w:rsidP="00B56436">
            <w:pPr>
              <w:jc w:val="center"/>
            </w:pPr>
          </w:p>
        </w:tc>
        <w:tc>
          <w:tcPr>
            <w:tcW w:w="2430" w:type="pct"/>
          </w:tcPr>
          <w:p w:rsidR="008170F2" w:rsidRDefault="008170F2" w:rsidP="00B56436">
            <w:r>
              <w:rPr>
                <w:rFonts w:hint="eastAsia"/>
              </w:rPr>
              <w:t>dynamic HARQ-ACK codebook</w:t>
            </w:r>
          </w:p>
        </w:tc>
        <w:tc>
          <w:tcPr>
            <w:tcW w:w="1423" w:type="pct"/>
          </w:tcPr>
          <w:p w:rsidR="008170F2" w:rsidRDefault="00EA5A5A" w:rsidP="00B56436">
            <w:pPr>
              <w:rPr>
                <w:lang w:val="en-AU" w:eastAsia="zh-CN"/>
              </w:rPr>
            </w:pPr>
            <w:r>
              <w:rPr>
                <w:lang w:val="en-AU" w:eastAsia="zh-CN"/>
              </w:rPr>
              <w:t>Minor</w:t>
            </w:r>
            <w:r w:rsidR="008170F2">
              <w:rPr>
                <w:rFonts w:hint="eastAsia"/>
                <w:lang w:val="en-AU" w:eastAsia="zh-CN"/>
              </w:rPr>
              <w:t xml:space="preserve"> </w:t>
            </w:r>
            <w:r w:rsidR="008170F2">
              <w:rPr>
                <w:lang w:val="en-AU" w:eastAsia="zh-CN"/>
              </w:rPr>
              <w:t>impact</w:t>
            </w:r>
          </w:p>
        </w:tc>
      </w:tr>
      <w:tr w:rsidR="00035326" w:rsidRPr="007874A4" w:rsidTr="003721BA">
        <w:tblPrEx>
          <w:jc w:val="left"/>
        </w:tblPrEx>
        <w:trPr>
          <w:trHeight w:val="397"/>
        </w:trPr>
        <w:tc>
          <w:tcPr>
            <w:tcW w:w="1147" w:type="pct"/>
          </w:tcPr>
          <w:p w:rsidR="00035326" w:rsidRDefault="00035326" w:rsidP="00D265B7">
            <w:pPr>
              <w:jc w:val="center"/>
            </w:pPr>
            <w:r>
              <w:rPr>
                <w:color w:val="000000" w:themeColor="text1"/>
                <w:lang w:eastAsia="zh-CN"/>
              </w:rPr>
              <w:t>Channel processing</w:t>
            </w:r>
          </w:p>
        </w:tc>
        <w:tc>
          <w:tcPr>
            <w:tcW w:w="2430" w:type="pct"/>
          </w:tcPr>
          <w:p w:rsidR="00035326" w:rsidRDefault="00035326" w:rsidP="00D265B7">
            <w:pPr>
              <w:rPr>
                <w:lang w:val="en-GB" w:eastAsia="zh-CN"/>
              </w:rPr>
            </w:pPr>
            <w:r>
              <w:t>PHY processing can be CBG based, if configured</w:t>
            </w:r>
          </w:p>
        </w:tc>
        <w:tc>
          <w:tcPr>
            <w:tcW w:w="1423" w:type="pct"/>
          </w:tcPr>
          <w:p w:rsidR="00035326" w:rsidRPr="007874A4" w:rsidRDefault="00035326" w:rsidP="003721BA">
            <w:pPr>
              <w:rPr>
                <w:lang w:val="en-AU" w:eastAsia="zh-CN"/>
              </w:rPr>
            </w:pPr>
            <w:r>
              <w:rPr>
                <w:lang w:val="en-AU" w:eastAsia="zh-CN"/>
              </w:rPr>
              <w:t>Moderate</w:t>
            </w:r>
          </w:p>
        </w:tc>
      </w:tr>
    </w:tbl>
    <w:p w:rsidR="008170F2" w:rsidRDefault="008170F2" w:rsidP="00EA2A61">
      <w:pPr>
        <w:rPr>
          <w:lang w:val="en-AU" w:eastAsia="zh-CN"/>
        </w:rPr>
      </w:pPr>
    </w:p>
    <w:p w:rsidR="00486575" w:rsidRDefault="000E3E7F" w:rsidP="00EA2A61">
      <w:pPr>
        <w:rPr>
          <w:b/>
          <w:i/>
          <w:lang w:val="en-AU"/>
        </w:rPr>
      </w:pPr>
      <w:r>
        <w:rPr>
          <w:b/>
          <w:i/>
          <w:lang w:val="en-AU"/>
        </w:rPr>
        <w:t>Observation</w:t>
      </w:r>
      <w:r w:rsidR="006D3EE9">
        <w:rPr>
          <w:b/>
          <w:i/>
          <w:lang w:val="en-AU"/>
        </w:rPr>
        <w:t xml:space="preserve"> </w:t>
      </w:r>
      <w:r>
        <w:rPr>
          <w:b/>
          <w:i/>
          <w:lang w:val="en-AU"/>
        </w:rPr>
        <w:t>2</w:t>
      </w:r>
      <w:r w:rsidR="00EA2A61" w:rsidRPr="00092EC7">
        <w:rPr>
          <w:b/>
          <w:i/>
          <w:lang w:val="en-AU"/>
        </w:rPr>
        <w:t>:</w:t>
      </w:r>
      <w:r w:rsidR="006D3EE9">
        <w:rPr>
          <w:b/>
          <w:i/>
          <w:lang w:val="en-AU"/>
        </w:rPr>
        <w:t xml:space="preserve"> </w:t>
      </w:r>
      <w:r w:rsidR="00EA5A5A">
        <w:rPr>
          <w:b/>
          <w:i/>
          <w:lang w:val="en-AU"/>
        </w:rPr>
        <w:t>The overall</w:t>
      </w:r>
      <w:r w:rsidR="006D3EE9">
        <w:rPr>
          <w:b/>
          <w:i/>
          <w:lang w:val="en-AU"/>
        </w:rPr>
        <w:t xml:space="preserve"> specification impact </w:t>
      </w:r>
      <w:r w:rsidR="00EA5A5A">
        <w:rPr>
          <w:b/>
          <w:i/>
          <w:lang w:val="en-AU"/>
        </w:rPr>
        <w:t>can be moderate</w:t>
      </w:r>
      <w:r w:rsidR="00035326">
        <w:rPr>
          <w:b/>
          <w:i/>
          <w:lang w:val="en-AU"/>
        </w:rPr>
        <w:t>, or acceptable</w:t>
      </w:r>
      <w:r w:rsidR="006D3EE9">
        <w:rPr>
          <w:b/>
          <w:i/>
          <w:lang w:val="en-AU"/>
        </w:rPr>
        <w:t xml:space="preserve"> for Alt 4</w:t>
      </w:r>
      <w:r w:rsidR="00035326">
        <w:rPr>
          <w:b/>
          <w:i/>
          <w:lang w:val="en-AU"/>
        </w:rPr>
        <w:t>, considering the benefits it provides</w:t>
      </w:r>
      <w:r w:rsidR="00EA2A61" w:rsidRPr="00886080">
        <w:rPr>
          <w:b/>
          <w:i/>
          <w:lang w:val="en-AU"/>
        </w:rPr>
        <w:t>.</w:t>
      </w:r>
    </w:p>
    <w:p w:rsidR="002864D4" w:rsidRPr="003721BA" w:rsidRDefault="002864D4" w:rsidP="00EA2A61">
      <w:pPr>
        <w:rPr>
          <w:lang w:val="en-AU"/>
        </w:rPr>
      </w:pPr>
    </w:p>
    <w:p w:rsidR="00B52693" w:rsidRDefault="0085719A" w:rsidP="00EA2A61">
      <w:pPr>
        <w:rPr>
          <w:lang w:eastAsia="zh-CN"/>
        </w:rPr>
      </w:pPr>
      <w:r>
        <w:rPr>
          <w:rFonts w:hint="eastAsia"/>
          <w:lang w:eastAsia="zh-CN"/>
        </w:rPr>
        <w:t xml:space="preserve">For Alt 3, </w:t>
      </w:r>
      <w:r>
        <w:rPr>
          <w:lang w:eastAsia="zh-CN"/>
        </w:rPr>
        <w:t>separate TB per slot is transmitted.</w:t>
      </w:r>
      <w:r w:rsidR="007E3F88">
        <w:rPr>
          <w:lang w:eastAsia="zh-CN"/>
        </w:rPr>
        <w:t xml:space="preserve"> </w:t>
      </w:r>
      <w:r w:rsidR="00413B66">
        <w:rPr>
          <w:lang w:eastAsia="zh-CN"/>
        </w:rPr>
        <w:t>New DCI design for s</w:t>
      </w:r>
      <w:r w:rsidR="007E3F88">
        <w:rPr>
          <w:lang w:eastAsia="zh-CN"/>
        </w:rPr>
        <w:t>lot-specific NDI</w:t>
      </w:r>
      <w:r w:rsidR="00894109">
        <w:rPr>
          <w:lang w:eastAsia="zh-CN"/>
        </w:rPr>
        <w:t>, RV</w:t>
      </w:r>
      <w:r w:rsidR="007E3F88">
        <w:rPr>
          <w:lang w:eastAsia="zh-CN"/>
        </w:rPr>
        <w:t xml:space="preserve"> and CBGTI </w:t>
      </w:r>
      <w:r w:rsidR="00894109">
        <w:rPr>
          <w:lang w:eastAsia="zh-CN"/>
        </w:rPr>
        <w:t xml:space="preserve">for separate TB </w:t>
      </w:r>
      <w:r w:rsidR="007E3F88">
        <w:rPr>
          <w:lang w:eastAsia="zh-CN"/>
        </w:rPr>
        <w:t>would be expected.</w:t>
      </w:r>
      <w:r w:rsidR="005866C6">
        <w:rPr>
          <w:lang w:eastAsia="zh-CN"/>
        </w:rPr>
        <w:t xml:space="preserve"> For semi-static HARQ-ACK codebook, different PDSCH slot can corresponding to different value of K1. Whether or how to indicate K1 for each PDSCH in multi-slot scheduling is not clear.</w:t>
      </w:r>
      <w:r w:rsidR="005866C6" w:rsidRPr="005866C6">
        <w:rPr>
          <w:lang w:eastAsia="zh-CN"/>
        </w:rPr>
        <w:t xml:space="preserve"> </w:t>
      </w:r>
      <w:r w:rsidR="005866C6">
        <w:rPr>
          <w:lang w:eastAsia="zh-CN"/>
        </w:rPr>
        <w:t>For dynamic HARQ-ACK codebook,</w:t>
      </w:r>
      <w:r w:rsidR="00503218">
        <w:rPr>
          <w:lang w:eastAsia="zh-CN"/>
        </w:rPr>
        <w:t xml:space="preserve"> only one DCI within a PDCCH monitoring occasion correspond</w:t>
      </w:r>
      <w:r w:rsidR="0036119C">
        <w:rPr>
          <w:lang w:eastAsia="zh-CN"/>
        </w:rPr>
        <w:t>s</w:t>
      </w:r>
      <w:r w:rsidR="00503218">
        <w:rPr>
          <w:lang w:eastAsia="zh-CN"/>
        </w:rPr>
        <w:t xml:space="preserve"> to different PDSCH</w:t>
      </w:r>
      <w:r w:rsidR="0036119C">
        <w:rPr>
          <w:lang w:eastAsia="zh-CN"/>
        </w:rPr>
        <w:t xml:space="preserve">s. How the counter-DAI and total-DAI is counted for different </w:t>
      </w:r>
      <w:r w:rsidR="0036119C">
        <w:rPr>
          <w:lang w:eastAsia="zh-CN"/>
        </w:rPr>
        <w:lastRenderedPageBreak/>
        <w:t xml:space="preserve">PDSCH </w:t>
      </w:r>
      <w:r w:rsidR="00EA5A5A">
        <w:rPr>
          <w:lang w:eastAsia="zh-CN"/>
        </w:rPr>
        <w:t>also requires further discussion</w:t>
      </w:r>
      <w:r w:rsidR="0036119C">
        <w:rPr>
          <w:lang w:eastAsia="zh-CN"/>
        </w:rPr>
        <w:t>.</w:t>
      </w:r>
      <w:r w:rsidR="00EA5A5A">
        <w:rPr>
          <w:lang w:eastAsia="zh-CN"/>
        </w:rPr>
        <w:t xml:space="preserve"> If CBG operation is configured, which is likely as the TB could be large in higher SCS, further specification work can be foreseen for HARQ codebook generation. </w:t>
      </w:r>
    </w:p>
    <w:p w:rsidR="00157FC3" w:rsidRPr="00CF195E" w:rsidRDefault="00747F48" w:rsidP="00CF195E">
      <w:pPr>
        <w:pStyle w:val="1"/>
      </w:pPr>
      <w:r w:rsidRPr="00CF195E">
        <w:t>Conclusion</w:t>
      </w:r>
      <w:r w:rsidR="006B1FD5" w:rsidRPr="00CF195E">
        <w:t>s</w:t>
      </w:r>
    </w:p>
    <w:p w:rsidR="00037969" w:rsidRDefault="00037969" w:rsidP="00037969">
      <w:pPr>
        <w:rPr>
          <w:lang w:val="en-GB"/>
        </w:rPr>
      </w:pPr>
      <w:r w:rsidRPr="00251764">
        <w:rPr>
          <w:lang w:val="en-GB"/>
        </w:rPr>
        <w:t>According to the above discussions,</w:t>
      </w:r>
      <w:r>
        <w:rPr>
          <w:lang w:val="en-GB"/>
        </w:rPr>
        <w:t xml:space="preserve"> we have the following observations</w:t>
      </w:r>
      <w:r w:rsidRPr="00251764">
        <w:rPr>
          <w:lang w:val="en-GB"/>
        </w:rPr>
        <w:t>:</w:t>
      </w:r>
    </w:p>
    <w:p w:rsidR="00CF5B34" w:rsidRDefault="00CF5B34" w:rsidP="003A1C5F">
      <w:pPr>
        <w:rPr>
          <w:b/>
          <w:i/>
          <w:lang w:val="en-AU"/>
        </w:rPr>
      </w:pPr>
      <w:r>
        <w:rPr>
          <w:b/>
          <w:i/>
          <w:lang w:val="en-AU"/>
        </w:rPr>
        <w:t>Observation</w:t>
      </w:r>
      <w:r w:rsidRPr="00092EC7">
        <w:rPr>
          <w:b/>
          <w:i/>
          <w:lang w:val="en-AU"/>
        </w:rPr>
        <w:t xml:space="preserve"> </w:t>
      </w:r>
      <w:r>
        <w:rPr>
          <w:b/>
          <w:i/>
          <w:lang w:val="en-AU"/>
        </w:rPr>
        <w:t>1</w:t>
      </w:r>
      <w:r w:rsidRPr="00092EC7">
        <w:rPr>
          <w:b/>
          <w:i/>
          <w:lang w:val="en-AU"/>
        </w:rPr>
        <w:t>:</w:t>
      </w:r>
      <w:r>
        <w:rPr>
          <w:b/>
          <w:i/>
          <w:lang w:val="en-AU"/>
        </w:rPr>
        <w:t xml:space="preserve"> The multi-slot scheduling in LTE LAA and NR-U consider only uplink transmission. The mechanisms in LTE LAA or NR-U cannot be </w:t>
      </w:r>
      <w:r w:rsidR="00FF53A7" w:rsidRPr="003721BA">
        <w:rPr>
          <w:b/>
          <w:i/>
          <w:lang w:val="en-AU"/>
        </w:rPr>
        <w:t>easily adapted</w:t>
      </w:r>
      <w:r w:rsidR="00FF53A7" w:rsidRPr="00035326">
        <w:rPr>
          <w:b/>
          <w:i/>
          <w:lang w:val="en-AU"/>
        </w:rPr>
        <w:t xml:space="preserve"> to</w:t>
      </w:r>
      <w:r w:rsidRPr="00886080">
        <w:rPr>
          <w:b/>
          <w:i/>
          <w:lang w:val="en-AU"/>
        </w:rPr>
        <w:t xml:space="preserve"> </w:t>
      </w:r>
      <w:r>
        <w:rPr>
          <w:b/>
          <w:i/>
          <w:lang w:val="en-AU"/>
        </w:rPr>
        <w:t xml:space="preserve">downlink </w:t>
      </w:r>
      <w:r w:rsidRPr="00886080">
        <w:rPr>
          <w:b/>
          <w:i/>
          <w:lang w:val="en-AU"/>
        </w:rPr>
        <w:t xml:space="preserve">contiguous data transmission </w:t>
      </w:r>
      <w:r>
        <w:rPr>
          <w:b/>
          <w:i/>
          <w:lang w:val="en-AU"/>
        </w:rPr>
        <w:t>for</w:t>
      </w:r>
      <w:r w:rsidRPr="00886080">
        <w:rPr>
          <w:b/>
          <w:i/>
          <w:lang w:val="en-AU"/>
        </w:rPr>
        <w:t xml:space="preserve"> cross-carrier scheduling with different numerologies</w:t>
      </w:r>
      <w:r>
        <w:rPr>
          <w:b/>
          <w:i/>
          <w:lang w:val="en-AU"/>
        </w:rPr>
        <w:t xml:space="preserve"> due to different design targets and motivations</w:t>
      </w:r>
      <w:r w:rsidRPr="00886080">
        <w:rPr>
          <w:b/>
          <w:i/>
          <w:lang w:val="en-AU"/>
        </w:rPr>
        <w:t>.</w:t>
      </w:r>
    </w:p>
    <w:p w:rsidR="00035326" w:rsidRDefault="00035326" w:rsidP="00035326">
      <w:pPr>
        <w:rPr>
          <w:b/>
          <w:i/>
          <w:lang w:val="en-AU"/>
        </w:rPr>
      </w:pPr>
      <w:r>
        <w:rPr>
          <w:b/>
          <w:i/>
          <w:lang w:val="en-AU"/>
        </w:rPr>
        <w:t>Observation 2</w:t>
      </w:r>
      <w:r w:rsidRPr="00092EC7">
        <w:rPr>
          <w:b/>
          <w:i/>
          <w:lang w:val="en-AU"/>
        </w:rPr>
        <w:t>:</w:t>
      </w:r>
      <w:r>
        <w:rPr>
          <w:b/>
          <w:i/>
          <w:lang w:val="en-AU"/>
        </w:rPr>
        <w:t xml:space="preserve"> The overall specification impact can be moderate, or acceptable for Alt 4, considering the benefits it provides</w:t>
      </w:r>
      <w:r w:rsidRPr="00886080">
        <w:rPr>
          <w:b/>
          <w:i/>
          <w:lang w:val="en-AU"/>
        </w:rPr>
        <w:t>.</w:t>
      </w:r>
    </w:p>
    <w:p w:rsidR="006B1FD5" w:rsidRPr="003A1C5F" w:rsidRDefault="006B1FD5" w:rsidP="006B1FD5">
      <w:pPr>
        <w:rPr>
          <w:kern w:val="2"/>
          <w:lang w:val="en-AU" w:eastAsia="zh-CN"/>
        </w:rPr>
      </w:pPr>
    </w:p>
    <w:p w:rsidR="001D780E" w:rsidRPr="00CF195E" w:rsidRDefault="001D780E" w:rsidP="00CF195E">
      <w:pPr>
        <w:pStyle w:val="1"/>
        <w:numPr>
          <w:ilvl w:val="0"/>
          <w:numId w:val="0"/>
        </w:numPr>
        <w:ind w:left="432" w:hanging="432"/>
      </w:pPr>
      <w:bookmarkStart w:id="8" w:name="_Ref124589665"/>
      <w:bookmarkStart w:id="9" w:name="_Ref71620620"/>
      <w:bookmarkStart w:id="10" w:name="_Ref124671424"/>
      <w:r w:rsidRPr="00CF195E">
        <w:t>References</w:t>
      </w:r>
    </w:p>
    <w:p w:rsidR="00EA2A61" w:rsidRDefault="00EA2A61" w:rsidP="00EA2A61">
      <w:pPr>
        <w:pStyle w:val="References"/>
      </w:pPr>
      <w:bookmarkStart w:id="11" w:name="_Ref533606242"/>
      <w:bookmarkStart w:id="12" w:name="_Ref524600064"/>
      <w:bookmarkEnd w:id="8"/>
      <w:bookmarkEnd w:id="9"/>
      <w:bookmarkEnd w:id="10"/>
      <w:r w:rsidRPr="001706B1">
        <w:t>RAN1 Chairman’s notes, 3GPP TSG RAN WG1 RAN1</w:t>
      </w:r>
      <w:r>
        <w:t>#96</w:t>
      </w:r>
      <w:r w:rsidRPr="009C4BCD">
        <w:t>.</w:t>
      </w:r>
      <w:bookmarkEnd w:id="11"/>
    </w:p>
    <w:p w:rsidR="00EA2A61" w:rsidRDefault="007A1DE2" w:rsidP="007A1DE2">
      <w:pPr>
        <w:pStyle w:val="References"/>
      </w:pPr>
      <w:bookmarkStart w:id="13" w:name="_Ref4776735"/>
      <w:r w:rsidRPr="007A1DE2">
        <w:t>[96b-NR-09] Email discussion summary on cross-carrier scheduling with different numerologies</w:t>
      </w:r>
      <w:r w:rsidR="00CF5B34">
        <w:t>.</w:t>
      </w:r>
      <w:bookmarkEnd w:id="13"/>
    </w:p>
    <w:p w:rsidR="00EA2A61" w:rsidRDefault="00EA2A61" w:rsidP="0059485D">
      <w:pPr>
        <w:pStyle w:val="References"/>
      </w:pPr>
      <w:bookmarkStart w:id="14" w:name="_Ref533675166"/>
      <w:bookmarkEnd w:id="12"/>
      <w:r w:rsidRPr="00327131">
        <w:t>R1-</w:t>
      </w:r>
      <w:r w:rsidR="0059485D" w:rsidRPr="0059485D">
        <w:t>1906601</w:t>
      </w:r>
      <w:r>
        <w:t>, “</w:t>
      </w:r>
      <w:r w:rsidRPr="00536EEA">
        <w:t>Evaluations for contiguous data transmission with cross-carrier scheduling</w:t>
      </w:r>
      <w:r>
        <w:t>”,</w:t>
      </w:r>
      <w:r w:rsidRPr="00536EEA">
        <w:t xml:space="preserve"> </w:t>
      </w:r>
      <w:r>
        <w:t>Huawei, HiSilicon</w:t>
      </w:r>
      <w:r w:rsidRPr="009C4BCD">
        <w:t xml:space="preserve">, </w:t>
      </w:r>
      <w:r w:rsidR="00EA5A5A">
        <w:t>Reno</w:t>
      </w:r>
      <w:r w:rsidRPr="00536EEA">
        <w:t xml:space="preserve">, </w:t>
      </w:r>
      <w:r w:rsidR="00EA5A5A">
        <w:t>USA</w:t>
      </w:r>
      <w:r w:rsidRPr="00536EEA">
        <w:t xml:space="preserve">, </w:t>
      </w:r>
      <w:r w:rsidR="00EA5A5A" w:rsidRPr="00EA5A5A">
        <w:t>May 13 – 17, 2019</w:t>
      </w:r>
      <w:r w:rsidRPr="00327131">
        <w:t>.</w:t>
      </w:r>
      <w:bookmarkEnd w:id="14"/>
    </w:p>
    <w:p w:rsidR="00136A23" w:rsidRPr="00035326" w:rsidRDefault="00136A23" w:rsidP="00CF195E">
      <w:pPr>
        <w:rPr>
          <w:kern w:val="2"/>
          <w:lang w:eastAsia="zh-CN"/>
        </w:rPr>
      </w:pPr>
    </w:p>
    <w:p w:rsidR="005743DE" w:rsidRPr="00CF195E" w:rsidRDefault="005743DE" w:rsidP="00A1200D">
      <w:pPr>
        <w:pStyle w:val="1"/>
        <w:numPr>
          <w:ilvl w:val="0"/>
          <w:numId w:val="0"/>
        </w:numPr>
        <w:ind w:left="432" w:hanging="432"/>
      </w:pPr>
      <w:r w:rsidRPr="00CF195E">
        <w:t xml:space="preserve">Appendix A. </w:t>
      </w:r>
      <w:r w:rsidR="00DA6575">
        <w:t xml:space="preserve">Determination of the number of CBGs for a TB and </w:t>
      </w:r>
      <w:r w:rsidR="002D1A54">
        <w:t>each CBG</w:t>
      </w:r>
      <w:r w:rsidR="00DA6575">
        <w:t xml:space="preserve"> construction in current specification</w:t>
      </w:r>
    </w:p>
    <w:bookmarkEnd w:id="5"/>
    <w:p w:rsidR="00DA6575" w:rsidRPr="003A60CC" w:rsidRDefault="00DA6575" w:rsidP="00DA6575">
      <w:pPr>
        <w:rPr>
          <w:rFonts w:eastAsia="Malgun Gothic"/>
        </w:rPr>
      </w:pPr>
      <w:r w:rsidRPr="003A60CC">
        <w:rPr>
          <w:rFonts w:eastAsia="Malgun Gothic"/>
        </w:rPr>
        <w:t xml:space="preserve">If a UE is configured to receive code block group (CBG) based transmissions by receiving the higher layer parameter </w:t>
      </w:r>
      <w:r w:rsidRPr="003A60CC">
        <w:rPr>
          <w:i/>
        </w:rPr>
        <w:t>codeBlockGroupTransmission</w:t>
      </w:r>
      <w:r w:rsidRPr="003A60CC">
        <w:rPr>
          <w:rFonts w:eastAsia="Malgun Gothic"/>
        </w:rPr>
        <w:t xml:space="preserve"> for PDSCH, the UE shall determine the number of CBGs for a</w:t>
      </w:r>
      <w:r>
        <w:rPr>
          <w:rFonts w:eastAsia="Malgun Gothic"/>
        </w:rPr>
        <w:t xml:space="preserve"> transport block reception</w:t>
      </w:r>
      <w:r w:rsidRPr="003A60CC">
        <w:rPr>
          <w:rFonts w:eastAsia="Malgun Gothic"/>
        </w:rPr>
        <w:t xml:space="preserve"> as </w:t>
      </w:r>
    </w:p>
    <w:p w:rsidR="00DA6575" w:rsidRDefault="00DA6575" w:rsidP="00DA6575">
      <w:pPr>
        <w:pStyle w:val="EQ"/>
        <w:rPr>
          <w:rFonts w:eastAsia="Malgun Gothic"/>
        </w:rPr>
      </w:pPr>
      <w:r>
        <w:rPr>
          <w:rFonts w:eastAsia="Malgun Gothic"/>
        </w:rPr>
        <w:tab/>
      </w:r>
      <w:r w:rsidRPr="003756D9">
        <w:rPr>
          <w:rFonts w:eastAsia="Malgun Gothic"/>
          <w:position w:val="-10"/>
        </w:rPr>
        <w:object w:dxaOrig="1300" w:dyaOrig="300">
          <v:shape id="_x0000_i1027" type="#_x0000_t75" style="width:65.3pt;height:16.4pt" o:ole="">
            <v:imagedata r:id="rId13" o:title=""/>
          </v:shape>
          <o:OLEObject Type="Embed" ProgID="Equation.3" ShapeID="_x0000_i1027" DrawAspect="Content" ObjectID="_1618466649" r:id="rId14"/>
        </w:object>
      </w:r>
      <w:r>
        <w:rPr>
          <w:rFonts w:eastAsia="Malgun Gothic"/>
        </w:rPr>
        <w:t>,</w:t>
      </w:r>
    </w:p>
    <w:p w:rsidR="00DA6575" w:rsidRDefault="00DA6575" w:rsidP="00DA6575">
      <w:pPr>
        <w:rPr>
          <w:color w:val="000000"/>
          <w:lang w:eastAsia="ja-JP"/>
        </w:rPr>
      </w:pPr>
      <w:r>
        <w:rPr>
          <w:rFonts w:eastAsia="Malgun Gothic"/>
        </w:rPr>
        <w:t xml:space="preserve">where </w:t>
      </w:r>
      <w:r w:rsidRPr="003A60CC">
        <w:rPr>
          <w:i/>
          <w:color w:val="000000"/>
          <w:lang w:eastAsia="ja-JP"/>
        </w:rPr>
        <w:t>N</w:t>
      </w:r>
      <w:r w:rsidRPr="003A60CC">
        <w:rPr>
          <w:color w:val="000000"/>
          <w:lang w:eastAsia="ja-JP"/>
        </w:rPr>
        <w:t xml:space="preserve"> is the maximum number of CBGs per transport block as configured by </w:t>
      </w:r>
      <w:r w:rsidRPr="003A60CC">
        <w:rPr>
          <w:i/>
          <w:color w:val="000000"/>
          <w:lang w:eastAsia="ja-JP"/>
        </w:rPr>
        <w:t>maxCodeBlockGroupsPerTransportBlock</w:t>
      </w:r>
      <w:r w:rsidRPr="003A60CC">
        <w:rPr>
          <w:color w:val="000000"/>
          <w:lang w:eastAsia="ja-JP"/>
        </w:rPr>
        <w:t xml:space="preserve"> for PDSCH, and </w:t>
      </w:r>
      <w:r w:rsidRPr="003A60CC">
        <w:rPr>
          <w:i/>
          <w:color w:val="000000"/>
          <w:lang w:eastAsia="ja-JP"/>
        </w:rPr>
        <w:t>C</w:t>
      </w:r>
      <w:r w:rsidRPr="003A60CC">
        <w:rPr>
          <w:color w:val="000000"/>
          <w:lang w:eastAsia="ja-JP"/>
        </w:rPr>
        <w:t xml:space="preserve"> is the number of code blocks in the </w:t>
      </w:r>
      <w:r>
        <w:rPr>
          <w:color w:val="000000"/>
          <w:lang w:eastAsia="ja-JP"/>
        </w:rPr>
        <w:t>transport block</w:t>
      </w:r>
      <w:r w:rsidRPr="003A60CC">
        <w:rPr>
          <w:color w:val="000000"/>
          <w:lang w:eastAsia="ja-JP"/>
        </w:rPr>
        <w:t xml:space="preserve"> according to the procedure defined in Subclause 7.2.3 of [5, TS 38.212]</w:t>
      </w:r>
      <w:r>
        <w:rPr>
          <w:color w:val="000000"/>
          <w:lang w:eastAsia="ja-JP"/>
        </w:rPr>
        <w:t>.</w:t>
      </w:r>
    </w:p>
    <w:p w:rsidR="00DA6575" w:rsidRDefault="00DA6575" w:rsidP="00DA6575">
      <w:pPr>
        <w:rPr>
          <w:rFonts w:eastAsia="Malgun Gothic"/>
        </w:rPr>
      </w:pPr>
      <w:r>
        <w:rPr>
          <w:color w:val="000000"/>
          <w:lang w:eastAsia="ja-JP"/>
        </w:rPr>
        <w:t xml:space="preserve">Define </w:t>
      </w:r>
      <w:r w:rsidRPr="003756D9">
        <w:rPr>
          <w:rFonts w:eastAsia="Malgun Gothic"/>
          <w:position w:val="-10"/>
        </w:rPr>
        <w:object w:dxaOrig="1460" w:dyaOrig="300">
          <v:shape id="_x0000_i1028" type="#_x0000_t75" style="width:74pt;height:16.4pt" o:ole="">
            <v:imagedata r:id="rId15" o:title=""/>
          </v:shape>
          <o:OLEObject Type="Embed" ProgID="Equation.3" ShapeID="_x0000_i1028" DrawAspect="Content" ObjectID="_1618466650" r:id="rId16"/>
        </w:object>
      </w:r>
      <w:r>
        <w:rPr>
          <w:rFonts w:eastAsia="Malgun Gothic"/>
        </w:rPr>
        <w:t xml:space="preserve">, </w:t>
      </w:r>
      <w:r w:rsidRPr="003756D9">
        <w:rPr>
          <w:rFonts w:eastAsia="Malgun Gothic"/>
          <w:position w:val="-26"/>
        </w:rPr>
        <w:object w:dxaOrig="940" w:dyaOrig="620">
          <v:shape id="_x0000_i1029" type="#_x0000_t75" style="width:46.9pt;height:30.45pt" o:ole="">
            <v:imagedata r:id="rId17" o:title=""/>
          </v:shape>
          <o:OLEObject Type="Embed" ProgID="Equation.3" ShapeID="_x0000_i1029" DrawAspect="Content" ObjectID="_1618466651" r:id="rId18"/>
        </w:object>
      </w:r>
      <w:r>
        <w:rPr>
          <w:rFonts w:eastAsia="Malgun Gothic"/>
        </w:rPr>
        <w:t xml:space="preserve">, and </w:t>
      </w:r>
      <w:r w:rsidRPr="003756D9">
        <w:rPr>
          <w:rFonts w:eastAsia="Malgun Gothic"/>
          <w:position w:val="-26"/>
        </w:rPr>
        <w:object w:dxaOrig="960" w:dyaOrig="620">
          <v:shape id="_x0000_i1030" type="#_x0000_t75" style="width:47.55pt;height:30.45pt" o:ole="">
            <v:imagedata r:id="rId19" o:title=""/>
          </v:shape>
          <o:OLEObject Type="Embed" ProgID="Equation.3" ShapeID="_x0000_i1030" DrawAspect="Content" ObjectID="_1618466652" r:id="rId20"/>
        </w:object>
      </w:r>
      <w:r>
        <w:rPr>
          <w:rFonts w:eastAsia="Malgun Gothic"/>
        </w:rPr>
        <w:t>.</w:t>
      </w:r>
    </w:p>
    <w:p w:rsidR="007C3FA8" w:rsidRPr="00CF195E" w:rsidRDefault="00DA6575" w:rsidP="00DA6575">
      <w:pPr>
        <w:rPr>
          <w:kern w:val="2"/>
          <w:lang w:eastAsia="zh-CN"/>
        </w:rPr>
      </w:pPr>
      <w:r>
        <w:rPr>
          <w:rFonts w:eastAsia="Malgun Gothic"/>
        </w:rPr>
        <w:t xml:space="preserve">If </w:t>
      </w:r>
      <w:r w:rsidRPr="003756D9">
        <w:rPr>
          <w:rFonts w:eastAsia="Malgun Gothic"/>
          <w:position w:val="-10"/>
        </w:rPr>
        <w:object w:dxaOrig="660" w:dyaOrig="300">
          <v:shape id="_x0000_i1031" type="#_x0000_t75" style="width:33.8pt;height:16.4pt" o:ole="">
            <v:imagedata r:id="rId21" o:title=""/>
          </v:shape>
          <o:OLEObject Type="Embed" ProgID="Equation.3" ShapeID="_x0000_i1031" DrawAspect="Content" ObjectID="_1618466653" r:id="rId22"/>
        </w:object>
      </w:r>
      <w:r>
        <w:rPr>
          <w:rFonts w:eastAsia="Malgun Gothic"/>
        </w:rPr>
        <w:t xml:space="preserve">, CBG </w:t>
      </w:r>
      <w:r w:rsidRPr="003756D9">
        <w:rPr>
          <w:rFonts w:eastAsia="Malgun Gothic"/>
          <w:i/>
        </w:rPr>
        <w:t>m</w:t>
      </w:r>
      <w:r>
        <w:rPr>
          <w:rFonts w:eastAsia="Malgun Gothic"/>
        </w:rPr>
        <w:t xml:space="preserve">, </w:t>
      </w:r>
      <w:r w:rsidRPr="00AE43C5">
        <w:rPr>
          <w:rFonts w:eastAsia="Malgun Gothic"/>
          <w:position w:val="-10"/>
        </w:rPr>
        <w:object w:dxaOrig="1440" w:dyaOrig="300">
          <v:shape id="_x0000_i1032" type="#_x0000_t75" style="width:1in;height:16.4pt" o:ole="">
            <v:imagedata r:id="rId23" o:title=""/>
          </v:shape>
          <o:OLEObject Type="Embed" ProgID="Equation.3" ShapeID="_x0000_i1032" DrawAspect="Content" ObjectID="_1618466654" r:id="rId24"/>
        </w:object>
      </w:r>
      <w:r>
        <w:rPr>
          <w:rFonts w:eastAsia="Malgun Gothic"/>
        </w:rPr>
        <w:t xml:space="preserve">, consists of code blocks with indices </w:t>
      </w:r>
      <w:r w:rsidRPr="003756D9">
        <w:rPr>
          <w:rFonts w:eastAsia="Malgun Gothic"/>
          <w:position w:val="-10"/>
        </w:rPr>
        <w:object w:dxaOrig="2220" w:dyaOrig="300">
          <v:shape id="_x0000_i1033" type="#_x0000_t75" style="width:112.2pt;height:16.4pt" o:ole="">
            <v:imagedata r:id="rId25" o:title=""/>
          </v:shape>
          <o:OLEObject Type="Embed" ProgID="Equation.3" ShapeID="_x0000_i1033" DrawAspect="Content" ObjectID="_1618466655" r:id="rId26"/>
        </w:object>
      </w:r>
      <w:r>
        <w:rPr>
          <w:rFonts w:eastAsia="Malgun Gothic"/>
        </w:rPr>
        <w:t xml:space="preserve">. CBG </w:t>
      </w:r>
      <w:r w:rsidRPr="003756D9">
        <w:rPr>
          <w:rFonts w:eastAsia="Malgun Gothic"/>
          <w:i/>
        </w:rPr>
        <w:t>m</w:t>
      </w:r>
      <w:r>
        <w:rPr>
          <w:rFonts w:eastAsia="Malgun Gothic"/>
        </w:rPr>
        <w:t xml:space="preserve">, </w:t>
      </w:r>
      <w:r w:rsidRPr="003756D9">
        <w:rPr>
          <w:rFonts w:eastAsia="Malgun Gothic"/>
          <w:position w:val="-10"/>
        </w:rPr>
        <w:object w:dxaOrig="2040" w:dyaOrig="300">
          <v:shape id="_x0000_i1034" type="#_x0000_t75" style="width:101.8pt;height:16.4pt" o:ole="">
            <v:imagedata r:id="rId27" o:title=""/>
          </v:shape>
          <o:OLEObject Type="Embed" ProgID="Equation.3" ShapeID="_x0000_i1034" DrawAspect="Content" ObjectID="_1618466656" r:id="rId28"/>
        </w:object>
      </w:r>
      <w:r>
        <w:rPr>
          <w:rFonts w:eastAsia="Malgun Gothic"/>
        </w:rPr>
        <w:t xml:space="preserve">, consists of code blocks with indices </w:t>
      </w:r>
      <w:r w:rsidRPr="003756D9">
        <w:rPr>
          <w:rFonts w:eastAsia="Malgun Gothic"/>
          <w:position w:val="-10"/>
        </w:rPr>
        <w:object w:dxaOrig="3640" w:dyaOrig="300">
          <v:shape id="_x0000_i1035" type="#_x0000_t75" style="width:181.15pt;height:16.4pt" o:ole="">
            <v:imagedata r:id="rId29" o:title=""/>
          </v:shape>
          <o:OLEObject Type="Embed" ProgID="Equation.3" ShapeID="_x0000_i1035" DrawAspect="Content" ObjectID="_1618466657" r:id="rId30"/>
        </w:object>
      </w:r>
      <w:r>
        <w:rPr>
          <w:rFonts w:eastAsia="Malgun Gothic"/>
        </w:rPr>
        <w:t>.</w:t>
      </w: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AD4" w:rsidRDefault="00BC1AD4">
      <w:r>
        <w:separator/>
      </w:r>
    </w:p>
  </w:endnote>
  <w:endnote w:type="continuationSeparator" w:id="0">
    <w:p w:rsidR="00BC1AD4" w:rsidRDefault="00BC1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AD4" w:rsidRDefault="00BC1AD4">
      <w:r>
        <w:separator/>
      </w:r>
    </w:p>
  </w:footnote>
  <w:footnote w:type="continuationSeparator" w:id="0">
    <w:p w:rsidR="00BC1AD4" w:rsidRDefault="00BC1A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965F01"/>
    <w:multiLevelType w:val="singleLevel"/>
    <w:tmpl w:val="8D965F01"/>
    <w:lvl w:ilvl="0">
      <w:start w:val="1"/>
      <w:numFmt w:val="decimal"/>
      <w:suff w:val="space"/>
      <w:lvlText w:val="%1."/>
      <w:lvlJc w:val="left"/>
    </w:lvl>
  </w:abstractNum>
  <w:abstractNum w:abstractNumId="1"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AC24059"/>
    <w:multiLevelType w:val="hybridMultilevel"/>
    <w:tmpl w:val="0D9C81E6"/>
    <w:lvl w:ilvl="0" w:tplc="49745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27A691E"/>
    <w:multiLevelType w:val="hybridMultilevel"/>
    <w:tmpl w:val="E94E139E"/>
    <w:lvl w:ilvl="0" w:tplc="F56A683C">
      <w:numFmt w:val="bullet"/>
      <w:lvlText w:val="-"/>
      <w:lvlJc w:val="left"/>
      <w:pPr>
        <w:ind w:left="420" w:hanging="420"/>
      </w:pPr>
      <w:rPr>
        <w:rFonts w:ascii="Times New Roman" w:eastAsia="Times New Roman" w:hAnsi="Times New Roman" w:cs="Times New Roman" w:hint="default"/>
      </w:rPr>
    </w:lvl>
    <w:lvl w:ilvl="1" w:tplc="D8A2802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325A3E"/>
    <w:multiLevelType w:val="hybridMultilevel"/>
    <w:tmpl w:val="0D9C81E6"/>
    <w:lvl w:ilvl="0" w:tplc="49745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3D7B5489"/>
    <w:multiLevelType w:val="hybridMultilevel"/>
    <w:tmpl w:val="1A9666E2"/>
    <w:lvl w:ilvl="0" w:tplc="842E4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254DAF"/>
    <w:multiLevelType w:val="hybridMultilevel"/>
    <w:tmpl w:val="F184114A"/>
    <w:lvl w:ilvl="0" w:tplc="49745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CA404EE"/>
    <w:multiLevelType w:val="hybridMultilevel"/>
    <w:tmpl w:val="79A673A2"/>
    <w:lvl w:ilvl="0" w:tplc="D8A28020">
      <w:start w:val="1"/>
      <w:numFmt w:val="bullet"/>
      <w:lvlText w:val=""/>
      <w:lvlJc w:val="left"/>
      <w:pPr>
        <w:ind w:left="420" w:hanging="420"/>
      </w:pPr>
      <w:rPr>
        <w:rFonts w:ascii="Wingdings" w:hAnsi="Wingdings" w:hint="default"/>
      </w:rPr>
    </w:lvl>
    <w:lvl w:ilvl="1" w:tplc="39221820">
      <w:numFmt w:val="bullet"/>
      <w:lvlText w:val="-"/>
      <w:lvlJc w:val="left"/>
      <w:pPr>
        <w:ind w:left="840" w:hanging="420"/>
      </w:pPr>
      <w:rPr>
        <w:rFonts w:ascii="Times New Roman" w:eastAsia="宋体" w:hAnsi="Times New Roman" w:cs="Times New Roman" w:hint="default"/>
      </w:rPr>
    </w:lvl>
    <w:lvl w:ilvl="2" w:tplc="0409001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15:restartNumberingAfterBreak="0">
    <w:nsid w:val="560847CE"/>
    <w:multiLevelType w:val="hybridMultilevel"/>
    <w:tmpl w:val="1A9666E2"/>
    <w:lvl w:ilvl="0" w:tplc="842E4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DC50C30"/>
    <w:multiLevelType w:val="hybridMultilevel"/>
    <w:tmpl w:val="7A7679CA"/>
    <w:lvl w:ilvl="0" w:tplc="F56A683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C75134"/>
    <w:multiLevelType w:val="hybridMultilevel"/>
    <w:tmpl w:val="A424A982"/>
    <w:lvl w:ilvl="0" w:tplc="D8A28020">
      <w:start w:val="1"/>
      <w:numFmt w:val="bullet"/>
      <w:lvlText w:val=""/>
      <w:lvlJc w:val="left"/>
      <w:pPr>
        <w:ind w:left="420" w:hanging="420"/>
      </w:pPr>
      <w:rPr>
        <w:rFonts w:ascii="Wingdings" w:hAnsi="Wingdings" w:hint="default"/>
      </w:rPr>
    </w:lvl>
    <w:lvl w:ilvl="1" w:tplc="39221820">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337484"/>
    <w:multiLevelType w:val="hybridMultilevel"/>
    <w:tmpl w:val="388E088C"/>
    <w:lvl w:ilvl="0" w:tplc="C434B7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1"/>
  </w:num>
  <w:num w:numId="3">
    <w:abstractNumId w:val="20"/>
  </w:num>
  <w:num w:numId="4">
    <w:abstractNumId w:val="17"/>
  </w:num>
  <w:num w:numId="5">
    <w:abstractNumId w:val="10"/>
  </w:num>
  <w:num w:numId="6">
    <w:abstractNumId w:val="36"/>
  </w:num>
  <w:num w:numId="7">
    <w:abstractNumId w:val="18"/>
  </w:num>
  <w:num w:numId="8">
    <w:abstractNumId w:val="28"/>
  </w:num>
  <w:num w:numId="9">
    <w:abstractNumId w:val="34"/>
  </w:num>
  <w:num w:numId="10">
    <w:abstractNumId w:val="35"/>
  </w:num>
  <w:num w:numId="11">
    <w:abstractNumId w:val="40"/>
  </w:num>
  <w:num w:numId="12">
    <w:abstractNumId w:val="15"/>
  </w:num>
  <w:num w:numId="13">
    <w:abstractNumId w:val="30"/>
  </w:num>
  <w:num w:numId="14">
    <w:abstractNumId w:val="29"/>
  </w:num>
  <w:num w:numId="15">
    <w:abstractNumId w:val="23"/>
  </w:num>
  <w:num w:numId="16">
    <w:abstractNumId w:val="12"/>
  </w:num>
  <w:num w:numId="17">
    <w:abstractNumId w:val="22"/>
  </w:num>
  <w:num w:numId="18">
    <w:abstractNumId w:val="14"/>
  </w:num>
  <w:num w:numId="19">
    <w:abstractNumId w:val="11"/>
  </w:num>
  <w:num w:numId="20">
    <w:abstractNumId w:val="32"/>
  </w:num>
  <w:num w:numId="21">
    <w:abstractNumId w:val="26"/>
  </w:num>
  <w:num w:numId="22">
    <w:abstractNumId w:val="8"/>
  </w:num>
  <w:num w:numId="23">
    <w:abstractNumId w:val="7"/>
  </w:num>
  <w:num w:numId="24">
    <w:abstractNumId w:val="1"/>
  </w:num>
  <w:num w:numId="25">
    <w:abstractNumId w:val="3"/>
  </w:num>
  <w:num w:numId="26">
    <w:abstractNumId w:val="2"/>
  </w:num>
  <w:num w:numId="27">
    <w:abstractNumId w:val="4"/>
  </w:num>
  <w:num w:numId="28">
    <w:abstractNumId w:val="9"/>
  </w:num>
  <w:num w:numId="29">
    <w:abstractNumId w:val="5"/>
  </w:num>
  <w:num w:numId="30">
    <w:abstractNumId w:val="6"/>
  </w:num>
  <w:num w:numId="31">
    <w:abstractNumId w:val="33"/>
  </w:num>
  <w:num w:numId="32">
    <w:abstractNumId w:val="16"/>
  </w:num>
  <w:num w:numId="33">
    <w:abstractNumId w:val="37"/>
  </w:num>
  <w:num w:numId="34">
    <w:abstractNumId w:val="27"/>
  </w:num>
  <w:num w:numId="35">
    <w:abstractNumId w:val="0"/>
  </w:num>
  <w:num w:numId="36">
    <w:abstractNumId w:val="38"/>
  </w:num>
  <w:num w:numId="37">
    <w:abstractNumId w:val="19"/>
  </w:num>
  <w:num w:numId="38">
    <w:abstractNumId w:val="24"/>
  </w:num>
  <w:num w:numId="39">
    <w:abstractNumId w:val="13"/>
  </w:num>
  <w:num w:numId="40">
    <w:abstractNumId w:val="25"/>
  </w:num>
  <w:num w:numId="41">
    <w:abstractNumId w:val="31"/>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17C"/>
    <w:rsid w:val="000020F6"/>
    <w:rsid w:val="00002893"/>
    <w:rsid w:val="000033A3"/>
    <w:rsid w:val="00003605"/>
    <w:rsid w:val="00003C56"/>
    <w:rsid w:val="00003EC2"/>
    <w:rsid w:val="000040A9"/>
    <w:rsid w:val="0000458E"/>
    <w:rsid w:val="00004E70"/>
    <w:rsid w:val="0000565C"/>
    <w:rsid w:val="000072B6"/>
    <w:rsid w:val="00007813"/>
    <w:rsid w:val="000109E6"/>
    <w:rsid w:val="00011B5D"/>
    <w:rsid w:val="00011F67"/>
    <w:rsid w:val="00012862"/>
    <w:rsid w:val="000128E6"/>
    <w:rsid w:val="00015EFB"/>
    <w:rsid w:val="000165E2"/>
    <w:rsid w:val="00016B2C"/>
    <w:rsid w:val="000172BE"/>
    <w:rsid w:val="00017D8A"/>
    <w:rsid w:val="00023388"/>
    <w:rsid w:val="00023425"/>
    <w:rsid w:val="000241BE"/>
    <w:rsid w:val="000242F2"/>
    <w:rsid w:val="00024698"/>
    <w:rsid w:val="00026D4B"/>
    <w:rsid w:val="000275C6"/>
    <w:rsid w:val="00027AD6"/>
    <w:rsid w:val="0003024C"/>
    <w:rsid w:val="00031ADB"/>
    <w:rsid w:val="00032056"/>
    <w:rsid w:val="000328CA"/>
    <w:rsid w:val="00032E40"/>
    <w:rsid w:val="0003376B"/>
    <w:rsid w:val="00034676"/>
    <w:rsid w:val="000346E6"/>
    <w:rsid w:val="000352B3"/>
    <w:rsid w:val="00035326"/>
    <w:rsid w:val="00035B74"/>
    <w:rsid w:val="00037969"/>
    <w:rsid w:val="0004023E"/>
    <w:rsid w:val="0004024B"/>
    <w:rsid w:val="00040639"/>
    <w:rsid w:val="00041C57"/>
    <w:rsid w:val="000434B7"/>
    <w:rsid w:val="000435E4"/>
    <w:rsid w:val="00046796"/>
    <w:rsid w:val="000467FD"/>
    <w:rsid w:val="00046AAF"/>
    <w:rsid w:val="00047225"/>
    <w:rsid w:val="00047E2C"/>
    <w:rsid w:val="00047E60"/>
    <w:rsid w:val="00052AD2"/>
    <w:rsid w:val="00052EBF"/>
    <w:rsid w:val="0005300C"/>
    <w:rsid w:val="000530DF"/>
    <w:rsid w:val="00054E0C"/>
    <w:rsid w:val="000552F2"/>
    <w:rsid w:val="0005541D"/>
    <w:rsid w:val="000565C8"/>
    <w:rsid w:val="00057DC8"/>
    <w:rsid w:val="000603F0"/>
    <w:rsid w:val="000612E1"/>
    <w:rsid w:val="000614FE"/>
    <w:rsid w:val="00062901"/>
    <w:rsid w:val="00065D38"/>
    <w:rsid w:val="00066B36"/>
    <w:rsid w:val="00067DD1"/>
    <w:rsid w:val="00070447"/>
    <w:rsid w:val="000706E7"/>
    <w:rsid w:val="00070EF8"/>
    <w:rsid w:val="00071192"/>
    <w:rsid w:val="000713A7"/>
    <w:rsid w:val="00072A80"/>
    <w:rsid w:val="000731A0"/>
    <w:rsid w:val="000736C1"/>
    <w:rsid w:val="00073797"/>
    <w:rsid w:val="00073DEC"/>
    <w:rsid w:val="000744CB"/>
    <w:rsid w:val="000745AA"/>
    <w:rsid w:val="00074E86"/>
    <w:rsid w:val="00076097"/>
    <w:rsid w:val="00076541"/>
    <w:rsid w:val="000769EB"/>
    <w:rsid w:val="000772F4"/>
    <w:rsid w:val="000776EB"/>
    <w:rsid w:val="000823B0"/>
    <w:rsid w:val="00083031"/>
    <w:rsid w:val="0008335B"/>
    <w:rsid w:val="00083379"/>
    <w:rsid w:val="00083587"/>
    <w:rsid w:val="00083838"/>
    <w:rsid w:val="00083B6A"/>
    <w:rsid w:val="000858E8"/>
    <w:rsid w:val="00085CE6"/>
    <w:rsid w:val="00085E04"/>
    <w:rsid w:val="00086800"/>
    <w:rsid w:val="00087913"/>
    <w:rsid w:val="000902DC"/>
    <w:rsid w:val="00090912"/>
    <w:rsid w:val="000911AE"/>
    <w:rsid w:val="00093697"/>
    <w:rsid w:val="00093BBE"/>
    <w:rsid w:val="00093D42"/>
    <w:rsid w:val="00093DD0"/>
    <w:rsid w:val="00094A16"/>
    <w:rsid w:val="00094DE6"/>
    <w:rsid w:val="00095E4C"/>
    <w:rsid w:val="00096356"/>
    <w:rsid w:val="00097C99"/>
    <w:rsid w:val="000A0F14"/>
    <w:rsid w:val="000A1441"/>
    <w:rsid w:val="000A1A06"/>
    <w:rsid w:val="000A1B60"/>
    <w:rsid w:val="000A21B4"/>
    <w:rsid w:val="000A2CC7"/>
    <w:rsid w:val="000A2ED6"/>
    <w:rsid w:val="000A4205"/>
    <w:rsid w:val="000A4A19"/>
    <w:rsid w:val="000A617E"/>
    <w:rsid w:val="000A6351"/>
    <w:rsid w:val="000A63D6"/>
    <w:rsid w:val="000A7B38"/>
    <w:rsid w:val="000B0343"/>
    <w:rsid w:val="000B0A28"/>
    <w:rsid w:val="000B2985"/>
    <w:rsid w:val="000B2C88"/>
    <w:rsid w:val="000B3342"/>
    <w:rsid w:val="000B51FA"/>
    <w:rsid w:val="000B5905"/>
    <w:rsid w:val="000B5975"/>
    <w:rsid w:val="000B59E2"/>
    <w:rsid w:val="000B647D"/>
    <w:rsid w:val="000B6E2C"/>
    <w:rsid w:val="000B76C5"/>
    <w:rsid w:val="000B7A10"/>
    <w:rsid w:val="000C115D"/>
    <w:rsid w:val="000C1535"/>
    <w:rsid w:val="000C1FBA"/>
    <w:rsid w:val="000C252B"/>
    <w:rsid w:val="000C2FBD"/>
    <w:rsid w:val="000C38DA"/>
    <w:rsid w:val="000C3B0C"/>
    <w:rsid w:val="000C422D"/>
    <w:rsid w:val="000C50F1"/>
    <w:rsid w:val="000C5F91"/>
    <w:rsid w:val="000C6025"/>
    <w:rsid w:val="000C7416"/>
    <w:rsid w:val="000D0565"/>
    <w:rsid w:val="000D0E4E"/>
    <w:rsid w:val="000D113C"/>
    <w:rsid w:val="000D12D1"/>
    <w:rsid w:val="000D159A"/>
    <w:rsid w:val="000D1796"/>
    <w:rsid w:val="000D22CC"/>
    <w:rsid w:val="000D32D8"/>
    <w:rsid w:val="000D36AE"/>
    <w:rsid w:val="000D38A1"/>
    <w:rsid w:val="000D4C4E"/>
    <w:rsid w:val="000D5077"/>
    <w:rsid w:val="000D5362"/>
    <w:rsid w:val="000D57F8"/>
    <w:rsid w:val="000D5851"/>
    <w:rsid w:val="000D5C60"/>
    <w:rsid w:val="000D71E2"/>
    <w:rsid w:val="000D73A5"/>
    <w:rsid w:val="000E07D6"/>
    <w:rsid w:val="000E1380"/>
    <w:rsid w:val="000E18DF"/>
    <w:rsid w:val="000E3846"/>
    <w:rsid w:val="000E3E7F"/>
    <w:rsid w:val="000E59A0"/>
    <w:rsid w:val="000E6E5F"/>
    <w:rsid w:val="000E7A84"/>
    <w:rsid w:val="000F15BC"/>
    <w:rsid w:val="000F180A"/>
    <w:rsid w:val="000F1C92"/>
    <w:rsid w:val="000F2EEE"/>
    <w:rsid w:val="000F3697"/>
    <w:rsid w:val="000F7F58"/>
    <w:rsid w:val="00100128"/>
    <w:rsid w:val="00100FF3"/>
    <w:rsid w:val="001026CA"/>
    <w:rsid w:val="00103E9F"/>
    <w:rsid w:val="001043C2"/>
    <w:rsid w:val="001043E1"/>
    <w:rsid w:val="0010505A"/>
    <w:rsid w:val="00105CC7"/>
    <w:rsid w:val="00106237"/>
    <w:rsid w:val="00107779"/>
    <w:rsid w:val="00107863"/>
    <w:rsid w:val="001078C2"/>
    <w:rsid w:val="00107E1C"/>
    <w:rsid w:val="00110243"/>
    <w:rsid w:val="001112C4"/>
    <w:rsid w:val="00111444"/>
    <w:rsid w:val="00111723"/>
    <w:rsid w:val="001129B5"/>
    <w:rsid w:val="00112BE6"/>
    <w:rsid w:val="00112CD0"/>
    <w:rsid w:val="001141E3"/>
    <w:rsid w:val="001144DF"/>
    <w:rsid w:val="0011557B"/>
    <w:rsid w:val="00115F6D"/>
    <w:rsid w:val="00117302"/>
    <w:rsid w:val="00117C85"/>
    <w:rsid w:val="00120B13"/>
    <w:rsid w:val="00121617"/>
    <w:rsid w:val="00121D69"/>
    <w:rsid w:val="00124D84"/>
    <w:rsid w:val="001250DD"/>
    <w:rsid w:val="00125733"/>
    <w:rsid w:val="001263AA"/>
    <w:rsid w:val="00130779"/>
    <w:rsid w:val="001307A1"/>
    <w:rsid w:val="001321D3"/>
    <w:rsid w:val="00133599"/>
    <w:rsid w:val="00133BF7"/>
    <w:rsid w:val="00134B88"/>
    <w:rsid w:val="00136A23"/>
    <w:rsid w:val="00136B99"/>
    <w:rsid w:val="0013730A"/>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6E"/>
    <w:rsid w:val="001559FA"/>
    <w:rsid w:val="00156374"/>
    <w:rsid w:val="001577D8"/>
    <w:rsid w:val="00157FC3"/>
    <w:rsid w:val="00160739"/>
    <w:rsid w:val="0016271E"/>
    <w:rsid w:val="00162D7A"/>
    <w:rsid w:val="00164DAB"/>
    <w:rsid w:val="0016598C"/>
    <w:rsid w:val="00165BBB"/>
    <w:rsid w:val="0016613F"/>
    <w:rsid w:val="00166215"/>
    <w:rsid w:val="00166591"/>
    <w:rsid w:val="00171143"/>
    <w:rsid w:val="00171F86"/>
    <w:rsid w:val="00172864"/>
    <w:rsid w:val="00172B82"/>
    <w:rsid w:val="00172EFA"/>
    <w:rsid w:val="00173608"/>
    <w:rsid w:val="001745EC"/>
    <w:rsid w:val="001747B7"/>
    <w:rsid w:val="00175C30"/>
    <w:rsid w:val="00176A80"/>
    <w:rsid w:val="00177069"/>
    <w:rsid w:val="00177FC1"/>
    <w:rsid w:val="00180FE8"/>
    <w:rsid w:val="001815A2"/>
    <w:rsid w:val="00181FC1"/>
    <w:rsid w:val="00183034"/>
    <w:rsid w:val="001830F7"/>
    <w:rsid w:val="00183EE6"/>
    <w:rsid w:val="0018588A"/>
    <w:rsid w:val="00187252"/>
    <w:rsid w:val="00191C91"/>
    <w:rsid w:val="00192DD9"/>
    <w:rsid w:val="00194339"/>
    <w:rsid w:val="00194848"/>
    <w:rsid w:val="001956B6"/>
    <w:rsid w:val="001958EA"/>
    <w:rsid w:val="00195E0E"/>
    <w:rsid w:val="00196FCF"/>
    <w:rsid w:val="001A180D"/>
    <w:rsid w:val="001A1BAC"/>
    <w:rsid w:val="001A23CE"/>
    <w:rsid w:val="001A2C89"/>
    <w:rsid w:val="001A2F65"/>
    <w:rsid w:val="001A673E"/>
    <w:rsid w:val="001A7763"/>
    <w:rsid w:val="001B1123"/>
    <w:rsid w:val="001B1E10"/>
    <w:rsid w:val="001B2E4D"/>
    <w:rsid w:val="001B3964"/>
    <w:rsid w:val="001B4452"/>
    <w:rsid w:val="001B462C"/>
    <w:rsid w:val="001B466C"/>
    <w:rsid w:val="001B4F34"/>
    <w:rsid w:val="001B52EC"/>
    <w:rsid w:val="001B554A"/>
    <w:rsid w:val="001B62FD"/>
    <w:rsid w:val="001B6564"/>
    <w:rsid w:val="001B691A"/>
    <w:rsid w:val="001C02D8"/>
    <w:rsid w:val="001C04E3"/>
    <w:rsid w:val="001C2378"/>
    <w:rsid w:val="001C3EE9"/>
    <w:rsid w:val="001C3FA4"/>
    <w:rsid w:val="001C40F9"/>
    <w:rsid w:val="001C458B"/>
    <w:rsid w:val="001C51C5"/>
    <w:rsid w:val="001C5D4F"/>
    <w:rsid w:val="001C64C0"/>
    <w:rsid w:val="001C69DA"/>
    <w:rsid w:val="001C6F06"/>
    <w:rsid w:val="001C7DED"/>
    <w:rsid w:val="001C7E6A"/>
    <w:rsid w:val="001C7F3D"/>
    <w:rsid w:val="001D2360"/>
    <w:rsid w:val="001D3109"/>
    <w:rsid w:val="001D332E"/>
    <w:rsid w:val="001D5033"/>
    <w:rsid w:val="001D5C88"/>
    <w:rsid w:val="001D6567"/>
    <w:rsid w:val="001D695C"/>
    <w:rsid w:val="001D6FD9"/>
    <w:rsid w:val="001D780E"/>
    <w:rsid w:val="001E05C3"/>
    <w:rsid w:val="001E0AD3"/>
    <w:rsid w:val="001E1B9D"/>
    <w:rsid w:val="001E208A"/>
    <w:rsid w:val="001E36E4"/>
    <w:rsid w:val="001E379D"/>
    <w:rsid w:val="001E3A3C"/>
    <w:rsid w:val="001E440D"/>
    <w:rsid w:val="001E5C23"/>
    <w:rsid w:val="001E7504"/>
    <w:rsid w:val="001E76DF"/>
    <w:rsid w:val="001F1308"/>
    <w:rsid w:val="001F1525"/>
    <w:rsid w:val="001F1E87"/>
    <w:rsid w:val="001F1EB6"/>
    <w:rsid w:val="001F2E23"/>
    <w:rsid w:val="001F341F"/>
    <w:rsid w:val="001F3911"/>
    <w:rsid w:val="001F3EC7"/>
    <w:rsid w:val="001F3F1A"/>
    <w:rsid w:val="001F4CBD"/>
    <w:rsid w:val="001F5545"/>
    <w:rsid w:val="001F56BA"/>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398C"/>
    <w:rsid w:val="00224952"/>
    <w:rsid w:val="00224DD2"/>
    <w:rsid w:val="00225535"/>
    <w:rsid w:val="00225A6A"/>
    <w:rsid w:val="00225AC7"/>
    <w:rsid w:val="00225ACC"/>
    <w:rsid w:val="00231C25"/>
    <w:rsid w:val="00231C6F"/>
    <w:rsid w:val="00232A90"/>
    <w:rsid w:val="00234151"/>
    <w:rsid w:val="00234F8C"/>
    <w:rsid w:val="00235542"/>
    <w:rsid w:val="002369B0"/>
    <w:rsid w:val="00236AD8"/>
    <w:rsid w:val="00236EC6"/>
    <w:rsid w:val="002401F5"/>
    <w:rsid w:val="00240E54"/>
    <w:rsid w:val="002412A9"/>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5DCF"/>
    <w:rsid w:val="00266B13"/>
    <w:rsid w:val="00270728"/>
    <w:rsid w:val="00270D42"/>
    <w:rsid w:val="00271095"/>
    <w:rsid w:val="0027195D"/>
    <w:rsid w:val="00272B03"/>
    <w:rsid w:val="002733E2"/>
    <w:rsid w:val="00273D5F"/>
    <w:rsid w:val="00274704"/>
    <w:rsid w:val="002750B1"/>
    <w:rsid w:val="00276A35"/>
    <w:rsid w:val="00277835"/>
    <w:rsid w:val="00280AB1"/>
    <w:rsid w:val="0028313A"/>
    <w:rsid w:val="00284BAE"/>
    <w:rsid w:val="002859AF"/>
    <w:rsid w:val="002864D4"/>
    <w:rsid w:val="00286AE7"/>
    <w:rsid w:val="00287243"/>
    <w:rsid w:val="00290647"/>
    <w:rsid w:val="00291385"/>
    <w:rsid w:val="00291422"/>
    <w:rsid w:val="0029237F"/>
    <w:rsid w:val="00292715"/>
    <w:rsid w:val="00293E57"/>
    <w:rsid w:val="002947D1"/>
    <w:rsid w:val="002948DF"/>
    <w:rsid w:val="00294D90"/>
    <w:rsid w:val="002A19F8"/>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1A54"/>
    <w:rsid w:val="002D2EDA"/>
    <w:rsid w:val="002D3BBC"/>
    <w:rsid w:val="002D3D97"/>
    <w:rsid w:val="002D438A"/>
    <w:rsid w:val="002D5738"/>
    <w:rsid w:val="002D5E53"/>
    <w:rsid w:val="002E0319"/>
    <w:rsid w:val="002E179B"/>
    <w:rsid w:val="002E1C9E"/>
    <w:rsid w:val="002E257B"/>
    <w:rsid w:val="002E39F0"/>
    <w:rsid w:val="002E3B67"/>
    <w:rsid w:val="002E3C65"/>
    <w:rsid w:val="002E3F5B"/>
    <w:rsid w:val="002E4362"/>
    <w:rsid w:val="002E4DE3"/>
    <w:rsid w:val="002E63D9"/>
    <w:rsid w:val="002E640E"/>
    <w:rsid w:val="002F0C28"/>
    <w:rsid w:val="002F2720"/>
    <w:rsid w:val="002F3CDE"/>
    <w:rsid w:val="002F5DD6"/>
    <w:rsid w:val="002F5FEA"/>
    <w:rsid w:val="002F63E7"/>
    <w:rsid w:val="002F7BE3"/>
    <w:rsid w:val="002F7E6A"/>
    <w:rsid w:val="00300165"/>
    <w:rsid w:val="00300DE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AA0"/>
    <w:rsid w:val="00321BD7"/>
    <w:rsid w:val="0032260F"/>
    <w:rsid w:val="003228DA"/>
    <w:rsid w:val="00323D6B"/>
    <w:rsid w:val="00326957"/>
    <w:rsid w:val="00326AE2"/>
    <w:rsid w:val="00331426"/>
    <w:rsid w:val="0033171D"/>
    <w:rsid w:val="00331FC3"/>
    <w:rsid w:val="003325FA"/>
    <w:rsid w:val="003326C9"/>
    <w:rsid w:val="00332D46"/>
    <w:rsid w:val="003336B3"/>
    <w:rsid w:val="00334C8B"/>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119C"/>
    <w:rsid w:val="00362569"/>
    <w:rsid w:val="003636CD"/>
    <w:rsid w:val="00364619"/>
    <w:rsid w:val="0036487C"/>
    <w:rsid w:val="00365411"/>
    <w:rsid w:val="00365FA2"/>
    <w:rsid w:val="00366C69"/>
    <w:rsid w:val="00367441"/>
    <w:rsid w:val="00367B1D"/>
    <w:rsid w:val="00370E4F"/>
    <w:rsid w:val="00371215"/>
    <w:rsid w:val="003721BA"/>
    <w:rsid w:val="00372F0D"/>
    <w:rsid w:val="00374059"/>
    <w:rsid w:val="00374078"/>
    <w:rsid w:val="0037535B"/>
    <w:rsid w:val="0037552D"/>
    <w:rsid w:val="003756DB"/>
    <w:rsid w:val="003760C6"/>
    <w:rsid w:val="00376C36"/>
    <w:rsid w:val="003770BB"/>
    <w:rsid w:val="0037771A"/>
    <w:rsid w:val="0038002D"/>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562B"/>
    <w:rsid w:val="00395ADE"/>
    <w:rsid w:val="00395D7E"/>
    <w:rsid w:val="00396AE8"/>
    <w:rsid w:val="00397C1D"/>
    <w:rsid w:val="003A180F"/>
    <w:rsid w:val="003A18DD"/>
    <w:rsid w:val="003A1C5F"/>
    <w:rsid w:val="003A20C8"/>
    <w:rsid w:val="003A2C29"/>
    <w:rsid w:val="003A2EC3"/>
    <w:rsid w:val="003A36F2"/>
    <w:rsid w:val="003A3D39"/>
    <w:rsid w:val="003A3EC7"/>
    <w:rsid w:val="003A40B4"/>
    <w:rsid w:val="003A4BEB"/>
    <w:rsid w:val="003A73B2"/>
    <w:rsid w:val="003A7834"/>
    <w:rsid w:val="003B0B5B"/>
    <w:rsid w:val="003B0E79"/>
    <w:rsid w:val="003B19A2"/>
    <w:rsid w:val="003B333E"/>
    <w:rsid w:val="003B33D5"/>
    <w:rsid w:val="003B3575"/>
    <w:rsid w:val="003B50BC"/>
    <w:rsid w:val="003B5D97"/>
    <w:rsid w:val="003B63A4"/>
    <w:rsid w:val="003B6552"/>
    <w:rsid w:val="003B68FE"/>
    <w:rsid w:val="003B69FF"/>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CD4"/>
    <w:rsid w:val="003E07AE"/>
    <w:rsid w:val="003E14FC"/>
    <w:rsid w:val="003E2976"/>
    <w:rsid w:val="003E3E21"/>
    <w:rsid w:val="003E3EB6"/>
    <w:rsid w:val="003E42AD"/>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313A"/>
    <w:rsid w:val="00404229"/>
    <w:rsid w:val="004047C4"/>
    <w:rsid w:val="0040570B"/>
    <w:rsid w:val="00405EDB"/>
    <w:rsid w:val="00405FB1"/>
    <w:rsid w:val="00406460"/>
    <w:rsid w:val="0040684B"/>
    <w:rsid w:val="00406D55"/>
    <w:rsid w:val="004110A5"/>
    <w:rsid w:val="00412461"/>
    <w:rsid w:val="00412546"/>
    <w:rsid w:val="00413053"/>
    <w:rsid w:val="00413172"/>
    <w:rsid w:val="0041319C"/>
    <w:rsid w:val="004137B6"/>
    <w:rsid w:val="00413A54"/>
    <w:rsid w:val="00413B66"/>
    <w:rsid w:val="00413C10"/>
    <w:rsid w:val="00413CD9"/>
    <w:rsid w:val="00413F9A"/>
    <w:rsid w:val="004140CA"/>
    <w:rsid w:val="004149D4"/>
    <w:rsid w:val="00414C65"/>
    <w:rsid w:val="0041548E"/>
    <w:rsid w:val="00415D76"/>
    <w:rsid w:val="00416665"/>
    <w:rsid w:val="00416A67"/>
    <w:rsid w:val="00416ACB"/>
    <w:rsid w:val="00417631"/>
    <w:rsid w:val="0042067D"/>
    <w:rsid w:val="00420FBE"/>
    <w:rsid w:val="00421DCF"/>
    <w:rsid w:val="00422341"/>
    <w:rsid w:val="00423641"/>
    <w:rsid w:val="00426266"/>
    <w:rsid w:val="00430A2D"/>
    <w:rsid w:val="00431505"/>
    <w:rsid w:val="004317E3"/>
    <w:rsid w:val="00431AF0"/>
    <w:rsid w:val="00431CEB"/>
    <w:rsid w:val="0043213A"/>
    <w:rsid w:val="004330F4"/>
    <w:rsid w:val="00433590"/>
    <w:rsid w:val="0043393D"/>
    <w:rsid w:val="004344C7"/>
    <w:rsid w:val="00434B28"/>
    <w:rsid w:val="00435274"/>
    <w:rsid w:val="004352AD"/>
    <w:rsid w:val="0043545D"/>
    <w:rsid w:val="00435FE2"/>
    <w:rsid w:val="00436E2F"/>
    <w:rsid w:val="00436EAB"/>
    <w:rsid w:val="00437096"/>
    <w:rsid w:val="00443520"/>
    <w:rsid w:val="004461D9"/>
    <w:rsid w:val="004463F5"/>
    <w:rsid w:val="004466BC"/>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47D"/>
    <w:rsid w:val="004727FF"/>
    <w:rsid w:val="0047286B"/>
    <w:rsid w:val="00472E27"/>
    <w:rsid w:val="00474220"/>
    <w:rsid w:val="004752D3"/>
    <w:rsid w:val="004754E1"/>
    <w:rsid w:val="00475CE0"/>
    <w:rsid w:val="00476827"/>
    <w:rsid w:val="00476BD4"/>
    <w:rsid w:val="00477C35"/>
    <w:rsid w:val="00480988"/>
    <w:rsid w:val="00480E05"/>
    <w:rsid w:val="0048296A"/>
    <w:rsid w:val="00482BBE"/>
    <w:rsid w:val="00483A12"/>
    <w:rsid w:val="00484A77"/>
    <w:rsid w:val="0048540F"/>
    <w:rsid w:val="00485970"/>
    <w:rsid w:val="00485C0D"/>
    <w:rsid w:val="00485C48"/>
    <w:rsid w:val="00486575"/>
    <w:rsid w:val="004866D0"/>
    <w:rsid w:val="00486936"/>
    <w:rsid w:val="00486D37"/>
    <w:rsid w:val="004915B5"/>
    <w:rsid w:val="00494242"/>
    <w:rsid w:val="00494E8E"/>
    <w:rsid w:val="004955BC"/>
    <w:rsid w:val="00495D63"/>
    <w:rsid w:val="0049648F"/>
    <w:rsid w:val="00496606"/>
    <w:rsid w:val="00496F05"/>
    <w:rsid w:val="00497370"/>
    <w:rsid w:val="00497724"/>
    <w:rsid w:val="004A0F39"/>
    <w:rsid w:val="004A251F"/>
    <w:rsid w:val="004A3BF1"/>
    <w:rsid w:val="004A3E42"/>
    <w:rsid w:val="004A4715"/>
    <w:rsid w:val="004A5046"/>
    <w:rsid w:val="004A565E"/>
    <w:rsid w:val="004A5DF3"/>
    <w:rsid w:val="004A6134"/>
    <w:rsid w:val="004A6922"/>
    <w:rsid w:val="004A7092"/>
    <w:rsid w:val="004B49E6"/>
    <w:rsid w:val="004B4D69"/>
    <w:rsid w:val="004C01A8"/>
    <w:rsid w:val="004C0F43"/>
    <w:rsid w:val="004C1840"/>
    <w:rsid w:val="004C24C9"/>
    <w:rsid w:val="004C31B6"/>
    <w:rsid w:val="004C5319"/>
    <w:rsid w:val="004C5782"/>
    <w:rsid w:val="004C621F"/>
    <w:rsid w:val="004C7948"/>
    <w:rsid w:val="004C7BB8"/>
    <w:rsid w:val="004C7C60"/>
    <w:rsid w:val="004D0DFE"/>
    <w:rsid w:val="004D1D91"/>
    <w:rsid w:val="004D22C3"/>
    <w:rsid w:val="004D52DD"/>
    <w:rsid w:val="004D5A9D"/>
    <w:rsid w:val="004D6F4D"/>
    <w:rsid w:val="004D6F95"/>
    <w:rsid w:val="004D72FE"/>
    <w:rsid w:val="004D7E91"/>
    <w:rsid w:val="004E003A"/>
    <w:rsid w:val="004E0768"/>
    <w:rsid w:val="004E1A31"/>
    <w:rsid w:val="004E2DE0"/>
    <w:rsid w:val="004E4060"/>
    <w:rsid w:val="004E409A"/>
    <w:rsid w:val="004F0FB9"/>
    <w:rsid w:val="004F2D1E"/>
    <w:rsid w:val="004F2F7E"/>
    <w:rsid w:val="004F32B5"/>
    <w:rsid w:val="004F407E"/>
    <w:rsid w:val="004F5479"/>
    <w:rsid w:val="004F7528"/>
    <w:rsid w:val="004F7BCA"/>
    <w:rsid w:val="004F7D89"/>
    <w:rsid w:val="004F7EC1"/>
    <w:rsid w:val="00500BCE"/>
    <w:rsid w:val="00501981"/>
    <w:rsid w:val="00501A85"/>
    <w:rsid w:val="00501BB3"/>
    <w:rsid w:val="005021DD"/>
    <w:rsid w:val="005026CA"/>
    <w:rsid w:val="00502B72"/>
    <w:rsid w:val="00502B96"/>
    <w:rsid w:val="00503218"/>
    <w:rsid w:val="00504BC1"/>
    <w:rsid w:val="00505134"/>
    <w:rsid w:val="00505C04"/>
    <w:rsid w:val="00511F15"/>
    <w:rsid w:val="0051318C"/>
    <w:rsid w:val="005142CD"/>
    <w:rsid w:val="005143C9"/>
    <w:rsid w:val="00514FDD"/>
    <w:rsid w:val="005157A9"/>
    <w:rsid w:val="00516B1A"/>
    <w:rsid w:val="005173A7"/>
    <w:rsid w:val="005177E1"/>
    <w:rsid w:val="00520C0A"/>
    <w:rsid w:val="005218B6"/>
    <w:rsid w:val="00522589"/>
    <w:rsid w:val="00523B15"/>
    <w:rsid w:val="00524545"/>
    <w:rsid w:val="005255BF"/>
    <w:rsid w:val="005257DE"/>
    <w:rsid w:val="00525D88"/>
    <w:rsid w:val="00527200"/>
    <w:rsid w:val="00530157"/>
    <w:rsid w:val="00531EBE"/>
    <w:rsid w:val="00532F8B"/>
    <w:rsid w:val="00533737"/>
    <w:rsid w:val="00535B79"/>
    <w:rsid w:val="00535D7C"/>
    <w:rsid w:val="00536579"/>
    <w:rsid w:val="00536C1E"/>
    <w:rsid w:val="0054343A"/>
    <w:rsid w:val="00543974"/>
    <w:rsid w:val="00543B45"/>
    <w:rsid w:val="00543EBF"/>
    <w:rsid w:val="00544ABA"/>
    <w:rsid w:val="0054517E"/>
    <w:rsid w:val="0054593A"/>
    <w:rsid w:val="005467FB"/>
    <w:rsid w:val="00546AE9"/>
    <w:rsid w:val="00547989"/>
    <w:rsid w:val="00550CE6"/>
    <w:rsid w:val="00551320"/>
    <w:rsid w:val="005518A4"/>
    <w:rsid w:val="00552768"/>
    <w:rsid w:val="00552935"/>
    <w:rsid w:val="00553127"/>
    <w:rsid w:val="005537D5"/>
    <w:rsid w:val="005541B6"/>
    <w:rsid w:val="00554BE7"/>
    <w:rsid w:val="00556D68"/>
    <w:rsid w:val="00557173"/>
    <w:rsid w:val="005576A1"/>
    <w:rsid w:val="00557A64"/>
    <w:rsid w:val="00557ECD"/>
    <w:rsid w:val="005605C0"/>
    <w:rsid w:val="00560D23"/>
    <w:rsid w:val="005615D8"/>
    <w:rsid w:val="005626D6"/>
    <w:rsid w:val="005628DA"/>
    <w:rsid w:val="005638D4"/>
    <w:rsid w:val="005656ED"/>
    <w:rsid w:val="0056625D"/>
    <w:rsid w:val="00566544"/>
    <w:rsid w:val="00566608"/>
    <w:rsid w:val="00566C83"/>
    <w:rsid w:val="005700FE"/>
    <w:rsid w:val="00570E24"/>
    <w:rsid w:val="00572760"/>
    <w:rsid w:val="00572B34"/>
    <w:rsid w:val="00573937"/>
    <w:rsid w:val="00573F02"/>
    <w:rsid w:val="005743DE"/>
    <w:rsid w:val="00574F3F"/>
    <w:rsid w:val="0057562C"/>
    <w:rsid w:val="005759F6"/>
    <w:rsid w:val="00575E3E"/>
    <w:rsid w:val="005765F5"/>
    <w:rsid w:val="00576A6E"/>
    <w:rsid w:val="00576D6C"/>
    <w:rsid w:val="00576DE4"/>
    <w:rsid w:val="00577A2E"/>
    <w:rsid w:val="00580E48"/>
    <w:rsid w:val="00580F0A"/>
    <w:rsid w:val="00581246"/>
    <w:rsid w:val="00582C3A"/>
    <w:rsid w:val="00582E1A"/>
    <w:rsid w:val="00583147"/>
    <w:rsid w:val="00583A02"/>
    <w:rsid w:val="00584416"/>
    <w:rsid w:val="00584B39"/>
    <w:rsid w:val="00585028"/>
    <w:rsid w:val="0058532D"/>
    <w:rsid w:val="005854D1"/>
    <w:rsid w:val="0058573F"/>
    <w:rsid w:val="00585F5B"/>
    <w:rsid w:val="0058620A"/>
    <w:rsid w:val="005866C6"/>
    <w:rsid w:val="00586F29"/>
    <w:rsid w:val="00587FC0"/>
    <w:rsid w:val="005906AD"/>
    <w:rsid w:val="00590DA6"/>
    <w:rsid w:val="00591C7D"/>
    <w:rsid w:val="00592B03"/>
    <w:rsid w:val="00593AB9"/>
    <w:rsid w:val="0059485D"/>
    <w:rsid w:val="00594ABB"/>
    <w:rsid w:val="00594D1C"/>
    <w:rsid w:val="00594E36"/>
    <w:rsid w:val="00594F0A"/>
    <w:rsid w:val="0059525E"/>
    <w:rsid w:val="00595887"/>
    <w:rsid w:val="005961F7"/>
    <w:rsid w:val="00596B9C"/>
    <w:rsid w:val="005A054D"/>
    <w:rsid w:val="005A0A46"/>
    <w:rsid w:val="005A10B9"/>
    <w:rsid w:val="005A11EA"/>
    <w:rsid w:val="005A1BE2"/>
    <w:rsid w:val="005A269F"/>
    <w:rsid w:val="005A2ECB"/>
    <w:rsid w:val="005A305E"/>
    <w:rsid w:val="005A30BB"/>
    <w:rsid w:val="005A3887"/>
    <w:rsid w:val="005B0542"/>
    <w:rsid w:val="005B2225"/>
    <w:rsid w:val="005B2799"/>
    <w:rsid w:val="005B2B77"/>
    <w:rsid w:val="005B3D4A"/>
    <w:rsid w:val="005B4D87"/>
    <w:rsid w:val="005B57E5"/>
    <w:rsid w:val="005B60E7"/>
    <w:rsid w:val="005B6679"/>
    <w:rsid w:val="005B6F5D"/>
    <w:rsid w:val="005B7DD1"/>
    <w:rsid w:val="005C00A0"/>
    <w:rsid w:val="005C28FA"/>
    <w:rsid w:val="005C40F4"/>
    <w:rsid w:val="005C43BE"/>
    <w:rsid w:val="005C44F3"/>
    <w:rsid w:val="005C712D"/>
    <w:rsid w:val="005C7C75"/>
    <w:rsid w:val="005D0E4F"/>
    <w:rsid w:val="005D1E32"/>
    <w:rsid w:val="005D206B"/>
    <w:rsid w:val="005D22B7"/>
    <w:rsid w:val="005D25BF"/>
    <w:rsid w:val="005D2BDE"/>
    <w:rsid w:val="005D3D76"/>
    <w:rsid w:val="005D4578"/>
    <w:rsid w:val="005D4EFA"/>
    <w:rsid w:val="005D55BA"/>
    <w:rsid w:val="005D5ADB"/>
    <w:rsid w:val="005D6176"/>
    <w:rsid w:val="005D648A"/>
    <w:rsid w:val="005D7E0D"/>
    <w:rsid w:val="005E0F9F"/>
    <w:rsid w:val="005E234A"/>
    <w:rsid w:val="005E35CC"/>
    <w:rsid w:val="005E371E"/>
    <w:rsid w:val="005E53F9"/>
    <w:rsid w:val="005E6B73"/>
    <w:rsid w:val="005E775D"/>
    <w:rsid w:val="005F0A43"/>
    <w:rsid w:val="005F1DCD"/>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2E99"/>
    <w:rsid w:val="00603312"/>
    <w:rsid w:val="00604DC7"/>
    <w:rsid w:val="00604E47"/>
    <w:rsid w:val="00605441"/>
    <w:rsid w:val="00606970"/>
    <w:rsid w:val="00606A20"/>
    <w:rsid w:val="006072C6"/>
    <w:rsid w:val="00607A2E"/>
    <w:rsid w:val="00610175"/>
    <w:rsid w:val="006130F7"/>
    <w:rsid w:val="00613AF8"/>
    <w:rsid w:val="00613D8E"/>
    <w:rsid w:val="006142E0"/>
    <w:rsid w:val="00616112"/>
    <w:rsid w:val="00617A04"/>
    <w:rsid w:val="006205CA"/>
    <w:rsid w:val="00621F53"/>
    <w:rsid w:val="00622E2A"/>
    <w:rsid w:val="00623089"/>
    <w:rsid w:val="0062308E"/>
    <w:rsid w:val="006234C4"/>
    <w:rsid w:val="006244C9"/>
    <w:rsid w:val="006245F6"/>
    <w:rsid w:val="0062475D"/>
    <w:rsid w:val="0062495F"/>
    <w:rsid w:val="0062644F"/>
    <w:rsid w:val="0062660B"/>
    <w:rsid w:val="00626AD1"/>
    <w:rsid w:val="006304BC"/>
    <w:rsid w:val="00630DCE"/>
    <w:rsid w:val="0063120A"/>
    <w:rsid w:val="0063150B"/>
    <w:rsid w:val="00631585"/>
    <w:rsid w:val="00633A84"/>
    <w:rsid w:val="00634ACF"/>
    <w:rsid w:val="00635035"/>
    <w:rsid w:val="0063580D"/>
    <w:rsid w:val="00635CAE"/>
    <w:rsid w:val="0063684B"/>
    <w:rsid w:val="00637240"/>
    <w:rsid w:val="00640629"/>
    <w:rsid w:val="00643660"/>
    <w:rsid w:val="00647F6A"/>
    <w:rsid w:val="00650139"/>
    <w:rsid w:val="00652756"/>
    <w:rsid w:val="00652AD8"/>
    <w:rsid w:val="00652B79"/>
    <w:rsid w:val="006533C3"/>
    <w:rsid w:val="00654068"/>
    <w:rsid w:val="00654B38"/>
    <w:rsid w:val="00654B83"/>
    <w:rsid w:val="00655061"/>
    <w:rsid w:val="0065510C"/>
    <w:rsid w:val="00655AF5"/>
    <w:rsid w:val="00655B63"/>
    <w:rsid w:val="006571F6"/>
    <w:rsid w:val="006618CC"/>
    <w:rsid w:val="00662111"/>
    <w:rsid w:val="00662118"/>
    <w:rsid w:val="006638AD"/>
    <w:rsid w:val="0066732C"/>
    <w:rsid w:val="006679F5"/>
    <w:rsid w:val="00667B77"/>
    <w:rsid w:val="00670EDE"/>
    <w:rsid w:val="006716DA"/>
    <w:rsid w:val="006728ED"/>
    <w:rsid w:val="006732B1"/>
    <w:rsid w:val="00673E9D"/>
    <w:rsid w:val="0067446F"/>
    <w:rsid w:val="006746A4"/>
    <w:rsid w:val="00675558"/>
    <w:rsid w:val="00675611"/>
    <w:rsid w:val="00675A60"/>
    <w:rsid w:val="0067697E"/>
    <w:rsid w:val="00677264"/>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3E68"/>
    <w:rsid w:val="006B555A"/>
    <w:rsid w:val="006B600A"/>
    <w:rsid w:val="006B6635"/>
    <w:rsid w:val="006B71B8"/>
    <w:rsid w:val="006B7D22"/>
    <w:rsid w:val="006B7D2C"/>
    <w:rsid w:val="006C1019"/>
    <w:rsid w:val="006C2BB5"/>
    <w:rsid w:val="006C2BEE"/>
    <w:rsid w:val="006C3AD8"/>
    <w:rsid w:val="006C4516"/>
    <w:rsid w:val="006C455E"/>
    <w:rsid w:val="006C5958"/>
    <w:rsid w:val="006C5B4F"/>
    <w:rsid w:val="006C643C"/>
    <w:rsid w:val="006C6E3A"/>
    <w:rsid w:val="006C6FD7"/>
    <w:rsid w:val="006C711B"/>
    <w:rsid w:val="006D00DB"/>
    <w:rsid w:val="006D0361"/>
    <w:rsid w:val="006D16B0"/>
    <w:rsid w:val="006D2182"/>
    <w:rsid w:val="006D2444"/>
    <w:rsid w:val="006D254B"/>
    <w:rsid w:val="006D289B"/>
    <w:rsid w:val="006D3BE1"/>
    <w:rsid w:val="006D3EE9"/>
    <w:rsid w:val="006D48FC"/>
    <w:rsid w:val="006D62BC"/>
    <w:rsid w:val="006D6450"/>
    <w:rsid w:val="006D6939"/>
    <w:rsid w:val="006D7EB0"/>
    <w:rsid w:val="006E0138"/>
    <w:rsid w:val="006E0648"/>
    <w:rsid w:val="006E0BB0"/>
    <w:rsid w:val="006E12C3"/>
    <w:rsid w:val="006E2529"/>
    <w:rsid w:val="006E45F3"/>
    <w:rsid w:val="006E4A2F"/>
    <w:rsid w:val="006E4ED4"/>
    <w:rsid w:val="006E5E19"/>
    <w:rsid w:val="006E61C3"/>
    <w:rsid w:val="006E799D"/>
    <w:rsid w:val="006F0593"/>
    <w:rsid w:val="006F1064"/>
    <w:rsid w:val="006F1EB7"/>
    <w:rsid w:val="006F2EEF"/>
    <w:rsid w:val="006F45C8"/>
    <w:rsid w:val="006F52E5"/>
    <w:rsid w:val="006F54E4"/>
    <w:rsid w:val="006F6066"/>
    <w:rsid w:val="006F6850"/>
    <w:rsid w:val="006F707E"/>
    <w:rsid w:val="007001DC"/>
    <w:rsid w:val="007025CB"/>
    <w:rsid w:val="007034AA"/>
    <w:rsid w:val="00703C9D"/>
    <w:rsid w:val="0070490C"/>
    <w:rsid w:val="0070527F"/>
    <w:rsid w:val="00705C38"/>
    <w:rsid w:val="00706465"/>
    <w:rsid w:val="0070695A"/>
    <w:rsid w:val="0070782D"/>
    <w:rsid w:val="007109C2"/>
    <w:rsid w:val="00711340"/>
    <w:rsid w:val="0071272B"/>
    <w:rsid w:val="00712C42"/>
    <w:rsid w:val="00713DE4"/>
    <w:rsid w:val="00714C47"/>
    <w:rsid w:val="007151F5"/>
    <w:rsid w:val="00716462"/>
    <w:rsid w:val="00716809"/>
    <w:rsid w:val="00721084"/>
    <w:rsid w:val="00721262"/>
    <w:rsid w:val="00721D9B"/>
    <w:rsid w:val="00722121"/>
    <w:rsid w:val="007224B9"/>
    <w:rsid w:val="00722F94"/>
    <w:rsid w:val="00723AA7"/>
    <w:rsid w:val="0072432E"/>
    <w:rsid w:val="00724679"/>
    <w:rsid w:val="00726036"/>
    <w:rsid w:val="00726279"/>
    <w:rsid w:val="00726A9B"/>
    <w:rsid w:val="00727530"/>
    <w:rsid w:val="00731E7C"/>
    <w:rsid w:val="007329EF"/>
    <w:rsid w:val="0073327A"/>
    <w:rsid w:val="00734EBE"/>
    <w:rsid w:val="00736DD8"/>
    <w:rsid w:val="00737BFD"/>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938"/>
    <w:rsid w:val="00751091"/>
    <w:rsid w:val="00751B83"/>
    <w:rsid w:val="00754359"/>
    <w:rsid w:val="00754411"/>
    <w:rsid w:val="00754BD9"/>
    <w:rsid w:val="00754E7A"/>
    <w:rsid w:val="0075540C"/>
    <w:rsid w:val="00755DB1"/>
    <w:rsid w:val="007574FC"/>
    <w:rsid w:val="00760975"/>
    <w:rsid w:val="00761FDA"/>
    <w:rsid w:val="007621FF"/>
    <w:rsid w:val="007625AC"/>
    <w:rsid w:val="007634E3"/>
    <w:rsid w:val="00764194"/>
    <w:rsid w:val="00765ED3"/>
    <w:rsid w:val="00765FC2"/>
    <w:rsid w:val="0076681D"/>
    <w:rsid w:val="00766A65"/>
    <w:rsid w:val="007671F5"/>
    <w:rsid w:val="007676B8"/>
    <w:rsid w:val="0077175C"/>
    <w:rsid w:val="00771870"/>
    <w:rsid w:val="00771BF9"/>
    <w:rsid w:val="00772F8A"/>
    <w:rsid w:val="00773208"/>
    <w:rsid w:val="007739C6"/>
    <w:rsid w:val="00774043"/>
    <w:rsid w:val="00774889"/>
    <w:rsid w:val="00774FF5"/>
    <w:rsid w:val="007750B3"/>
    <w:rsid w:val="00775F76"/>
    <w:rsid w:val="00776AEA"/>
    <w:rsid w:val="00777BA0"/>
    <w:rsid w:val="007803BD"/>
    <w:rsid w:val="007811DC"/>
    <w:rsid w:val="007820FA"/>
    <w:rsid w:val="0078285F"/>
    <w:rsid w:val="00783207"/>
    <w:rsid w:val="00783C35"/>
    <w:rsid w:val="00783E1D"/>
    <w:rsid w:val="0078483B"/>
    <w:rsid w:val="00784EED"/>
    <w:rsid w:val="00785900"/>
    <w:rsid w:val="00786958"/>
    <w:rsid w:val="00786D96"/>
    <w:rsid w:val="00786E71"/>
    <w:rsid w:val="007874A4"/>
    <w:rsid w:val="007901B3"/>
    <w:rsid w:val="00790A6A"/>
    <w:rsid w:val="0079162F"/>
    <w:rsid w:val="00794924"/>
    <w:rsid w:val="00795159"/>
    <w:rsid w:val="007965A2"/>
    <w:rsid w:val="007A0BC2"/>
    <w:rsid w:val="007A1DE2"/>
    <w:rsid w:val="007A1F44"/>
    <w:rsid w:val="007A23FF"/>
    <w:rsid w:val="007A295B"/>
    <w:rsid w:val="007A3424"/>
    <w:rsid w:val="007A35EF"/>
    <w:rsid w:val="007A43A2"/>
    <w:rsid w:val="007A4D04"/>
    <w:rsid w:val="007A584A"/>
    <w:rsid w:val="007A586D"/>
    <w:rsid w:val="007A59F1"/>
    <w:rsid w:val="007A7A96"/>
    <w:rsid w:val="007B03AF"/>
    <w:rsid w:val="007B1543"/>
    <w:rsid w:val="007B1AC0"/>
    <w:rsid w:val="007B270A"/>
    <w:rsid w:val="007B2D3B"/>
    <w:rsid w:val="007B52CD"/>
    <w:rsid w:val="007B5FD5"/>
    <w:rsid w:val="007B7DC1"/>
    <w:rsid w:val="007B7EDB"/>
    <w:rsid w:val="007C19AD"/>
    <w:rsid w:val="007C3598"/>
    <w:rsid w:val="007C3FA8"/>
    <w:rsid w:val="007C4297"/>
    <w:rsid w:val="007C68DA"/>
    <w:rsid w:val="007C6F32"/>
    <w:rsid w:val="007D229A"/>
    <w:rsid w:val="007D2F44"/>
    <w:rsid w:val="007D2F4D"/>
    <w:rsid w:val="007D4178"/>
    <w:rsid w:val="007D4D33"/>
    <w:rsid w:val="007D7175"/>
    <w:rsid w:val="007E1369"/>
    <w:rsid w:val="007E1A1B"/>
    <w:rsid w:val="007E1A88"/>
    <w:rsid w:val="007E3F88"/>
    <w:rsid w:val="007E4C88"/>
    <w:rsid w:val="007E55BC"/>
    <w:rsid w:val="007E585E"/>
    <w:rsid w:val="007E7DDF"/>
    <w:rsid w:val="007F11C8"/>
    <w:rsid w:val="007F1CFB"/>
    <w:rsid w:val="007F220B"/>
    <w:rsid w:val="007F27DD"/>
    <w:rsid w:val="007F6880"/>
    <w:rsid w:val="007F76B4"/>
    <w:rsid w:val="007F79A2"/>
    <w:rsid w:val="008001B4"/>
    <w:rsid w:val="00800769"/>
    <w:rsid w:val="00800ED2"/>
    <w:rsid w:val="00802E74"/>
    <w:rsid w:val="008033BE"/>
    <w:rsid w:val="008033D1"/>
    <w:rsid w:val="00804B92"/>
    <w:rsid w:val="00804C38"/>
    <w:rsid w:val="00804E21"/>
    <w:rsid w:val="00805092"/>
    <w:rsid w:val="00806AAF"/>
    <w:rsid w:val="008070AC"/>
    <w:rsid w:val="008101FD"/>
    <w:rsid w:val="00810D8D"/>
    <w:rsid w:val="008115C2"/>
    <w:rsid w:val="00811835"/>
    <w:rsid w:val="0081581D"/>
    <w:rsid w:val="008170F2"/>
    <w:rsid w:val="008172BE"/>
    <w:rsid w:val="00817B71"/>
    <w:rsid w:val="00820244"/>
    <w:rsid w:val="008221B3"/>
    <w:rsid w:val="0082248E"/>
    <w:rsid w:val="00824993"/>
    <w:rsid w:val="00824FDF"/>
    <w:rsid w:val="00825125"/>
    <w:rsid w:val="008257CC"/>
    <w:rsid w:val="00827449"/>
    <w:rsid w:val="008274BF"/>
    <w:rsid w:val="00830222"/>
    <w:rsid w:val="00830DC3"/>
    <w:rsid w:val="00831555"/>
    <w:rsid w:val="00831F52"/>
    <w:rsid w:val="00832154"/>
    <w:rsid w:val="00832F5C"/>
    <w:rsid w:val="0083338C"/>
    <w:rsid w:val="008359E0"/>
    <w:rsid w:val="008376F6"/>
    <w:rsid w:val="00837D5B"/>
    <w:rsid w:val="00840607"/>
    <w:rsid w:val="00841CD2"/>
    <w:rsid w:val="00842B77"/>
    <w:rsid w:val="0084309F"/>
    <w:rsid w:val="00845C12"/>
    <w:rsid w:val="008469D9"/>
    <w:rsid w:val="00846DC0"/>
    <w:rsid w:val="008474A7"/>
    <w:rsid w:val="008506B6"/>
    <w:rsid w:val="00850AE0"/>
    <w:rsid w:val="00850B7E"/>
    <w:rsid w:val="00851BAB"/>
    <w:rsid w:val="008524D2"/>
    <w:rsid w:val="00852E19"/>
    <w:rsid w:val="008554D6"/>
    <w:rsid w:val="00856833"/>
    <w:rsid w:val="00856840"/>
    <w:rsid w:val="0085719A"/>
    <w:rsid w:val="0086087C"/>
    <w:rsid w:val="00860D8E"/>
    <w:rsid w:val="0086275E"/>
    <w:rsid w:val="00864440"/>
    <w:rsid w:val="00864D76"/>
    <w:rsid w:val="008650FC"/>
    <w:rsid w:val="00866EB3"/>
    <w:rsid w:val="0086701A"/>
    <w:rsid w:val="00867BD2"/>
    <w:rsid w:val="00870FB1"/>
    <w:rsid w:val="008712FD"/>
    <w:rsid w:val="008716A1"/>
    <w:rsid w:val="00872D3F"/>
    <w:rsid w:val="008733E4"/>
    <w:rsid w:val="00873F15"/>
    <w:rsid w:val="00874096"/>
    <w:rsid w:val="00874F5B"/>
    <w:rsid w:val="008756A4"/>
    <w:rsid w:val="00875F73"/>
    <w:rsid w:val="00880F30"/>
    <w:rsid w:val="008833E8"/>
    <w:rsid w:val="0088345E"/>
    <w:rsid w:val="00885CE3"/>
    <w:rsid w:val="00887B48"/>
    <w:rsid w:val="0089176E"/>
    <w:rsid w:val="008917E0"/>
    <w:rsid w:val="00892365"/>
    <w:rsid w:val="00892BE5"/>
    <w:rsid w:val="0089387C"/>
    <w:rsid w:val="00894109"/>
    <w:rsid w:val="0089444E"/>
    <w:rsid w:val="008949DF"/>
    <w:rsid w:val="008951DB"/>
    <w:rsid w:val="00896C81"/>
    <w:rsid w:val="00896D83"/>
    <w:rsid w:val="00897AA9"/>
    <w:rsid w:val="008A067D"/>
    <w:rsid w:val="008A0AB2"/>
    <w:rsid w:val="008A0CFC"/>
    <w:rsid w:val="008A12FE"/>
    <w:rsid w:val="008A28B6"/>
    <w:rsid w:val="008A2BB1"/>
    <w:rsid w:val="008A3466"/>
    <w:rsid w:val="008A389F"/>
    <w:rsid w:val="008A3D02"/>
    <w:rsid w:val="008A5940"/>
    <w:rsid w:val="008A606F"/>
    <w:rsid w:val="008A73B2"/>
    <w:rsid w:val="008B043F"/>
    <w:rsid w:val="008B0808"/>
    <w:rsid w:val="008B0AEC"/>
    <w:rsid w:val="008B1E53"/>
    <w:rsid w:val="008B1E5B"/>
    <w:rsid w:val="008B389D"/>
    <w:rsid w:val="008B3C5C"/>
    <w:rsid w:val="008B5299"/>
    <w:rsid w:val="008B5A5F"/>
    <w:rsid w:val="008B5AB0"/>
    <w:rsid w:val="008B6054"/>
    <w:rsid w:val="008B7B08"/>
    <w:rsid w:val="008C12F4"/>
    <w:rsid w:val="008C13F0"/>
    <w:rsid w:val="008C1F26"/>
    <w:rsid w:val="008C2A3A"/>
    <w:rsid w:val="008C4038"/>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CFB"/>
    <w:rsid w:val="008E0EB8"/>
    <w:rsid w:val="008E10A6"/>
    <w:rsid w:val="008E1271"/>
    <w:rsid w:val="008E2251"/>
    <w:rsid w:val="008E24B3"/>
    <w:rsid w:val="008E24CA"/>
    <w:rsid w:val="008E2F6E"/>
    <w:rsid w:val="008E38AD"/>
    <w:rsid w:val="008E3EEC"/>
    <w:rsid w:val="008E5BF2"/>
    <w:rsid w:val="008E5C81"/>
    <w:rsid w:val="008F0A38"/>
    <w:rsid w:val="008F0AD3"/>
    <w:rsid w:val="008F0F84"/>
    <w:rsid w:val="008F1014"/>
    <w:rsid w:val="008F11C9"/>
    <w:rsid w:val="008F23D8"/>
    <w:rsid w:val="008F2FD5"/>
    <w:rsid w:val="008F37E5"/>
    <w:rsid w:val="008F48C2"/>
    <w:rsid w:val="008F5840"/>
    <w:rsid w:val="008F5EEF"/>
    <w:rsid w:val="008F611D"/>
    <w:rsid w:val="008F66FE"/>
    <w:rsid w:val="008F72CC"/>
    <w:rsid w:val="008F72CD"/>
    <w:rsid w:val="008F740B"/>
    <w:rsid w:val="008F7618"/>
    <w:rsid w:val="00901294"/>
    <w:rsid w:val="00903802"/>
    <w:rsid w:val="00903F64"/>
    <w:rsid w:val="0090696D"/>
    <w:rsid w:val="00906CD6"/>
    <w:rsid w:val="00906E4D"/>
    <w:rsid w:val="00906EA3"/>
    <w:rsid w:val="00906F31"/>
    <w:rsid w:val="009078B3"/>
    <w:rsid w:val="00907A77"/>
    <w:rsid w:val="00907E00"/>
    <w:rsid w:val="0091088D"/>
    <w:rsid w:val="00910D4A"/>
    <w:rsid w:val="00910FC9"/>
    <w:rsid w:val="0091291A"/>
    <w:rsid w:val="00913612"/>
    <w:rsid w:val="0091366A"/>
    <w:rsid w:val="00913824"/>
    <w:rsid w:val="00915757"/>
    <w:rsid w:val="009159B3"/>
    <w:rsid w:val="00916181"/>
    <w:rsid w:val="0091766A"/>
    <w:rsid w:val="009204C5"/>
    <w:rsid w:val="0092180D"/>
    <w:rsid w:val="009232C9"/>
    <w:rsid w:val="00923608"/>
    <w:rsid w:val="009238E5"/>
    <w:rsid w:val="00923F12"/>
    <w:rsid w:val="00924FF8"/>
    <w:rsid w:val="00925BA8"/>
    <w:rsid w:val="00926DA7"/>
    <w:rsid w:val="009271AA"/>
    <w:rsid w:val="00927F8B"/>
    <w:rsid w:val="0093094D"/>
    <w:rsid w:val="009328C7"/>
    <w:rsid w:val="009336EC"/>
    <w:rsid w:val="00933F56"/>
    <w:rsid w:val="00934C13"/>
    <w:rsid w:val="00935228"/>
    <w:rsid w:val="009355A2"/>
    <w:rsid w:val="00935F9E"/>
    <w:rsid w:val="00936D98"/>
    <w:rsid w:val="009428A7"/>
    <w:rsid w:val="00942C80"/>
    <w:rsid w:val="00943197"/>
    <w:rsid w:val="009435F2"/>
    <w:rsid w:val="00945180"/>
    <w:rsid w:val="0094590C"/>
    <w:rsid w:val="00945A4C"/>
    <w:rsid w:val="00946355"/>
    <w:rsid w:val="009468B7"/>
    <w:rsid w:val="00946E24"/>
    <w:rsid w:val="0094724E"/>
    <w:rsid w:val="00947973"/>
    <w:rsid w:val="00947BE6"/>
    <w:rsid w:val="0095048D"/>
    <w:rsid w:val="00951ADB"/>
    <w:rsid w:val="0095380C"/>
    <w:rsid w:val="00954353"/>
    <w:rsid w:val="00954CCF"/>
    <w:rsid w:val="00954F1A"/>
    <w:rsid w:val="00955C0A"/>
    <w:rsid w:val="00955C4F"/>
    <w:rsid w:val="009571AB"/>
    <w:rsid w:val="009616E6"/>
    <w:rsid w:val="009657F1"/>
    <w:rsid w:val="0096625D"/>
    <w:rsid w:val="009709F8"/>
    <w:rsid w:val="00972296"/>
    <w:rsid w:val="00972929"/>
    <w:rsid w:val="00972B1F"/>
    <w:rsid w:val="00972F91"/>
    <w:rsid w:val="00973827"/>
    <w:rsid w:val="009742D3"/>
    <w:rsid w:val="00977BA7"/>
    <w:rsid w:val="00980517"/>
    <w:rsid w:val="0098194F"/>
    <w:rsid w:val="009826C8"/>
    <w:rsid w:val="009836E4"/>
    <w:rsid w:val="0098412F"/>
    <w:rsid w:val="0098525A"/>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6A8"/>
    <w:rsid w:val="009A2DF9"/>
    <w:rsid w:val="009A3A86"/>
    <w:rsid w:val="009A4869"/>
    <w:rsid w:val="009A6A6B"/>
    <w:rsid w:val="009B0F1E"/>
    <w:rsid w:val="009B1EF9"/>
    <w:rsid w:val="009B26AC"/>
    <w:rsid w:val="009B37E2"/>
    <w:rsid w:val="009B4519"/>
    <w:rsid w:val="009B506B"/>
    <w:rsid w:val="009B57EF"/>
    <w:rsid w:val="009B5B85"/>
    <w:rsid w:val="009B7204"/>
    <w:rsid w:val="009C0074"/>
    <w:rsid w:val="009C0564"/>
    <w:rsid w:val="009C0C4E"/>
    <w:rsid w:val="009C1E6F"/>
    <w:rsid w:val="009C249E"/>
    <w:rsid w:val="009C2685"/>
    <w:rsid w:val="009C39BC"/>
    <w:rsid w:val="009C4801"/>
    <w:rsid w:val="009C4BC2"/>
    <w:rsid w:val="009C4D22"/>
    <w:rsid w:val="009C5F63"/>
    <w:rsid w:val="009C7320"/>
    <w:rsid w:val="009D0729"/>
    <w:rsid w:val="009D0F66"/>
    <w:rsid w:val="009D1A06"/>
    <w:rsid w:val="009D1BA4"/>
    <w:rsid w:val="009D22E4"/>
    <w:rsid w:val="009D22F7"/>
    <w:rsid w:val="009D272B"/>
    <w:rsid w:val="009D319C"/>
    <w:rsid w:val="009D5BAB"/>
    <w:rsid w:val="009D6A0A"/>
    <w:rsid w:val="009E058F"/>
    <w:rsid w:val="009E0A9E"/>
    <w:rsid w:val="009E19A2"/>
    <w:rsid w:val="009E3AFD"/>
    <w:rsid w:val="009E3CDD"/>
    <w:rsid w:val="009E4AEC"/>
    <w:rsid w:val="009E4B16"/>
    <w:rsid w:val="009E5AC6"/>
    <w:rsid w:val="009E5C60"/>
    <w:rsid w:val="009E64DB"/>
    <w:rsid w:val="009E6794"/>
    <w:rsid w:val="009E7189"/>
    <w:rsid w:val="009E7E46"/>
    <w:rsid w:val="009E7FC1"/>
    <w:rsid w:val="009F01E1"/>
    <w:rsid w:val="009F0B4D"/>
    <w:rsid w:val="009F1096"/>
    <w:rsid w:val="009F150E"/>
    <w:rsid w:val="009F1A49"/>
    <w:rsid w:val="009F253C"/>
    <w:rsid w:val="009F27AD"/>
    <w:rsid w:val="009F3FB5"/>
    <w:rsid w:val="009F521F"/>
    <w:rsid w:val="009F553C"/>
    <w:rsid w:val="009F59F8"/>
    <w:rsid w:val="00A005B0"/>
    <w:rsid w:val="00A0095A"/>
    <w:rsid w:val="00A01F17"/>
    <w:rsid w:val="00A022A5"/>
    <w:rsid w:val="00A03A22"/>
    <w:rsid w:val="00A04634"/>
    <w:rsid w:val="00A06119"/>
    <w:rsid w:val="00A07A48"/>
    <w:rsid w:val="00A108EE"/>
    <w:rsid w:val="00A10BB8"/>
    <w:rsid w:val="00A1200D"/>
    <w:rsid w:val="00A137E4"/>
    <w:rsid w:val="00A13C82"/>
    <w:rsid w:val="00A1455F"/>
    <w:rsid w:val="00A14813"/>
    <w:rsid w:val="00A1566A"/>
    <w:rsid w:val="00A165BF"/>
    <w:rsid w:val="00A172E8"/>
    <w:rsid w:val="00A179FF"/>
    <w:rsid w:val="00A21A36"/>
    <w:rsid w:val="00A25294"/>
    <w:rsid w:val="00A254EE"/>
    <w:rsid w:val="00A25BE7"/>
    <w:rsid w:val="00A26D4F"/>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F53"/>
    <w:rsid w:val="00A4376F"/>
    <w:rsid w:val="00A44F70"/>
    <w:rsid w:val="00A4549F"/>
    <w:rsid w:val="00A45B9B"/>
    <w:rsid w:val="00A462FE"/>
    <w:rsid w:val="00A466CC"/>
    <w:rsid w:val="00A4790C"/>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6758"/>
    <w:rsid w:val="00A67544"/>
    <w:rsid w:val="00A700A8"/>
    <w:rsid w:val="00A7075B"/>
    <w:rsid w:val="00A71CE6"/>
    <w:rsid w:val="00A71D23"/>
    <w:rsid w:val="00A7333A"/>
    <w:rsid w:val="00A73D0D"/>
    <w:rsid w:val="00A7439C"/>
    <w:rsid w:val="00A74A92"/>
    <w:rsid w:val="00A75CC1"/>
    <w:rsid w:val="00A75E88"/>
    <w:rsid w:val="00A8056E"/>
    <w:rsid w:val="00A8094B"/>
    <w:rsid w:val="00A81357"/>
    <w:rsid w:val="00A82995"/>
    <w:rsid w:val="00A82D58"/>
    <w:rsid w:val="00A8399D"/>
    <w:rsid w:val="00A83E3D"/>
    <w:rsid w:val="00A8443A"/>
    <w:rsid w:val="00A8479C"/>
    <w:rsid w:val="00A8540B"/>
    <w:rsid w:val="00A8557B"/>
    <w:rsid w:val="00A85A05"/>
    <w:rsid w:val="00A86AD9"/>
    <w:rsid w:val="00A86D63"/>
    <w:rsid w:val="00A87797"/>
    <w:rsid w:val="00A8783D"/>
    <w:rsid w:val="00A90E72"/>
    <w:rsid w:val="00A922A2"/>
    <w:rsid w:val="00A9327B"/>
    <w:rsid w:val="00A93B69"/>
    <w:rsid w:val="00A963C7"/>
    <w:rsid w:val="00AA1626"/>
    <w:rsid w:val="00AA1C25"/>
    <w:rsid w:val="00AA3DB7"/>
    <w:rsid w:val="00AA3E3C"/>
    <w:rsid w:val="00AA4729"/>
    <w:rsid w:val="00AA51F5"/>
    <w:rsid w:val="00AA5E3B"/>
    <w:rsid w:val="00AA68B4"/>
    <w:rsid w:val="00AB0543"/>
    <w:rsid w:val="00AB0AC9"/>
    <w:rsid w:val="00AB185A"/>
    <w:rsid w:val="00AB1BA7"/>
    <w:rsid w:val="00AB1E04"/>
    <w:rsid w:val="00AB29CF"/>
    <w:rsid w:val="00AB3113"/>
    <w:rsid w:val="00AB348A"/>
    <w:rsid w:val="00AB38BC"/>
    <w:rsid w:val="00AB3F38"/>
    <w:rsid w:val="00AB43EC"/>
    <w:rsid w:val="00AB4BF4"/>
    <w:rsid w:val="00AB5ADF"/>
    <w:rsid w:val="00AB5E57"/>
    <w:rsid w:val="00AB725F"/>
    <w:rsid w:val="00AC0705"/>
    <w:rsid w:val="00AC109B"/>
    <w:rsid w:val="00AC74DA"/>
    <w:rsid w:val="00AC7A2B"/>
    <w:rsid w:val="00AC7C19"/>
    <w:rsid w:val="00AC7C25"/>
    <w:rsid w:val="00AD0A51"/>
    <w:rsid w:val="00AD0B37"/>
    <w:rsid w:val="00AD11F7"/>
    <w:rsid w:val="00AD1DB7"/>
    <w:rsid w:val="00AD2852"/>
    <w:rsid w:val="00AD35FE"/>
    <w:rsid w:val="00AD3976"/>
    <w:rsid w:val="00AD3D37"/>
    <w:rsid w:val="00AD4D2A"/>
    <w:rsid w:val="00AD542F"/>
    <w:rsid w:val="00AD7305"/>
    <w:rsid w:val="00AD7E64"/>
    <w:rsid w:val="00AE0C56"/>
    <w:rsid w:val="00AE149E"/>
    <w:rsid w:val="00AE22F2"/>
    <w:rsid w:val="00AE29FC"/>
    <w:rsid w:val="00AE2F3F"/>
    <w:rsid w:val="00AE369B"/>
    <w:rsid w:val="00AE3B4E"/>
    <w:rsid w:val="00AE59EC"/>
    <w:rsid w:val="00AE5FB3"/>
    <w:rsid w:val="00AE67B3"/>
    <w:rsid w:val="00AE7864"/>
    <w:rsid w:val="00AE7949"/>
    <w:rsid w:val="00AF25D5"/>
    <w:rsid w:val="00AF3DBB"/>
    <w:rsid w:val="00AF4BE1"/>
    <w:rsid w:val="00AF5194"/>
    <w:rsid w:val="00AF53EF"/>
    <w:rsid w:val="00AF6DCB"/>
    <w:rsid w:val="00AF73C3"/>
    <w:rsid w:val="00AF795C"/>
    <w:rsid w:val="00B0032B"/>
    <w:rsid w:val="00B00752"/>
    <w:rsid w:val="00B026C1"/>
    <w:rsid w:val="00B02B0E"/>
    <w:rsid w:val="00B02B9C"/>
    <w:rsid w:val="00B0353B"/>
    <w:rsid w:val="00B040B2"/>
    <w:rsid w:val="00B05AF0"/>
    <w:rsid w:val="00B074C4"/>
    <w:rsid w:val="00B10558"/>
    <w:rsid w:val="00B106C0"/>
    <w:rsid w:val="00B12208"/>
    <w:rsid w:val="00B156A9"/>
    <w:rsid w:val="00B15F83"/>
    <w:rsid w:val="00B160FF"/>
    <w:rsid w:val="00B16322"/>
    <w:rsid w:val="00B1662E"/>
    <w:rsid w:val="00B16A6F"/>
    <w:rsid w:val="00B22C0D"/>
    <w:rsid w:val="00B22E2A"/>
    <w:rsid w:val="00B23A7C"/>
    <w:rsid w:val="00B23AF4"/>
    <w:rsid w:val="00B23C15"/>
    <w:rsid w:val="00B25762"/>
    <w:rsid w:val="00B25B40"/>
    <w:rsid w:val="00B25FDE"/>
    <w:rsid w:val="00B26AB0"/>
    <w:rsid w:val="00B26AD2"/>
    <w:rsid w:val="00B26CA2"/>
    <w:rsid w:val="00B270E7"/>
    <w:rsid w:val="00B30B4E"/>
    <w:rsid w:val="00B30C01"/>
    <w:rsid w:val="00B31246"/>
    <w:rsid w:val="00B326FF"/>
    <w:rsid w:val="00B340AA"/>
    <w:rsid w:val="00B345E3"/>
    <w:rsid w:val="00B3486A"/>
    <w:rsid w:val="00B34A9F"/>
    <w:rsid w:val="00B34B80"/>
    <w:rsid w:val="00B35CDA"/>
    <w:rsid w:val="00B37D97"/>
    <w:rsid w:val="00B411BD"/>
    <w:rsid w:val="00B41559"/>
    <w:rsid w:val="00B4181E"/>
    <w:rsid w:val="00B418E8"/>
    <w:rsid w:val="00B42285"/>
    <w:rsid w:val="00B4274B"/>
    <w:rsid w:val="00B435B1"/>
    <w:rsid w:val="00B4367F"/>
    <w:rsid w:val="00B438BA"/>
    <w:rsid w:val="00B44F99"/>
    <w:rsid w:val="00B45876"/>
    <w:rsid w:val="00B51542"/>
    <w:rsid w:val="00B51D1D"/>
    <w:rsid w:val="00B52058"/>
    <w:rsid w:val="00B52693"/>
    <w:rsid w:val="00B52A87"/>
    <w:rsid w:val="00B5310E"/>
    <w:rsid w:val="00B54ACC"/>
    <w:rsid w:val="00B54DCB"/>
    <w:rsid w:val="00B54ED1"/>
    <w:rsid w:val="00B55AC2"/>
    <w:rsid w:val="00B560C9"/>
    <w:rsid w:val="00B56533"/>
    <w:rsid w:val="00B56CFC"/>
    <w:rsid w:val="00B57777"/>
    <w:rsid w:val="00B57A17"/>
    <w:rsid w:val="00B61BE2"/>
    <w:rsid w:val="00B6266F"/>
    <w:rsid w:val="00B62E0B"/>
    <w:rsid w:val="00B63C32"/>
    <w:rsid w:val="00B64434"/>
    <w:rsid w:val="00B646EF"/>
    <w:rsid w:val="00B662AB"/>
    <w:rsid w:val="00B711CE"/>
    <w:rsid w:val="00B71DC8"/>
    <w:rsid w:val="00B74521"/>
    <w:rsid w:val="00B746C6"/>
    <w:rsid w:val="00B7604C"/>
    <w:rsid w:val="00B7652C"/>
    <w:rsid w:val="00B766BF"/>
    <w:rsid w:val="00B76FA6"/>
    <w:rsid w:val="00B77C90"/>
    <w:rsid w:val="00B80910"/>
    <w:rsid w:val="00B80BC6"/>
    <w:rsid w:val="00B81086"/>
    <w:rsid w:val="00B818F4"/>
    <w:rsid w:val="00B81BC9"/>
    <w:rsid w:val="00B8222F"/>
    <w:rsid w:val="00B82615"/>
    <w:rsid w:val="00B83444"/>
    <w:rsid w:val="00B836ED"/>
    <w:rsid w:val="00B846D3"/>
    <w:rsid w:val="00B853BE"/>
    <w:rsid w:val="00B86476"/>
    <w:rsid w:val="00B86A3D"/>
    <w:rsid w:val="00B875C7"/>
    <w:rsid w:val="00B900D1"/>
    <w:rsid w:val="00B90692"/>
    <w:rsid w:val="00B90D10"/>
    <w:rsid w:val="00B90FE5"/>
    <w:rsid w:val="00B919AD"/>
    <w:rsid w:val="00B91A2B"/>
    <w:rsid w:val="00B91E6E"/>
    <w:rsid w:val="00B93204"/>
    <w:rsid w:val="00B94E17"/>
    <w:rsid w:val="00B957FE"/>
    <w:rsid w:val="00B95F02"/>
    <w:rsid w:val="00B96BEF"/>
    <w:rsid w:val="00B96FC0"/>
    <w:rsid w:val="00B97260"/>
    <w:rsid w:val="00B97A69"/>
    <w:rsid w:val="00BA0632"/>
    <w:rsid w:val="00BA0AAA"/>
    <w:rsid w:val="00BA0DFB"/>
    <w:rsid w:val="00BA1B3F"/>
    <w:rsid w:val="00BA2FEF"/>
    <w:rsid w:val="00BA5EEB"/>
    <w:rsid w:val="00BB1548"/>
    <w:rsid w:val="00BB1697"/>
    <w:rsid w:val="00BB1CE7"/>
    <w:rsid w:val="00BB2DB6"/>
    <w:rsid w:val="00BB2FD3"/>
    <w:rsid w:val="00BB2FDF"/>
    <w:rsid w:val="00BB2FFF"/>
    <w:rsid w:val="00BB5FCB"/>
    <w:rsid w:val="00BB604B"/>
    <w:rsid w:val="00BC00B9"/>
    <w:rsid w:val="00BC00EC"/>
    <w:rsid w:val="00BC08C5"/>
    <w:rsid w:val="00BC12FB"/>
    <w:rsid w:val="00BC1AD4"/>
    <w:rsid w:val="00BC1C3C"/>
    <w:rsid w:val="00BC307F"/>
    <w:rsid w:val="00BC3159"/>
    <w:rsid w:val="00BC3257"/>
    <w:rsid w:val="00BC39DB"/>
    <w:rsid w:val="00BC3A32"/>
    <w:rsid w:val="00BC3B07"/>
    <w:rsid w:val="00BC46EF"/>
    <w:rsid w:val="00BC6FD6"/>
    <w:rsid w:val="00BC7F3D"/>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E14"/>
    <w:rsid w:val="00BE5FC4"/>
    <w:rsid w:val="00BE7C4D"/>
    <w:rsid w:val="00BE7F6A"/>
    <w:rsid w:val="00BF0274"/>
    <w:rsid w:val="00BF08AD"/>
    <w:rsid w:val="00BF08C4"/>
    <w:rsid w:val="00BF0BAF"/>
    <w:rsid w:val="00BF19CE"/>
    <w:rsid w:val="00BF2B6F"/>
    <w:rsid w:val="00BF351A"/>
    <w:rsid w:val="00BF3914"/>
    <w:rsid w:val="00BF49B1"/>
    <w:rsid w:val="00BF5552"/>
    <w:rsid w:val="00BF73F2"/>
    <w:rsid w:val="00C01671"/>
    <w:rsid w:val="00C02419"/>
    <w:rsid w:val="00C02766"/>
    <w:rsid w:val="00C036C3"/>
    <w:rsid w:val="00C03EE8"/>
    <w:rsid w:val="00C05BEC"/>
    <w:rsid w:val="00C06E7D"/>
    <w:rsid w:val="00C1112B"/>
    <w:rsid w:val="00C11A88"/>
    <w:rsid w:val="00C12012"/>
    <w:rsid w:val="00C12874"/>
    <w:rsid w:val="00C12BC1"/>
    <w:rsid w:val="00C13103"/>
    <w:rsid w:val="00C13BDA"/>
    <w:rsid w:val="00C13FFD"/>
    <w:rsid w:val="00C14632"/>
    <w:rsid w:val="00C16C30"/>
    <w:rsid w:val="00C20A00"/>
    <w:rsid w:val="00C21673"/>
    <w:rsid w:val="00C21C7A"/>
    <w:rsid w:val="00C22995"/>
    <w:rsid w:val="00C23130"/>
    <w:rsid w:val="00C255A5"/>
    <w:rsid w:val="00C2584B"/>
    <w:rsid w:val="00C25942"/>
    <w:rsid w:val="00C25DD9"/>
    <w:rsid w:val="00C25F57"/>
    <w:rsid w:val="00C2663F"/>
    <w:rsid w:val="00C26DB8"/>
    <w:rsid w:val="00C27179"/>
    <w:rsid w:val="00C32BF4"/>
    <w:rsid w:val="00C3400F"/>
    <w:rsid w:val="00C34894"/>
    <w:rsid w:val="00C34B64"/>
    <w:rsid w:val="00C34C36"/>
    <w:rsid w:val="00C352B3"/>
    <w:rsid w:val="00C3654C"/>
    <w:rsid w:val="00C36BF5"/>
    <w:rsid w:val="00C36DBC"/>
    <w:rsid w:val="00C376BA"/>
    <w:rsid w:val="00C40373"/>
    <w:rsid w:val="00C4082D"/>
    <w:rsid w:val="00C40AE6"/>
    <w:rsid w:val="00C411AF"/>
    <w:rsid w:val="00C4138D"/>
    <w:rsid w:val="00C41E3A"/>
    <w:rsid w:val="00C42330"/>
    <w:rsid w:val="00C429E5"/>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57E43"/>
    <w:rsid w:val="00C62CD5"/>
    <w:rsid w:val="00C636E6"/>
    <w:rsid w:val="00C639D6"/>
    <w:rsid w:val="00C63F8E"/>
    <w:rsid w:val="00C647FB"/>
    <w:rsid w:val="00C64870"/>
    <w:rsid w:val="00C64C87"/>
    <w:rsid w:val="00C654E0"/>
    <w:rsid w:val="00C6564F"/>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455E"/>
    <w:rsid w:val="00CA505A"/>
    <w:rsid w:val="00CA59DD"/>
    <w:rsid w:val="00CA69F9"/>
    <w:rsid w:val="00CB008E"/>
    <w:rsid w:val="00CB01FA"/>
    <w:rsid w:val="00CB0737"/>
    <w:rsid w:val="00CB097A"/>
    <w:rsid w:val="00CB26EC"/>
    <w:rsid w:val="00CB2D2A"/>
    <w:rsid w:val="00CB5B1E"/>
    <w:rsid w:val="00CB787A"/>
    <w:rsid w:val="00CC0C4A"/>
    <w:rsid w:val="00CC1029"/>
    <w:rsid w:val="00CC17F0"/>
    <w:rsid w:val="00CC1853"/>
    <w:rsid w:val="00CC1FAE"/>
    <w:rsid w:val="00CC3A23"/>
    <w:rsid w:val="00CC3C19"/>
    <w:rsid w:val="00CC46B8"/>
    <w:rsid w:val="00CC737C"/>
    <w:rsid w:val="00CD087D"/>
    <w:rsid w:val="00CD0F5D"/>
    <w:rsid w:val="00CD1C0B"/>
    <w:rsid w:val="00CD239A"/>
    <w:rsid w:val="00CD5306"/>
    <w:rsid w:val="00CD5512"/>
    <w:rsid w:val="00CD5D63"/>
    <w:rsid w:val="00CD6E3D"/>
    <w:rsid w:val="00CD71AB"/>
    <w:rsid w:val="00CD7F38"/>
    <w:rsid w:val="00CE0109"/>
    <w:rsid w:val="00CE1FC5"/>
    <w:rsid w:val="00CE396B"/>
    <w:rsid w:val="00CE46E5"/>
    <w:rsid w:val="00CE485A"/>
    <w:rsid w:val="00CE51E8"/>
    <w:rsid w:val="00CE5279"/>
    <w:rsid w:val="00CE5A78"/>
    <w:rsid w:val="00CE78AE"/>
    <w:rsid w:val="00CE7E62"/>
    <w:rsid w:val="00CF195E"/>
    <w:rsid w:val="00CF19DA"/>
    <w:rsid w:val="00CF1C7F"/>
    <w:rsid w:val="00CF1CC0"/>
    <w:rsid w:val="00CF24F8"/>
    <w:rsid w:val="00CF2653"/>
    <w:rsid w:val="00CF414C"/>
    <w:rsid w:val="00CF4247"/>
    <w:rsid w:val="00CF5263"/>
    <w:rsid w:val="00CF5591"/>
    <w:rsid w:val="00CF5B34"/>
    <w:rsid w:val="00CF60B5"/>
    <w:rsid w:val="00CF72BE"/>
    <w:rsid w:val="00D004FA"/>
    <w:rsid w:val="00D01B21"/>
    <w:rsid w:val="00D01E2F"/>
    <w:rsid w:val="00D0227F"/>
    <w:rsid w:val="00D03102"/>
    <w:rsid w:val="00D03727"/>
    <w:rsid w:val="00D0378A"/>
    <w:rsid w:val="00D05132"/>
    <w:rsid w:val="00D05EA9"/>
    <w:rsid w:val="00D06A22"/>
    <w:rsid w:val="00D071F8"/>
    <w:rsid w:val="00D07252"/>
    <w:rsid w:val="00D074F4"/>
    <w:rsid w:val="00D07CE1"/>
    <w:rsid w:val="00D1026A"/>
    <w:rsid w:val="00D107CF"/>
    <w:rsid w:val="00D10E1F"/>
    <w:rsid w:val="00D11B0B"/>
    <w:rsid w:val="00D12293"/>
    <w:rsid w:val="00D14236"/>
    <w:rsid w:val="00D14553"/>
    <w:rsid w:val="00D14DB1"/>
    <w:rsid w:val="00D15F43"/>
    <w:rsid w:val="00D16866"/>
    <w:rsid w:val="00D16E87"/>
    <w:rsid w:val="00D20B8B"/>
    <w:rsid w:val="00D20E2F"/>
    <w:rsid w:val="00D20E36"/>
    <w:rsid w:val="00D2162C"/>
    <w:rsid w:val="00D21A3C"/>
    <w:rsid w:val="00D233F1"/>
    <w:rsid w:val="00D242F3"/>
    <w:rsid w:val="00D256F8"/>
    <w:rsid w:val="00D2657C"/>
    <w:rsid w:val="00D2685C"/>
    <w:rsid w:val="00D26A3B"/>
    <w:rsid w:val="00D302FD"/>
    <w:rsid w:val="00D3038A"/>
    <w:rsid w:val="00D3098D"/>
    <w:rsid w:val="00D30BB2"/>
    <w:rsid w:val="00D31A02"/>
    <w:rsid w:val="00D3323C"/>
    <w:rsid w:val="00D33456"/>
    <w:rsid w:val="00D3396F"/>
    <w:rsid w:val="00D33D4D"/>
    <w:rsid w:val="00D34A0B"/>
    <w:rsid w:val="00D34F4D"/>
    <w:rsid w:val="00D35D5A"/>
    <w:rsid w:val="00D36234"/>
    <w:rsid w:val="00D36371"/>
    <w:rsid w:val="00D437D8"/>
    <w:rsid w:val="00D4387B"/>
    <w:rsid w:val="00D44994"/>
    <w:rsid w:val="00D45DF3"/>
    <w:rsid w:val="00D46174"/>
    <w:rsid w:val="00D47DD0"/>
    <w:rsid w:val="00D50183"/>
    <w:rsid w:val="00D51D12"/>
    <w:rsid w:val="00D5362B"/>
    <w:rsid w:val="00D53E20"/>
    <w:rsid w:val="00D55072"/>
    <w:rsid w:val="00D551B5"/>
    <w:rsid w:val="00D56669"/>
    <w:rsid w:val="00D56DB2"/>
    <w:rsid w:val="00D5747F"/>
    <w:rsid w:val="00D57495"/>
    <w:rsid w:val="00D574FA"/>
    <w:rsid w:val="00D60825"/>
    <w:rsid w:val="00D60976"/>
    <w:rsid w:val="00D60C8D"/>
    <w:rsid w:val="00D61374"/>
    <w:rsid w:val="00D6168A"/>
    <w:rsid w:val="00D616A5"/>
    <w:rsid w:val="00D61FF0"/>
    <w:rsid w:val="00D6211D"/>
    <w:rsid w:val="00D621E2"/>
    <w:rsid w:val="00D62C97"/>
    <w:rsid w:val="00D63517"/>
    <w:rsid w:val="00D63B75"/>
    <w:rsid w:val="00D659B1"/>
    <w:rsid w:val="00D66E18"/>
    <w:rsid w:val="00D6734D"/>
    <w:rsid w:val="00D679CF"/>
    <w:rsid w:val="00D679D3"/>
    <w:rsid w:val="00D70E5B"/>
    <w:rsid w:val="00D7356F"/>
    <w:rsid w:val="00D73587"/>
    <w:rsid w:val="00D73EBB"/>
    <w:rsid w:val="00D74CE9"/>
    <w:rsid w:val="00D751FB"/>
    <w:rsid w:val="00D754D6"/>
    <w:rsid w:val="00D761AA"/>
    <w:rsid w:val="00D76FAE"/>
    <w:rsid w:val="00D777D7"/>
    <w:rsid w:val="00D77ABE"/>
    <w:rsid w:val="00D8076E"/>
    <w:rsid w:val="00D80AB8"/>
    <w:rsid w:val="00D81792"/>
    <w:rsid w:val="00D819B1"/>
    <w:rsid w:val="00D82494"/>
    <w:rsid w:val="00D8369E"/>
    <w:rsid w:val="00D83AE9"/>
    <w:rsid w:val="00D857B8"/>
    <w:rsid w:val="00D87175"/>
    <w:rsid w:val="00D875B3"/>
    <w:rsid w:val="00D87ABF"/>
    <w:rsid w:val="00D9066D"/>
    <w:rsid w:val="00D90CD3"/>
    <w:rsid w:val="00D919E6"/>
    <w:rsid w:val="00D91BE1"/>
    <w:rsid w:val="00D924C8"/>
    <w:rsid w:val="00D92817"/>
    <w:rsid w:val="00D92C29"/>
    <w:rsid w:val="00D9316E"/>
    <w:rsid w:val="00D936E2"/>
    <w:rsid w:val="00D95104"/>
    <w:rsid w:val="00D95600"/>
    <w:rsid w:val="00D9613E"/>
    <w:rsid w:val="00D96355"/>
    <w:rsid w:val="00D96419"/>
    <w:rsid w:val="00D9664C"/>
    <w:rsid w:val="00D9683C"/>
    <w:rsid w:val="00D97884"/>
    <w:rsid w:val="00DA0A7F"/>
    <w:rsid w:val="00DA1C31"/>
    <w:rsid w:val="00DA20BC"/>
    <w:rsid w:val="00DA2ED7"/>
    <w:rsid w:val="00DA3E7A"/>
    <w:rsid w:val="00DA430C"/>
    <w:rsid w:val="00DA615D"/>
    <w:rsid w:val="00DA6575"/>
    <w:rsid w:val="00DA6598"/>
    <w:rsid w:val="00DA6C0F"/>
    <w:rsid w:val="00DA702F"/>
    <w:rsid w:val="00DA7F8A"/>
    <w:rsid w:val="00DB0176"/>
    <w:rsid w:val="00DB0404"/>
    <w:rsid w:val="00DB11F8"/>
    <w:rsid w:val="00DB18F8"/>
    <w:rsid w:val="00DB1F2A"/>
    <w:rsid w:val="00DB296A"/>
    <w:rsid w:val="00DB297F"/>
    <w:rsid w:val="00DB3153"/>
    <w:rsid w:val="00DB317A"/>
    <w:rsid w:val="00DB3B82"/>
    <w:rsid w:val="00DB485D"/>
    <w:rsid w:val="00DB5D65"/>
    <w:rsid w:val="00DC0671"/>
    <w:rsid w:val="00DC0D5C"/>
    <w:rsid w:val="00DC1327"/>
    <w:rsid w:val="00DC1350"/>
    <w:rsid w:val="00DC20A9"/>
    <w:rsid w:val="00DC3237"/>
    <w:rsid w:val="00DC41A4"/>
    <w:rsid w:val="00DC5672"/>
    <w:rsid w:val="00DC60A2"/>
    <w:rsid w:val="00DC6600"/>
    <w:rsid w:val="00DC67BD"/>
    <w:rsid w:val="00DC6924"/>
    <w:rsid w:val="00DC71F2"/>
    <w:rsid w:val="00DD2025"/>
    <w:rsid w:val="00DD22EA"/>
    <w:rsid w:val="00DD23A0"/>
    <w:rsid w:val="00DD3EF5"/>
    <w:rsid w:val="00DD4FC6"/>
    <w:rsid w:val="00DD53FA"/>
    <w:rsid w:val="00DD5F42"/>
    <w:rsid w:val="00DD617B"/>
    <w:rsid w:val="00DE0E59"/>
    <w:rsid w:val="00DE0F6C"/>
    <w:rsid w:val="00DE219B"/>
    <w:rsid w:val="00DE3F65"/>
    <w:rsid w:val="00DE4B35"/>
    <w:rsid w:val="00DE52E3"/>
    <w:rsid w:val="00DE7898"/>
    <w:rsid w:val="00DE7C00"/>
    <w:rsid w:val="00DF03E9"/>
    <w:rsid w:val="00DF03ED"/>
    <w:rsid w:val="00DF04EE"/>
    <w:rsid w:val="00DF0BF4"/>
    <w:rsid w:val="00DF179D"/>
    <w:rsid w:val="00DF19C3"/>
    <w:rsid w:val="00DF1E9C"/>
    <w:rsid w:val="00DF4572"/>
    <w:rsid w:val="00DF4658"/>
    <w:rsid w:val="00DF4FD0"/>
    <w:rsid w:val="00DF6C8B"/>
    <w:rsid w:val="00DF6F17"/>
    <w:rsid w:val="00DF78FA"/>
    <w:rsid w:val="00E002F1"/>
    <w:rsid w:val="00E0082C"/>
    <w:rsid w:val="00E01DAA"/>
    <w:rsid w:val="00E023E5"/>
    <w:rsid w:val="00E02432"/>
    <w:rsid w:val="00E03BBE"/>
    <w:rsid w:val="00E04022"/>
    <w:rsid w:val="00E05827"/>
    <w:rsid w:val="00E0728F"/>
    <w:rsid w:val="00E0755C"/>
    <w:rsid w:val="00E14A7E"/>
    <w:rsid w:val="00E14F23"/>
    <w:rsid w:val="00E151E1"/>
    <w:rsid w:val="00E17619"/>
    <w:rsid w:val="00E17805"/>
    <w:rsid w:val="00E20F79"/>
    <w:rsid w:val="00E21278"/>
    <w:rsid w:val="00E22CCD"/>
    <w:rsid w:val="00E23A11"/>
    <w:rsid w:val="00E23A97"/>
    <w:rsid w:val="00E23FB7"/>
    <w:rsid w:val="00E24A27"/>
    <w:rsid w:val="00E25F89"/>
    <w:rsid w:val="00E27013"/>
    <w:rsid w:val="00E320E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4E5A"/>
    <w:rsid w:val="00E55A61"/>
    <w:rsid w:val="00E5733D"/>
    <w:rsid w:val="00E61CC0"/>
    <w:rsid w:val="00E6277B"/>
    <w:rsid w:val="00E64424"/>
    <w:rsid w:val="00E64C99"/>
    <w:rsid w:val="00E64CD3"/>
    <w:rsid w:val="00E671C9"/>
    <w:rsid w:val="00E6743F"/>
    <w:rsid w:val="00E6758E"/>
    <w:rsid w:val="00E67E23"/>
    <w:rsid w:val="00E70016"/>
    <w:rsid w:val="00E70BC7"/>
    <w:rsid w:val="00E70FBC"/>
    <w:rsid w:val="00E71E3B"/>
    <w:rsid w:val="00E72C01"/>
    <w:rsid w:val="00E741AC"/>
    <w:rsid w:val="00E75174"/>
    <w:rsid w:val="00E75EBA"/>
    <w:rsid w:val="00E763B4"/>
    <w:rsid w:val="00E77848"/>
    <w:rsid w:val="00E80514"/>
    <w:rsid w:val="00E80E5B"/>
    <w:rsid w:val="00E816C5"/>
    <w:rsid w:val="00E81CE0"/>
    <w:rsid w:val="00E81E7C"/>
    <w:rsid w:val="00E8224D"/>
    <w:rsid w:val="00E82C80"/>
    <w:rsid w:val="00E8519F"/>
    <w:rsid w:val="00E85CC3"/>
    <w:rsid w:val="00E862EB"/>
    <w:rsid w:val="00E8644A"/>
    <w:rsid w:val="00E86E08"/>
    <w:rsid w:val="00E90279"/>
    <w:rsid w:val="00E90635"/>
    <w:rsid w:val="00E909A1"/>
    <w:rsid w:val="00E90BFF"/>
    <w:rsid w:val="00E91F04"/>
    <w:rsid w:val="00E91F35"/>
    <w:rsid w:val="00E95BA6"/>
    <w:rsid w:val="00E97648"/>
    <w:rsid w:val="00EA0E4A"/>
    <w:rsid w:val="00EA1A54"/>
    <w:rsid w:val="00EA2226"/>
    <w:rsid w:val="00EA26FC"/>
    <w:rsid w:val="00EA2A61"/>
    <w:rsid w:val="00EA3B5A"/>
    <w:rsid w:val="00EA410E"/>
    <w:rsid w:val="00EA4CF1"/>
    <w:rsid w:val="00EA4FD1"/>
    <w:rsid w:val="00EA53C2"/>
    <w:rsid w:val="00EA5695"/>
    <w:rsid w:val="00EA5A5A"/>
    <w:rsid w:val="00EA5B0A"/>
    <w:rsid w:val="00EA5EA0"/>
    <w:rsid w:val="00EA65AD"/>
    <w:rsid w:val="00EA7FCF"/>
    <w:rsid w:val="00EB0CA3"/>
    <w:rsid w:val="00EB104F"/>
    <w:rsid w:val="00EB1878"/>
    <w:rsid w:val="00EB1B27"/>
    <w:rsid w:val="00EB1DA8"/>
    <w:rsid w:val="00EB4CFF"/>
    <w:rsid w:val="00EB5476"/>
    <w:rsid w:val="00EB5799"/>
    <w:rsid w:val="00EB70B0"/>
    <w:rsid w:val="00EB7633"/>
    <w:rsid w:val="00EB7736"/>
    <w:rsid w:val="00EC2E2D"/>
    <w:rsid w:val="00EC34D8"/>
    <w:rsid w:val="00EC462B"/>
    <w:rsid w:val="00EC4723"/>
    <w:rsid w:val="00EC56E0"/>
    <w:rsid w:val="00EC6057"/>
    <w:rsid w:val="00EC6847"/>
    <w:rsid w:val="00EC6CB0"/>
    <w:rsid w:val="00EC7DB6"/>
    <w:rsid w:val="00ED162F"/>
    <w:rsid w:val="00ED16A0"/>
    <w:rsid w:val="00ED242A"/>
    <w:rsid w:val="00ED2E52"/>
    <w:rsid w:val="00ED3024"/>
    <w:rsid w:val="00ED5FE4"/>
    <w:rsid w:val="00ED71C5"/>
    <w:rsid w:val="00EE16FA"/>
    <w:rsid w:val="00EE3C42"/>
    <w:rsid w:val="00EE3D4F"/>
    <w:rsid w:val="00EE534D"/>
    <w:rsid w:val="00EE5560"/>
    <w:rsid w:val="00EE6F1E"/>
    <w:rsid w:val="00EF0348"/>
    <w:rsid w:val="00EF1F9C"/>
    <w:rsid w:val="00EF4366"/>
    <w:rsid w:val="00EF4665"/>
    <w:rsid w:val="00EF4CD6"/>
    <w:rsid w:val="00EF55A0"/>
    <w:rsid w:val="00EF63D1"/>
    <w:rsid w:val="00EF6513"/>
    <w:rsid w:val="00EF6683"/>
    <w:rsid w:val="00EF678E"/>
    <w:rsid w:val="00EF7002"/>
    <w:rsid w:val="00EF769B"/>
    <w:rsid w:val="00F022B6"/>
    <w:rsid w:val="00F027BA"/>
    <w:rsid w:val="00F03E79"/>
    <w:rsid w:val="00F052B8"/>
    <w:rsid w:val="00F0628D"/>
    <w:rsid w:val="00F06651"/>
    <w:rsid w:val="00F07DE6"/>
    <w:rsid w:val="00F1056C"/>
    <w:rsid w:val="00F107F1"/>
    <w:rsid w:val="00F10FC1"/>
    <w:rsid w:val="00F112FD"/>
    <w:rsid w:val="00F133A1"/>
    <w:rsid w:val="00F13ECD"/>
    <w:rsid w:val="00F155CE"/>
    <w:rsid w:val="00F16BF2"/>
    <w:rsid w:val="00F17EAE"/>
    <w:rsid w:val="00F2112A"/>
    <w:rsid w:val="00F218D4"/>
    <w:rsid w:val="00F2250A"/>
    <w:rsid w:val="00F24788"/>
    <w:rsid w:val="00F2640F"/>
    <w:rsid w:val="00F27C34"/>
    <w:rsid w:val="00F27E46"/>
    <w:rsid w:val="00F301C2"/>
    <w:rsid w:val="00F302E1"/>
    <w:rsid w:val="00F31362"/>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31A"/>
    <w:rsid w:val="00F47498"/>
    <w:rsid w:val="00F512B2"/>
    <w:rsid w:val="00F5283D"/>
    <w:rsid w:val="00F52ABA"/>
    <w:rsid w:val="00F52BC7"/>
    <w:rsid w:val="00F53BF4"/>
    <w:rsid w:val="00F54266"/>
    <w:rsid w:val="00F55043"/>
    <w:rsid w:val="00F56371"/>
    <w:rsid w:val="00F567B1"/>
    <w:rsid w:val="00F56DCF"/>
    <w:rsid w:val="00F57034"/>
    <w:rsid w:val="00F60BE9"/>
    <w:rsid w:val="00F61139"/>
    <w:rsid w:val="00F61FD8"/>
    <w:rsid w:val="00F62745"/>
    <w:rsid w:val="00F62DBF"/>
    <w:rsid w:val="00F641FC"/>
    <w:rsid w:val="00F647F7"/>
    <w:rsid w:val="00F6583C"/>
    <w:rsid w:val="00F6583E"/>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8D"/>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7C6"/>
    <w:rsid w:val="00F9221F"/>
    <w:rsid w:val="00F925FC"/>
    <w:rsid w:val="00F931C7"/>
    <w:rsid w:val="00F93559"/>
    <w:rsid w:val="00F93D72"/>
    <w:rsid w:val="00F93E65"/>
    <w:rsid w:val="00F94070"/>
    <w:rsid w:val="00F950B5"/>
    <w:rsid w:val="00F9513F"/>
    <w:rsid w:val="00F966EB"/>
    <w:rsid w:val="00F97908"/>
    <w:rsid w:val="00F97B43"/>
    <w:rsid w:val="00FA07F8"/>
    <w:rsid w:val="00FA105C"/>
    <w:rsid w:val="00FA1475"/>
    <w:rsid w:val="00FA148A"/>
    <w:rsid w:val="00FA2070"/>
    <w:rsid w:val="00FA27C8"/>
    <w:rsid w:val="00FA3B76"/>
    <w:rsid w:val="00FA4D66"/>
    <w:rsid w:val="00FA5A4E"/>
    <w:rsid w:val="00FA5B81"/>
    <w:rsid w:val="00FA6526"/>
    <w:rsid w:val="00FA705D"/>
    <w:rsid w:val="00FB0082"/>
    <w:rsid w:val="00FB0243"/>
    <w:rsid w:val="00FB1527"/>
    <w:rsid w:val="00FB2537"/>
    <w:rsid w:val="00FB33DC"/>
    <w:rsid w:val="00FB4338"/>
    <w:rsid w:val="00FB477E"/>
    <w:rsid w:val="00FB4C9C"/>
    <w:rsid w:val="00FB6165"/>
    <w:rsid w:val="00FC0150"/>
    <w:rsid w:val="00FC03AB"/>
    <w:rsid w:val="00FC2F47"/>
    <w:rsid w:val="00FC35DA"/>
    <w:rsid w:val="00FC4729"/>
    <w:rsid w:val="00FC4A8C"/>
    <w:rsid w:val="00FC53DB"/>
    <w:rsid w:val="00FC5FC2"/>
    <w:rsid w:val="00FC6177"/>
    <w:rsid w:val="00FC63D1"/>
    <w:rsid w:val="00FC7528"/>
    <w:rsid w:val="00FD0572"/>
    <w:rsid w:val="00FD1A97"/>
    <w:rsid w:val="00FD2D7B"/>
    <w:rsid w:val="00FD2DCD"/>
    <w:rsid w:val="00FD37F6"/>
    <w:rsid w:val="00FD4589"/>
    <w:rsid w:val="00FD473E"/>
    <w:rsid w:val="00FD7DF9"/>
    <w:rsid w:val="00FE0B51"/>
    <w:rsid w:val="00FE0B78"/>
    <w:rsid w:val="00FE0ED4"/>
    <w:rsid w:val="00FE1EAB"/>
    <w:rsid w:val="00FE3465"/>
    <w:rsid w:val="00FE44AE"/>
    <w:rsid w:val="00FE67CF"/>
    <w:rsid w:val="00FE6D20"/>
    <w:rsid w:val="00FE6FB9"/>
    <w:rsid w:val="00FE7549"/>
    <w:rsid w:val="00FE7BCC"/>
    <w:rsid w:val="00FF0707"/>
    <w:rsid w:val="00FF1022"/>
    <w:rsid w:val="00FF126D"/>
    <w:rsid w:val="00FF2310"/>
    <w:rsid w:val="00FF2E73"/>
    <w:rsid w:val="00FF2F85"/>
    <w:rsid w:val="00FF4AE2"/>
    <w:rsid w:val="00FF50A8"/>
    <w:rsid w:val="00FF53A7"/>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uiPriority w:val="99"/>
    <w:qFormat/>
    <w:pPr>
      <w:keepNext/>
      <w:numPr>
        <w:numId w:val="3"/>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Heading 2 Char"/>
    <w:basedOn w:val="a"/>
    <w:next w:val="a"/>
    <w:uiPriority w:val="99"/>
    <w:qFormat/>
    <w:pPr>
      <w:keepNext/>
      <w:numPr>
        <w:ilvl w:val="1"/>
        <w:numId w:val="3"/>
      </w:numPr>
      <w:tabs>
        <w:tab w:val="clear" w:pos="576"/>
      </w:tabs>
      <w:spacing w:before="120"/>
      <w:outlineLvl w:val="1"/>
    </w:pPr>
    <w:rPr>
      <w:b/>
      <w:bCs/>
      <w:sz w:val="24"/>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uiPriority w:val="99"/>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中等深浅网格 1 - 着色 21,列出段落1,列表段落,¥¡¡¡¡ì¬º¥¹¥È¶ÎÂä,ÁÐ³ö¶ÎÂä,列表段落1,—ño’i—Ž,¥ê¥¹¥È¶ÎÂä"/>
    <w:basedOn w:val="a"/>
    <w:link w:val="Char3"/>
    <w:uiPriority w:val="34"/>
    <w:qFormat/>
    <w:rsid w:val="007A584A"/>
    <w:pPr>
      <w:ind w:firstLineChars="200" w:firstLine="420"/>
    </w:pPr>
  </w:style>
  <w:style w:type="character" w:customStyle="1" w:styleId="Char3">
    <w:name w:val="列出段落 Char"/>
    <w:aliases w:val="- Bullets Char,목록 단락 Char,リスト段落 Char,?? ?? Char,????? Char,???? Char,Lista1 Char,中等深浅网格 1 - 着色 21 Char,列出段落1 Char,列表段落 Char,¥¡¡¡¡ì¬º¥¹¥È¶ÎÂä Char,ÁÐ³ö¶ÎÂä Char,列表段落1 Char,—ño’i—Ž Char,¥ê¥¹¥È¶ÎÂä Char"/>
    <w:link w:val="af0"/>
    <w:uiPriority w:val="34"/>
    <w:qFormat/>
    <w:locked/>
    <w:rsid w:val="007A584A"/>
    <w:rPr>
      <w:sz w:val="22"/>
      <w:szCs w:val="22"/>
    </w:rPr>
  </w:style>
  <w:style w:type="paragraph" w:customStyle="1" w:styleId="EQ">
    <w:name w:val="EQ"/>
    <w:basedOn w:val="a"/>
    <w:next w:val="a"/>
    <w:rsid w:val="00BA1B3F"/>
    <w:pPr>
      <w:keepLines/>
      <w:tabs>
        <w:tab w:val="center" w:pos="4536"/>
        <w:tab w:val="right" w:pos="9072"/>
      </w:tabs>
      <w:autoSpaceDE/>
      <w:autoSpaceDN/>
      <w:adjustRightInd/>
      <w:snapToGrid/>
      <w:spacing w:after="180"/>
      <w:jc w:val="left"/>
    </w:pPr>
    <w:rPr>
      <w:rFonts w:eastAsiaTheme="minorEastAsia"/>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10" Type="http://schemas.openxmlformats.org/officeDocument/2006/relationships/package" Target="embeddings/Microsoft_Visio___1111.vsdx"/><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A123B5-89FB-467B-872B-9788F2EF0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1540</Words>
  <Characters>8164</Characters>
  <Application>Microsoft Office Word</Application>
  <DocSecurity>0</DocSecurity>
  <Lines>194</Lines>
  <Paragraphs>99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6</cp:revision>
  <cp:lastPrinted>2007-06-18T22:08:00Z</cp:lastPrinted>
  <dcterms:created xsi:type="dcterms:W3CDTF">2019-05-03T20:31:00Z</dcterms:created>
  <dcterms:modified xsi:type="dcterms:W3CDTF">2019-05-04T01:16:00Z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(3)MuXhOxIRVinheisgZEzvO3Kdj2wTtJIgXWPEVR3EdrO4fI00bubDsamE0nGegrQUEoDaBvQr
RTSxhwAMMREr6c0UU3AfGmcmxWbrG+Iv4Hov9KybqIQW1NPhTjewgolA1XellD8SvUzXhi6+
NpCOZ9c9savBB0oIl+w6UMhDNnf2+p/8wCJB/qbC3Ji1/p+8ZYv5x1+gqoviDovZRpIC0/fB
LwuKffnQAYIU3zkQKD</vt:lpwstr>
  </property>
  <property fmtid="{D5CDD505-2E9C-101B-9397-08002B2CF9AE}" pid="13" name="_2015_ms_pID_725343_00">
    <vt:lpwstr>_2015_ms_pID_725343</vt:lpwstr>
  </property>
  <property fmtid="{D5CDD505-2E9C-101B-9397-08002B2CF9AE}" pid="14" name="_2015_ms_pID_7253431">
    <vt:lpwstr>Gy9E3Dy7FWAS2OeZZa65cW3tw55w8Hq/SiiW112vDGIUEsnnQwzR+k
RRroLmCXciYVl1RBAJT2scRzmrn4F+sPRXgVQxq+sb938aQiEADRCEcmurA2XfDCt39xZKH2
MHHITJ/fuZkqUjpebVUk0+tm4NGd8tQ4ozE7uxpuWIAi/LsJyeNVP1W7161B4GOu0hV02tFO
v8Qm6lNuQ+MnZdQYTjlaXWtLONSzcaVtMAzu</vt:lpwstr>
  </property>
  <property fmtid="{D5CDD505-2E9C-101B-9397-08002B2CF9AE}" pid="15" name="_2015_ms_pID_7253431_00">
    <vt:lpwstr>_2015_ms_pID_7253431</vt:lpwstr>
  </property>
  <property fmtid="{D5CDD505-2E9C-101B-9397-08002B2CF9AE}" pid="16" name="_2015_ms_pID_7253432">
    <vt:lpwstr>UIicRn0Z/4h07vo/fckir8S9MAROrz0JkPVP
sgdwWgzPTUelMOsCXeGolTXRoVWVxDnttLhLwN2UzlA6E7xQles=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1556932429</vt:lpwstr>
  </property>
</Properties>
</file>