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0943BB3B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Meeting #</w:t>
      </w:r>
      <w:r w:rsidR="00ED218B">
        <w:rPr>
          <w:rFonts w:ascii="Arial" w:hAnsi="Arial" w:cs="Arial"/>
          <w:b/>
          <w:bCs/>
          <w:sz w:val="24"/>
        </w:rPr>
        <w:t>9</w:t>
      </w:r>
      <w:r w:rsidR="000B3FB5">
        <w:rPr>
          <w:rFonts w:ascii="Arial" w:hAnsi="Arial" w:cs="Arial"/>
          <w:b/>
          <w:bCs/>
          <w:sz w:val="24"/>
        </w:rPr>
        <w:t>7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0B3FB5">
        <w:rPr>
          <w:rFonts w:ascii="Arial" w:hAnsi="Arial" w:cs="Arial"/>
          <w:b/>
          <w:bCs/>
          <w:sz w:val="24"/>
        </w:rPr>
        <w:tab/>
      </w:r>
      <w:r w:rsidR="004D6A99" w:rsidRPr="004D6A99">
        <w:rPr>
          <w:rFonts w:ascii="Arial" w:hAnsi="Arial" w:cs="Arial"/>
          <w:b/>
          <w:bCs/>
          <w:sz w:val="24"/>
        </w:rPr>
        <w:t>R1-</w:t>
      </w:r>
      <w:r w:rsidR="00E676E7" w:rsidRPr="00E676E7">
        <w:rPr>
          <w:rFonts w:ascii="Arial" w:hAnsi="Arial" w:cs="Arial"/>
          <w:b/>
          <w:bCs/>
          <w:sz w:val="24"/>
        </w:rPr>
        <w:t>1907464</w:t>
      </w:r>
    </w:p>
    <w:p w14:paraId="56A15566" w14:textId="54667B3A" w:rsidR="004607C3" w:rsidRPr="00A2299C" w:rsidRDefault="00770E80" w:rsidP="00F6026A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Reno</w:t>
      </w:r>
      <w:r w:rsidR="008C1CCF"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8C1CCF"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13</w:t>
      </w:r>
      <w:r w:rsidRPr="00770E80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17</w:t>
      </w:r>
      <w:r w:rsidRPr="00770E80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, </w:t>
      </w:r>
      <w:r w:rsidR="008C1CCF" w:rsidRPr="00C00997">
        <w:rPr>
          <w:rFonts w:ascii="Arial" w:hAnsi="Arial" w:cs="Arial"/>
          <w:b/>
          <w:bCs/>
          <w:sz w:val="24"/>
        </w:rPr>
        <w:t>2019</w:t>
      </w:r>
      <w:r w:rsidR="008C1CCF">
        <w:rPr>
          <w:rFonts w:ascii="Arial" w:hAnsi="Arial" w:cs="Arial"/>
          <w:b/>
          <w:bCs/>
          <w:sz w:val="24"/>
        </w:rPr>
        <w:tab/>
      </w:r>
      <w:r w:rsidR="0005577C">
        <w:rPr>
          <w:rFonts w:ascii="Arial" w:hAnsi="Arial" w:cs="Arial"/>
          <w:b/>
          <w:bCs/>
          <w:sz w:val="24"/>
        </w:rPr>
        <w:tab/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3306BB8B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4E2930">
        <w:rPr>
          <w:rFonts w:ascii="Arial" w:hAnsi="Arial" w:cs="Arial"/>
          <w:b/>
          <w:sz w:val="22"/>
        </w:rPr>
        <w:t>7.2.</w:t>
      </w:r>
      <w:r w:rsidR="009E25D3">
        <w:rPr>
          <w:rFonts w:ascii="Arial" w:hAnsi="Arial" w:cs="Arial"/>
          <w:b/>
          <w:sz w:val="22"/>
        </w:rPr>
        <w:t>2.2.5 Wide-band operation</w:t>
      </w:r>
    </w:p>
    <w:p w14:paraId="7395AB72" w14:textId="735DB5F2" w:rsidR="005D20F1" w:rsidRPr="009E25D3" w:rsidRDefault="005D20F1" w:rsidP="009E25D3">
      <w:pPr>
        <w:spacing w:after="60"/>
        <w:ind w:left="1985" w:hanging="1985"/>
        <w:jc w:val="both"/>
        <w:rPr>
          <w:b/>
          <w:sz w:val="24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bookmarkStart w:id="0" w:name="_Hlk4666227"/>
      <w:r w:rsidR="009E25D3">
        <w:rPr>
          <w:b/>
          <w:sz w:val="24"/>
        </w:rPr>
        <w:t>Wideband operation for NR-U</w:t>
      </w:r>
      <w:bookmarkEnd w:id="0"/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0F3DAC40" w14:textId="7656C0F5" w:rsidR="004607C3" w:rsidRPr="000D37D3" w:rsidRDefault="005D20F1" w:rsidP="004F0842">
      <w:pPr>
        <w:pStyle w:val="Heading1"/>
        <w:spacing w:after="120"/>
      </w:pPr>
      <w:r w:rsidRPr="000D37D3">
        <w:t>Introduction</w:t>
      </w:r>
    </w:p>
    <w:p w14:paraId="476E4E1F" w14:textId="55BE1AEA" w:rsidR="00F67F46" w:rsidRPr="002464EF" w:rsidRDefault="00F67F46" w:rsidP="004F0842">
      <w:pPr>
        <w:spacing w:after="120"/>
        <w:jc w:val="both"/>
        <w:rPr>
          <w:sz w:val="22"/>
          <w:lang w:eastAsia="ko-KR"/>
        </w:rPr>
      </w:pPr>
      <w:r w:rsidRPr="002464EF">
        <w:rPr>
          <w:sz w:val="22"/>
          <w:lang w:eastAsia="x-none"/>
        </w:rPr>
        <w:t xml:space="preserve">In the </w:t>
      </w:r>
      <w:r w:rsidRPr="002464EF">
        <w:rPr>
          <w:rFonts w:eastAsia="Batang"/>
          <w:sz w:val="22"/>
          <w:lang w:val="en-US" w:eastAsia="ko-KR"/>
        </w:rPr>
        <w:t>RAN1</w:t>
      </w:r>
      <w:r w:rsidRPr="002464EF">
        <w:rPr>
          <w:sz w:val="22"/>
        </w:rPr>
        <w:t xml:space="preserve"> </w:t>
      </w:r>
      <w:r>
        <w:rPr>
          <w:rFonts w:eastAsia="Batang"/>
          <w:sz w:val="22"/>
          <w:lang w:val="en-US" w:eastAsia="ko-KR"/>
        </w:rPr>
        <w:t>#96 Bis</w:t>
      </w:r>
      <w:r w:rsidRPr="002464EF">
        <w:rPr>
          <w:rFonts w:eastAsia="Batang"/>
          <w:sz w:val="22"/>
          <w:lang w:val="en-US" w:eastAsia="ko-KR"/>
        </w:rPr>
        <w:t xml:space="preserve"> meeting</w:t>
      </w:r>
      <w:r>
        <w:rPr>
          <w:rFonts w:eastAsia="Batang"/>
          <w:sz w:val="22"/>
          <w:lang w:val="en-US" w:eastAsia="ko-KR"/>
        </w:rPr>
        <w:t xml:space="preserve"> </w:t>
      </w:r>
      <w:r>
        <w:rPr>
          <w:rFonts w:eastAsia="Batang"/>
          <w:sz w:val="22"/>
          <w:lang w:val="en-US" w:eastAsia="ko-KR"/>
        </w:rPr>
        <w:fldChar w:fldCharType="begin"/>
      </w:r>
      <w:r>
        <w:rPr>
          <w:rFonts w:eastAsia="Batang"/>
          <w:sz w:val="22"/>
          <w:lang w:val="en-US" w:eastAsia="ko-KR"/>
        </w:rPr>
        <w:instrText xml:space="preserve"> REF _Ref7697636 \r \h </w:instrText>
      </w:r>
      <w:r>
        <w:rPr>
          <w:rFonts w:eastAsia="Batang"/>
          <w:sz w:val="22"/>
          <w:lang w:val="en-US" w:eastAsia="ko-KR"/>
        </w:rPr>
      </w:r>
      <w:r>
        <w:rPr>
          <w:rFonts w:eastAsia="Batang"/>
          <w:sz w:val="22"/>
          <w:lang w:val="en-US" w:eastAsia="ko-KR"/>
        </w:rPr>
        <w:fldChar w:fldCharType="separate"/>
      </w:r>
      <w:r>
        <w:rPr>
          <w:rFonts w:eastAsia="Batang"/>
          <w:sz w:val="22"/>
          <w:lang w:val="en-US" w:eastAsia="ko-KR"/>
        </w:rPr>
        <w:t>[1]</w:t>
      </w:r>
      <w:r>
        <w:rPr>
          <w:rFonts w:eastAsia="Batang"/>
          <w:sz w:val="22"/>
          <w:lang w:val="en-US" w:eastAsia="ko-KR"/>
        </w:rPr>
        <w:fldChar w:fldCharType="end"/>
      </w:r>
      <w:r w:rsidRPr="002464EF">
        <w:rPr>
          <w:sz w:val="22"/>
          <w:lang w:eastAsia="ko-KR"/>
        </w:rPr>
        <w:t>, the following agreements were made:</w:t>
      </w:r>
    </w:p>
    <w:p w14:paraId="4AE713BB" w14:textId="77777777" w:rsidR="00F67F46" w:rsidRPr="00F67F46" w:rsidRDefault="00F67F46" w:rsidP="004F0842">
      <w:pPr>
        <w:spacing w:after="120"/>
        <w:rPr>
          <w:sz w:val="22"/>
          <w:lang w:val="en-US" w:eastAsia="x-none"/>
        </w:rPr>
      </w:pPr>
      <w:r w:rsidRPr="00F67F46">
        <w:rPr>
          <w:sz w:val="22"/>
          <w:highlight w:val="green"/>
          <w:lang w:val="en-US" w:eastAsia="x-none"/>
        </w:rPr>
        <w:t>Agreement:</w:t>
      </w:r>
    </w:p>
    <w:p w14:paraId="1DECD7A2" w14:textId="77777777" w:rsidR="00F67F46" w:rsidRPr="00F67F46" w:rsidRDefault="00F67F46" w:rsidP="004F0842">
      <w:pPr>
        <w:numPr>
          <w:ilvl w:val="0"/>
          <w:numId w:val="36"/>
        </w:numPr>
        <w:spacing w:after="120"/>
        <w:rPr>
          <w:sz w:val="22"/>
          <w:lang w:eastAsia="x-none"/>
        </w:rPr>
      </w:pPr>
      <w:r w:rsidRPr="00F67F46">
        <w:rPr>
          <w:sz w:val="22"/>
          <w:lang w:eastAsia="x-none"/>
        </w:rPr>
        <w:t xml:space="preserve">Support a mechanism for a UE to detect </w:t>
      </w:r>
      <w:proofErr w:type="spellStart"/>
      <w:r w:rsidRPr="00F67F46">
        <w:rPr>
          <w:sz w:val="22"/>
          <w:lang w:eastAsia="x-none"/>
        </w:rPr>
        <w:t>gNB</w:t>
      </w:r>
      <w:proofErr w:type="spellEnd"/>
      <w:r w:rsidRPr="00F67F46">
        <w:rPr>
          <w:sz w:val="22"/>
          <w:lang w:eastAsia="x-none"/>
        </w:rPr>
        <w:t xml:space="preserve"> is transmitting across</w:t>
      </w:r>
    </w:p>
    <w:p w14:paraId="22192E81" w14:textId="77777777" w:rsidR="00F67F46" w:rsidRPr="00F67F46" w:rsidRDefault="00F67F46" w:rsidP="004F0842">
      <w:pPr>
        <w:numPr>
          <w:ilvl w:val="0"/>
          <w:numId w:val="35"/>
        </w:numPr>
        <w:spacing w:after="120"/>
        <w:rPr>
          <w:sz w:val="22"/>
          <w:lang w:val="en-US" w:eastAsia="x-none"/>
        </w:rPr>
      </w:pPr>
      <w:r w:rsidRPr="00F67F46">
        <w:rPr>
          <w:sz w:val="22"/>
          <w:lang w:eastAsia="x-none"/>
        </w:rPr>
        <w:t xml:space="preserve">Multiple carriers </w:t>
      </w:r>
    </w:p>
    <w:p w14:paraId="3B19DDBC" w14:textId="77777777" w:rsidR="00F67F46" w:rsidRPr="00F67F46" w:rsidRDefault="00F67F46" w:rsidP="004F0842">
      <w:pPr>
        <w:numPr>
          <w:ilvl w:val="0"/>
          <w:numId w:val="35"/>
        </w:numPr>
        <w:spacing w:after="120"/>
        <w:rPr>
          <w:sz w:val="22"/>
          <w:lang w:val="en-US" w:eastAsia="x-none"/>
        </w:rPr>
      </w:pPr>
      <w:r w:rsidRPr="00F67F46">
        <w:rPr>
          <w:sz w:val="22"/>
          <w:lang w:eastAsia="x-none"/>
        </w:rPr>
        <w:t xml:space="preserve">Multiple LBT bandwidths in a carrier. </w:t>
      </w:r>
    </w:p>
    <w:p w14:paraId="6A5C4B16" w14:textId="77777777" w:rsidR="00F67F46" w:rsidRPr="00F67F46" w:rsidRDefault="00F67F46" w:rsidP="004F0842">
      <w:pPr>
        <w:numPr>
          <w:ilvl w:val="0"/>
          <w:numId w:val="36"/>
        </w:numPr>
        <w:spacing w:after="120"/>
        <w:rPr>
          <w:sz w:val="22"/>
          <w:lang w:eastAsia="x-none"/>
        </w:rPr>
      </w:pPr>
      <w:r w:rsidRPr="00F67F46">
        <w:rPr>
          <w:sz w:val="22"/>
          <w:lang w:eastAsia="x-none"/>
        </w:rPr>
        <w:t>The following mechanisms are to be considered:</w:t>
      </w:r>
    </w:p>
    <w:p w14:paraId="71B98A5E" w14:textId="77777777" w:rsidR="00F67F46" w:rsidRPr="00F67F46" w:rsidRDefault="00F67F46" w:rsidP="004F0842">
      <w:pPr>
        <w:numPr>
          <w:ilvl w:val="0"/>
          <w:numId w:val="34"/>
        </w:numPr>
        <w:spacing w:after="120"/>
        <w:rPr>
          <w:sz w:val="22"/>
          <w:lang w:val="en-US" w:eastAsia="x-none"/>
        </w:rPr>
      </w:pPr>
      <w:r w:rsidRPr="00F67F46">
        <w:rPr>
          <w:sz w:val="22"/>
          <w:lang w:eastAsia="x-none"/>
        </w:rPr>
        <w:t>Option 1: Explicit indication via PDCCH</w:t>
      </w:r>
    </w:p>
    <w:p w14:paraId="75FE3041" w14:textId="77777777" w:rsidR="00F67F46" w:rsidRPr="00F67F46" w:rsidRDefault="00F67F46" w:rsidP="004F0842">
      <w:pPr>
        <w:numPr>
          <w:ilvl w:val="1"/>
          <w:numId w:val="34"/>
        </w:numPr>
        <w:spacing w:after="120"/>
        <w:rPr>
          <w:sz w:val="22"/>
          <w:lang w:val="en-US" w:eastAsia="x-none"/>
        </w:rPr>
      </w:pPr>
      <w:r w:rsidRPr="00F67F46">
        <w:rPr>
          <w:sz w:val="22"/>
          <w:lang w:eastAsia="x-none"/>
        </w:rPr>
        <w:t>FFS: The type of PDCCH (e.g., group common PDCCH or UE-specific PDCCH)</w:t>
      </w:r>
    </w:p>
    <w:p w14:paraId="338E3469" w14:textId="77777777" w:rsidR="00F67F46" w:rsidRPr="00F67F46" w:rsidRDefault="00F67F46" w:rsidP="004F0842">
      <w:pPr>
        <w:numPr>
          <w:ilvl w:val="1"/>
          <w:numId w:val="34"/>
        </w:numPr>
        <w:spacing w:after="120"/>
        <w:rPr>
          <w:sz w:val="22"/>
          <w:lang w:val="en-US" w:eastAsia="x-none"/>
        </w:rPr>
      </w:pPr>
      <w:r w:rsidRPr="00F67F46">
        <w:rPr>
          <w:sz w:val="22"/>
          <w:lang w:eastAsia="x-none"/>
        </w:rPr>
        <w:t xml:space="preserve">FFS: </w:t>
      </w:r>
      <w:proofErr w:type="spellStart"/>
      <w:r w:rsidRPr="00F67F46">
        <w:rPr>
          <w:sz w:val="22"/>
          <w:lang w:eastAsia="x-none"/>
        </w:rPr>
        <w:t>Signaling</w:t>
      </w:r>
      <w:proofErr w:type="spellEnd"/>
      <w:r w:rsidRPr="00F67F46">
        <w:rPr>
          <w:sz w:val="22"/>
          <w:lang w:eastAsia="x-none"/>
        </w:rPr>
        <w:t xml:space="preserve"> details of the indication</w:t>
      </w:r>
    </w:p>
    <w:p w14:paraId="717D714A" w14:textId="77777777" w:rsidR="00F67F46" w:rsidRPr="00F67F46" w:rsidRDefault="00F67F46" w:rsidP="004F0842">
      <w:pPr>
        <w:numPr>
          <w:ilvl w:val="0"/>
          <w:numId w:val="34"/>
        </w:numPr>
        <w:spacing w:after="120"/>
        <w:rPr>
          <w:sz w:val="22"/>
          <w:lang w:eastAsia="x-none"/>
        </w:rPr>
      </w:pPr>
      <w:r w:rsidRPr="00F67F46">
        <w:rPr>
          <w:sz w:val="22"/>
          <w:lang w:eastAsia="x-none"/>
        </w:rPr>
        <w:t>Option 2: Explicit indication via selection of a PDCCH DM-RS sequence from a set of PDCCH DM-RS sequences</w:t>
      </w:r>
    </w:p>
    <w:p w14:paraId="74701938" w14:textId="77777777" w:rsidR="00F67F46" w:rsidRPr="00F67F46" w:rsidRDefault="00F67F46" w:rsidP="004F0842">
      <w:pPr>
        <w:numPr>
          <w:ilvl w:val="1"/>
          <w:numId w:val="34"/>
        </w:numPr>
        <w:spacing w:after="120"/>
        <w:rPr>
          <w:sz w:val="22"/>
          <w:lang w:eastAsia="x-none"/>
        </w:rPr>
      </w:pPr>
      <w:r w:rsidRPr="00F67F46">
        <w:rPr>
          <w:sz w:val="22"/>
          <w:lang w:eastAsia="x-none"/>
        </w:rPr>
        <w:t>FFS: Details of the indication</w:t>
      </w:r>
    </w:p>
    <w:p w14:paraId="0B846492" w14:textId="77777777" w:rsidR="00F67F46" w:rsidRPr="00F67F46" w:rsidRDefault="00F67F46" w:rsidP="004F0842">
      <w:pPr>
        <w:numPr>
          <w:ilvl w:val="0"/>
          <w:numId w:val="34"/>
        </w:numPr>
        <w:spacing w:after="120"/>
        <w:rPr>
          <w:sz w:val="22"/>
          <w:lang w:eastAsia="x-none"/>
        </w:rPr>
      </w:pPr>
      <w:r w:rsidRPr="00F67F46">
        <w:rPr>
          <w:sz w:val="22"/>
          <w:lang w:eastAsia="x-none"/>
        </w:rPr>
        <w:t>Option 3: Via UE implementation, i.e., implicit method based on NR-based signal such as DM-RS and/or corresponding PDCCH detection</w:t>
      </w:r>
    </w:p>
    <w:p w14:paraId="7112E5D1" w14:textId="77777777" w:rsidR="00F67F46" w:rsidRPr="00F67F46" w:rsidRDefault="00F67F46" w:rsidP="004F0842">
      <w:pPr>
        <w:numPr>
          <w:ilvl w:val="1"/>
          <w:numId w:val="34"/>
        </w:numPr>
        <w:spacing w:after="120"/>
        <w:rPr>
          <w:sz w:val="22"/>
          <w:lang w:eastAsia="x-none"/>
        </w:rPr>
      </w:pPr>
      <w:r w:rsidRPr="00F67F46">
        <w:rPr>
          <w:sz w:val="22"/>
          <w:lang w:eastAsia="x-none"/>
        </w:rPr>
        <w:t>FFS: Which signals/channels or combination of signals/channels could be used by the UE</w:t>
      </w:r>
    </w:p>
    <w:p w14:paraId="7D076647" w14:textId="77777777" w:rsidR="00F67F46" w:rsidRPr="00F67F46" w:rsidRDefault="00F67F46" w:rsidP="004F0842">
      <w:pPr>
        <w:numPr>
          <w:ilvl w:val="0"/>
          <w:numId w:val="34"/>
        </w:numPr>
        <w:spacing w:after="120"/>
        <w:rPr>
          <w:sz w:val="22"/>
          <w:lang w:eastAsia="x-none"/>
        </w:rPr>
      </w:pPr>
      <w:r w:rsidRPr="00F67F46">
        <w:rPr>
          <w:sz w:val="22"/>
          <w:lang w:eastAsia="x-none"/>
        </w:rPr>
        <w:t>Note: Above options are not mutually exclusive</w:t>
      </w:r>
    </w:p>
    <w:p w14:paraId="3FDAD8ED" w14:textId="77777777" w:rsidR="00F67F46" w:rsidRPr="00B06EFF" w:rsidRDefault="00F67F46" w:rsidP="004F0842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  <w:r w:rsidRPr="00B06EFF">
        <w:rPr>
          <w:sz w:val="22"/>
          <w:szCs w:val="22"/>
        </w:rPr>
        <w:t>Based on these agreements</w:t>
      </w:r>
      <w:r>
        <w:rPr>
          <w:sz w:val="22"/>
          <w:szCs w:val="22"/>
        </w:rPr>
        <w:t xml:space="preserve"> and discussions</w:t>
      </w:r>
      <w:r w:rsidRPr="00B06EFF">
        <w:rPr>
          <w:sz w:val="22"/>
          <w:szCs w:val="22"/>
        </w:rPr>
        <w:t>, we discuss</w:t>
      </w:r>
      <w:r>
        <w:rPr>
          <w:sz w:val="22"/>
          <w:szCs w:val="22"/>
        </w:rPr>
        <w:t xml:space="preserve"> design aspects for</w:t>
      </w:r>
      <w:r w:rsidRPr="00B06EFF">
        <w:rPr>
          <w:sz w:val="22"/>
          <w:szCs w:val="22"/>
        </w:rPr>
        <w:t xml:space="preserve"> </w:t>
      </w:r>
      <w:r>
        <w:rPr>
          <w:sz w:val="22"/>
          <w:szCs w:val="22"/>
        </w:rPr>
        <w:t>wideband operation in NR-U for both downlink transmission</w:t>
      </w:r>
      <w:r w:rsidRPr="00B06EFF">
        <w:rPr>
          <w:rFonts w:eastAsia="Batang"/>
          <w:sz w:val="22"/>
          <w:szCs w:val="22"/>
          <w:lang w:val="en-US" w:eastAsia="ko-KR"/>
        </w:rPr>
        <w:t xml:space="preserve">. </w:t>
      </w:r>
    </w:p>
    <w:p w14:paraId="49C0C2FB" w14:textId="77777777" w:rsidR="00F67F46" w:rsidRPr="00B06EFF" w:rsidRDefault="00F67F46" w:rsidP="004F0842">
      <w:pPr>
        <w:pStyle w:val="Header"/>
        <w:tabs>
          <w:tab w:val="clear" w:pos="4153"/>
          <w:tab w:val="clear" w:pos="8306"/>
        </w:tabs>
        <w:spacing w:after="120"/>
        <w:jc w:val="both"/>
      </w:pPr>
    </w:p>
    <w:p w14:paraId="0304EA95" w14:textId="77777777" w:rsidR="00F67F46" w:rsidRPr="00E7377C" w:rsidRDefault="00F67F46" w:rsidP="004F0842">
      <w:pPr>
        <w:pStyle w:val="Heading2"/>
        <w:numPr>
          <w:ilvl w:val="0"/>
          <w:numId w:val="37"/>
        </w:numPr>
        <w:spacing w:after="120"/>
        <w:ind w:left="360"/>
      </w:pPr>
      <w:r>
        <w:t xml:space="preserve">Indicating the LBT outcome at the </w:t>
      </w:r>
      <w:proofErr w:type="spellStart"/>
      <w:r>
        <w:t>gNB</w:t>
      </w:r>
      <w:proofErr w:type="spellEnd"/>
    </w:p>
    <w:p w14:paraId="6EA80FF9" w14:textId="4C681289" w:rsidR="00F67F46" w:rsidRDefault="00F67F46" w:rsidP="004F0842">
      <w:pPr>
        <w:autoSpaceDE w:val="0"/>
        <w:autoSpaceDN w:val="0"/>
        <w:adjustRightInd w:val="0"/>
        <w:spacing w:after="120"/>
        <w:rPr>
          <w:rFonts w:eastAsia="Batang"/>
          <w:sz w:val="22"/>
          <w:szCs w:val="22"/>
          <w:lang w:val="en-US" w:eastAsia="ko-KR"/>
        </w:rPr>
      </w:pPr>
      <w:r w:rsidRPr="002464EF">
        <w:rPr>
          <w:rFonts w:eastAsia="Batang"/>
          <w:sz w:val="22"/>
          <w:szCs w:val="22"/>
          <w:lang w:val="en-US" w:eastAsia="ko-KR"/>
        </w:rPr>
        <w:t xml:space="preserve">It </w:t>
      </w:r>
      <w:r>
        <w:rPr>
          <w:rFonts w:eastAsia="Batang"/>
          <w:sz w:val="22"/>
          <w:szCs w:val="22"/>
          <w:lang w:val="en-US" w:eastAsia="ko-KR"/>
        </w:rPr>
        <w:t>has been</w:t>
      </w:r>
      <w:r w:rsidRPr="002464EF">
        <w:rPr>
          <w:rFonts w:eastAsia="Batang"/>
          <w:sz w:val="22"/>
          <w:szCs w:val="22"/>
          <w:lang w:val="en-US" w:eastAsia="ko-KR"/>
        </w:rPr>
        <w:t xml:space="preserve"> agreed that LBT </w:t>
      </w:r>
      <w:r>
        <w:rPr>
          <w:rFonts w:eastAsia="Batang"/>
          <w:sz w:val="22"/>
          <w:szCs w:val="22"/>
          <w:lang w:val="en-US" w:eastAsia="ko-KR"/>
        </w:rPr>
        <w:t xml:space="preserve">will </w:t>
      </w:r>
      <w:r w:rsidRPr="002464EF">
        <w:rPr>
          <w:rFonts w:eastAsia="Batang"/>
          <w:sz w:val="22"/>
          <w:szCs w:val="22"/>
          <w:lang w:val="en-US" w:eastAsia="ko-KR"/>
        </w:rPr>
        <w:t xml:space="preserve">be performed in </w:t>
      </w:r>
      <w:r>
        <w:rPr>
          <w:rFonts w:eastAsia="Batang"/>
          <w:sz w:val="22"/>
          <w:szCs w:val="22"/>
          <w:lang w:val="en-US" w:eastAsia="ko-KR"/>
        </w:rPr>
        <w:t>multiples</w:t>
      </w:r>
      <w:r w:rsidRPr="002464EF">
        <w:rPr>
          <w:rFonts w:eastAsia="Batang"/>
          <w:sz w:val="22"/>
          <w:szCs w:val="22"/>
          <w:lang w:val="en-US" w:eastAsia="ko-KR"/>
        </w:rPr>
        <w:t xml:space="preserve"> of 20 MHz for co-existence</w:t>
      </w:r>
      <w:r>
        <w:rPr>
          <w:rFonts w:eastAsia="Batang"/>
          <w:sz w:val="22"/>
          <w:szCs w:val="22"/>
          <w:lang w:val="en-US" w:eastAsia="ko-KR"/>
        </w:rPr>
        <w:t xml:space="preserve"> with </w:t>
      </w:r>
      <w:r w:rsidR="004F0842">
        <w:rPr>
          <w:rFonts w:eastAsia="Batang"/>
          <w:sz w:val="22"/>
          <w:szCs w:val="22"/>
          <w:lang w:val="en-US" w:eastAsia="ko-KR"/>
        </w:rPr>
        <w:t>Wi-Fi</w:t>
      </w:r>
      <w:r>
        <w:rPr>
          <w:rFonts w:eastAsia="Batang"/>
          <w:sz w:val="22"/>
          <w:szCs w:val="22"/>
          <w:lang w:val="en-US" w:eastAsia="ko-KR"/>
        </w:rPr>
        <w:t xml:space="preserve"> systems</w:t>
      </w:r>
      <w:r w:rsidRPr="002464EF">
        <w:rPr>
          <w:rFonts w:eastAsia="Batang"/>
          <w:sz w:val="22"/>
          <w:szCs w:val="22"/>
          <w:lang w:val="en-US" w:eastAsia="ko-KR"/>
        </w:rPr>
        <w:t xml:space="preserve">. </w:t>
      </w:r>
      <w:r>
        <w:rPr>
          <w:rFonts w:eastAsia="Batang"/>
          <w:sz w:val="22"/>
          <w:szCs w:val="22"/>
          <w:lang w:val="en-US" w:eastAsia="ko-KR"/>
        </w:rPr>
        <w:t xml:space="preserve">The gNB may gain channel access to multiple 20MHz sub-bands if the LBT is successful across </w:t>
      </w:r>
      <w:r w:rsidRPr="002464EF">
        <w:rPr>
          <w:rFonts w:cs="Times"/>
          <w:sz w:val="22"/>
          <w:lang w:val="en-US" w:eastAsia="x-none"/>
        </w:rPr>
        <w:t xml:space="preserve">contiguous </w:t>
      </w:r>
      <w:r>
        <w:rPr>
          <w:rFonts w:eastAsia="Batang"/>
          <w:sz w:val="22"/>
          <w:szCs w:val="22"/>
          <w:lang w:val="en-US" w:eastAsia="ko-KR"/>
        </w:rPr>
        <w:t xml:space="preserve">sub-bands in a single COT and transmit and receive on a wideband channel. </w:t>
      </w:r>
      <w:r w:rsidRPr="002464EF">
        <w:rPr>
          <w:rFonts w:eastAsia="Batang"/>
          <w:sz w:val="22"/>
          <w:szCs w:val="22"/>
          <w:lang w:val="en-US" w:eastAsia="ko-KR"/>
        </w:rPr>
        <w:t xml:space="preserve">It is beneficial for a UE to be aware of </w:t>
      </w:r>
      <w:r>
        <w:rPr>
          <w:rFonts w:eastAsia="Batang"/>
          <w:sz w:val="22"/>
          <w:szCs w:val="22"/>
          <w:lang w:val="en-US" w:eastAsia="ko-KR"/>
        </w:rPr>
        <w:t xml:space="preserve">the </w:t>
      </w:r>
      <w:r w:rsidRPr="002464EF">
        <w:rPr>
          <w:rFonts w:eastAsia="Batang"/>
          <w:sz w:val="22"/>
          <w:szCs w:val="22"/>
          <w:lang w:val="en-US" w:eastAsia="ko-KR"/>
        </w:rPr>
        <w:t xml:space="preserve">sub-bands acquired by </w:t>
      </w:r>
      <w:r>
        <w:rPr>
          <w:rFonts w:eastAsia="Batang"/>
          <w:sz w:val="22"/>
          <w:szCs w:val="22"/>
          <w:lang w:val="en-US" w:eastAsia="ko-KR"/>
        </w:rPr>
        <w:t>the</w:t>
      </w:r>
      <w:r w:rsidRPr="002464EF">
        <w:rPr>
          <w:rFonts w:eastAsia="Batang"/>
          <w:sz w:val="22"/>
          <w:szCs w:val="22"/>
          <w:lang w:val="en-US" w:eastAsia="ko-KR"/>
        </w:rPr>
        <w:t xml:space="preserve"> gNB</w:t>
      </w:r>
      <w:r>
        <w:rPr>
          <w:rFonts w:eastAsia="Batang"/>
          <w:sz w:val="22"/>
          <w:szCs w:val="22"/>
          <w:lang w:val="en-US" w:eastAsia="ko-KR"/>
        </w:rPr>
        <w:t xml:space="preserve"> in a COT</w:t>
      </w:r>
      <w:r w:rsidRPr="002464EF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>for the following reasons.</w:t>
      </w:r>
    </w:p>
    <w:p w14:paraId="4079A5FE" w14:textId="77777777" w:rsidR="00F67F46" w:rsidRPr="004D073F" w:rsidRDefault="00F67F46" w:rsidP="004F0842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0" w:after="120" w:line="240" w:lineRule="auto"/>
        <w:rPr>
          <w:sz w:val="22"/>
          <w:szCs w:val="22"/>
        </w:rPr>
      </w:pPr>
      <w:r w:rsidRPr="00B11BCA">
        <w:rPr>
          <w:rFonts w:ascii="Times New Roman" w:hAnsi="Times New Roman" w:cs="Times New Roman"/>
          <w:sz w:val="22"/>
          <w:szCs w:val="22"/>
        </w:rPr>
        <w:t>The UE can reduce its power consumption by limiting its monitoring to the bandwidth of the gNB’s COT.</w:t>
      </w:r>
    </w:p>
    <w:p w14:paraId="15E1C649" w14:textId="77777777" w:rsidR="00F67F46" w:rsidRPr="00B11BCA" w:rsidRDefault="00F67F46" w:rsidP="004F0842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0" w:after="120" w:line="240" w:lineRule="auto"/>
        <w:rPr>
          <w:rFonts w:ascii="Times New Roman" w:hAnsi="Times New Roman" w:cs="Times New Roman"/>
          <w:sz w:val="22"/>
          <w:szCs w:val="22"/>
        </w:rPr>
      </w:pPr>
      <w:r w:rsidRPr="00B11BCA">
        <w:rPr>
          <w:rFonts w:ascii="Times New Roman" w:hAnsi="Times New Roman" w:cs="Times New Roman"/>
          <w:sz w:val="22"/>
          <w:szCs w:val="22"/>
        </w:rPr>
        <w:t>The UE can perform measurements based on the bandwidth of the gNB’s COT.</w:t>
      </w:r>
    </w:p>
    <w:p w14:paraId="11809D2A" w14:textId="77777777" w:rsidR="00F67F46" w:rsidRDefault="00F67F46" w:rsidP="004F0842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0" w:after="120" w:line="240" w:lineRule="auto"/>
        <w:rPr>
          <w:sz w:val="22"/>
          <w:szCs w:val="22"/>
        </w:rPr>
      </w:pPr>
      <w:r w:rsidRPr="00B11BCA">
        <w:rPr>
          <w:rFonts w:ascii="Times New Roman" w:hAnsi="Times New Roman" w:cs="Times New Roman"/>
          <w:sz w:val="22"/>
          <w:szCs w:val="22"/>
        </w:rPr>
        <w:t>The UE can support a configured grant transmission in a shared COT with UL resources within the bandwidth of the gNB’s COT.</w:t>
      </w:r>
    </w:p>
    <w:p w14:paraId="0E1A020B" w14:textId="77777777" w:rsidR="00F67F46" w:rsidRPr="00B11BCA" w:rsidRDefault="00F67F46" w:rsidP="004F0842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0" w:after="120" w:line="240" w:lineRule="auto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UE can infer the guard bands for the bandwidth of the gNB’s COT.</w:t>
      </w:r>
    </w:p>
    <w:p w14:paraId="16CD12CD" w14:textId="6E424600" w:rsidR="00F67F46" w:rsidRDefault="00F67F46" w:rsidP="004F0842">
      <w:pPr>
        <w:autoSpaceDE w:val="0"/>
        <w:autoSpaceDN w:val="0"/>
        <w:adjustRightInd w:val="0"/>
        <w:spacing w:after="120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>We discuss below, the two broad ways of indicating the gNB’s LBT outcome to the UE that have been discussed in the previous meeting.</w:t>
      </w:r>
    </w:p>
    <w:p w14:paraId="7F847132" w14:textId="77777777" w:rsidR="00280E6B" w:rsidRDefault="00280E6B" w:rsidP="004F0842">
      <w:pPr>
        <w:autoSpaceDE w:val="0"/>
        <w:autoSpaceDN w:val="0"/>
        <w:adjustRightInd w:val="0"/>
        <w:spacing w:after="120"/>
        <w:rPr>
          <w:rFonts w:eastAsia="Batang"/>
          <w:sz w:val="22"/>
          <w:szCs w:val="22"/>
          <w:lang w:val="en-US" w:eastAsia="ko-KR"/>
        </w:rPr>
      </w:pPr>
    </w:p>
    <w:p w14:paraId="5456FBCB" w14:textId="4868C2D8" w:rsidR="00F67F46" w:rsidRPr="00280E6B" w:rsidRDefault="00F67F46" w:rsidP="004F0842">
      <w:pPr>
        <w:pStyle w:val="Heading3"/>
        <w:numPr>
          <w:ilvl w:val="1"/>
          <w:numId w:val="37"/>
        </w:numPr>
        <w:spacing w:after="120"/>
        <w:ind w:left="450" w:hanging="450"/>
        <w:rPr>
          <w:rFonts w:ascii="Arial" w:hAnsi="Arial"/>
        </w:rPr>
      </w:pPr>
      <w:r w:rsidRPr="00280E6B">
        <w:rPr>
          <w:rFonts w:ascii="Arial" w:hAnsi="Arial"/>
        </w:rPr>
        <w:lastRenderedPageBreak/>
        <w:t xml:space="preserve">Explicit Indication of 20MHz sub-bands within </w:t>
      </w:r>
      <w:proofErr w:type="spellStart"/>
      <w:r w:rsidRPr="00280E6B">
        <w:rPr>
          <w:rFonts w:ascii="Arial" w:hAnsi="Arial"/>
        </w:rPr>
        <w:t>gNB’s</w:t>
      </w:r>
      <w:proofErr w:type="spellEnd"/>
      <w:r w:rsidRPr="00280E6B">
        <w:rPr>
          <w:rFonts w:ascii="Arial" w:hAnsi="Arial"/>
        </w:rPr>
        <w:t xml:space="preserve"> COT</w:t>
      </w:r>
    </w:p>
    <w:p w14:paraId="280672DD" w14:textId="77777777" w:rsidR="00F67F46" w:rsidRDefault="00F67F46" w:rsidP="004F0842">
      <w:pPr>
        <w:spacing w:after="120"/>
        <w:rPr>
          <w:rFonts w:eastAsia="Batang"/>
          <w:sz w:val="22"/>
          <w:szCs w:val="22"/>
          <w:lang w:val="en-US" w:eastAsia="ko-KR"/>
        </w:rPr>
      </w:pPr>
      <w:r w:rsidRPr="00B11BCA">
        <w:rPr>
          <w:rFonts w:eastAsia="Batang"/>
          <w:sz w:val="22"/>
          <w:lang w:val="en-US" w:eastAsia="ko-KR"/>
        </w:rPr>
        <w:t xml:space="preserve">The gNB may provide an explicit indication of the </w:t>
      </w:r>
      <w:r>
        <w:rPr>
          <w:rFonts w:eastAsia="Batang"/>
          <w:sz w:val="22"/>
          <w:lang w:val="en-US" w:eastAsia="ko-KR"/>
        </w:rPr>
        <w:t>sub-band</w:t>
      </w:r>
      <w:r w:rsidRPr="00B11BCA">
        <w:rPr>
          <w:rFonts w:eastAsia="Batang"/>
          <w:sz w:val="22"/>
          <w:lang w:val="en-US" w:eastAsia="ko-KR"/>
        </w:rPr>
        <w:t xml:space="preserve">s to the UE through a signal such as a preamble or DMRS or through a control channel such as the </w:t>
      </w:r>
      <w:r w:rsidRPr="00100598">
        <w:rPr>
          <w:rFonts w:eastAsia="Batang"/>
          <w:sz w:val="22"/>
          <w:lang w:val="en-US" w:eastAsia="ko-KR"/>
        </w:rPr>
        <w:t>GC-PDCCH</w:t>
      </w:r>
      <w:r w:rsidRPr="00B11BCA">
        <w:rPr>
          <w:rFonts w:eastAsia="Batang"/>
          <w:sz w:val="22"/>
          <w:lang w:val="en-US" w:eastAsia="ko-KR"/>
        </w:rPr>
        <w:t>.</w:t>
      </w:r>
      <w:r>
        <w:rPr>
          <w:rFonts w:eastAsia="Batang"/>
          <w:sz w:val="22"/>
          <w:lang w:val="en-US" w:eastAsia="ko-KR"/>
        </w:rPr>
        <w:t xml:space="preserve"> The indication may be transmitted on one or more sub-bands. The UE may receive the indication over one or more sub-bands and infer the availability of the sub-bands in the COT from the transmitted indication. For example, </w:t>
      </w:r>
      <w:r>
        <w:rPr>
          <w:rFonts w:eastAsia="Batang"/>
          <w:sz w:val="22"/>
          <w:szCs w:val="22"/>
          <w:lang w:val="en-US" w:eastAsia="ko-KR"/>
        </w:rPr>
        <w:t>a</w:t>
      </w:r>
      <w:r w:rsidRPr="002464EF">
        <w:rPr>
          <w:rFonts w:eastAsia="Batang"/>
          <w:sz w:val="22"/>
          <w:szCs w:val="22"/>
          <w:lang w:val="en-US" w:eastAsia="ko-KR"/>
        </w:rPr>
        <w:t xml:space="preserve">s shown </w:t>
      </w:r>
      <w:r w:rsidRPr="004D3125">
        <w:rPr>
          <w:rFonts w:eastAsia="Batang"/>
          <w:sz w:val="22"/>
          <w:lang w:val="en-US" w:eastAsia="ko-KR"/>
        </w:rPr>
        <w:t xml:space="preserve">in </w:t>
      </w:r>
      <w:r w:rsidRPr="004D3125">
        <w:rPr>
          <w:rFonts w:eastAsia="Batang"/>
          <w:sz w:val="22"/>
          <w:lang w:val="en-US" w:eastAsia="ko-KR"/>
        </w:rPr>
        <w:fldChar w:fldCharType="begin"/>
      </w:r>
      <w:r w:rsidRPr="006F5B81">
        <w:rPr>
          <w:rFonts w:eastAsia="Batang"/>
          <w:sz w:val="22"/>
          <w:lang w:val="en-US" w:eastAsia="ko-KR"/>
        </w:rPr>
        <w:instrText xml:space="preserve"> REF _Ref4753635 \h </w:instrText>
      </w:r>
      <w:r>
        <w:rPr>
          <w:rFonts w:eastAsia="Batang"/>
          <w:sz w:val="22"/>
          <w:lang w:val="en-US" w:eastAsia="ko-KR"/>
        </w:rPr>
        <w:instrText xml:space="preserve"> \* MERGEFORMAT </w:instrText>
      </w:r>
      <w:r w:rsidRPr="004D3125">
        <w:rPr>
          <w:rFonts w:eastAsia="Batang"/>
          <w:sz w:val="22"/>
          <w:lang w:val="en-US" w:eastAsia="ko-KR"/>
        </w:rPr>
      </w:r>
      <w:r w:rsidRPr="004D3125">
        <w:rPr>
          <w:rFonts w:eastAsia="Batang"/>
          <w:sz w:val="22"/>
          <w:lang w:val="en-US" w:eastAsia="ko-KR"/>
        </w:rPr>
        <w:fldChar w:fldCharType="separate"/>
      </w:r>
      <w:r w:rsidRPr="00B11BCA">
        <w:rPr>
          <w:rFonts w:eastAsia="Batang"/>
          <w:sz w:val="22"/>
          <w:lang w:val="en-US" w:eastAsia="ko-KR"/>
        </w:rPr>
        <w:t>Figure 1</w:t>
      </w:r>
      <w:r w:rsidRPr="004D3125">
        <w:rPr>
          <w:rFonts w:eastAsia="Batang"/>
          <w:sz w:val="22"/>
          <w:lang w:val="en-US" w:eastAsia="ko-KR"/>
        </w:rPr>
        <w:fldChar w:fldCharType="end"/>
      </w:r>
      <w:r w:rsidRPr="004D3125">
        <w:rPr>
          <w:rFonts w:eastAsia="Batang"/>
          <w:sz w:val="22"/>
          <w:lang w:val="en-US" w:eastAsia="ko-KR"/>
        </w:rPr>
        <w:t xml:space="preserve">, </w:t>
      </w:r>
      <w:r>
        <w:rPr>
          <w:rFonts w:eastAsia="Batang"/>
          <w:sz w:val="22"/>
          <w:lang w:val="en-US" w:eastAsia="ko-KR"/>
        </w:rPr>
        <w:t xml:space="preserve">the UE receives the indication on sub-band SB1. The indication carries information that sub-bands SB0, SB1 and SB2 are </w:t>
      </w:r>
      <w:bookmarkStart w:id="1" w:name="_GoBack"/>
      <w:bookmarkEnd w:id="1"/>
      <w:r>
        <w:rPr>
          <w:rFonts w:eastAsia="Batang"/>
          <w:sz w:val="22"/>
          <w:lang w:val="en-US" w:eastAsia="ko-KR"/>
        </w:rPr>
        <w:t xml:space="preserve">available to the gNB in the COT. </w:t>
      </w:r>
      <w:r>
        <w:rPr>
          <w:rFonts w:eastAsia="Batang"/>
          <w:sz w:val="22"/>
          <w:szCs w:val="22"/>
          <w:lang w:val="en-US" w:eastAsia="ko-KR"/>
        </w:rPr>
        <w:t xml:space="preserve">Accordingly, </w:t>
      </w:r>
      <w:r w:rsidRPr="002464EF">
        <w:rPr>
          <w:rFonts w:eastAsia="Batang"/>
          <w:sz w:val="22"/>
          <w:szCs w:val="22"/>
          <w:lang w:val="en-US" w:eastAsia="ko-KR"/>
        </w:rPr>
        <w:t>the UE adjust</w:t>
      </w:r>
      <w:r>
        <w:rPr>
          <w:rFonts w:eastAsia="Batang"/>
          <w:sz w:val="22"/>
          <w:szCs w:val="22"/>
          <w:lang w:val="en-US" w:eastAsia="ko-KR"/>
        </w:rPr>
        <w:t>s</w:t>
      </w:r>
      <w:r w:rsidRPr="002464EF">
        <w:rPr>
          <w:rFonts w:eastAsia="Batang"/>
          <w:sz w:val="22"/>
          <w:szCs w:val="22"/>
          <w:lang w:val="en-US" w:eastAsia="ko-KR"/>
        </w:rPr>
        <w:t xml:space="preserve"> its reception bandwidth to the bandwidth </w:t>
      </w:r>
      <w:r>
        <w:rPr>
          <w:rFonts w:eastAsia="Batang"/>
          <w:sz w:val="22"/>
          <w:szCs w:val="22"/>
          <w:lang w:val="en-US" w:eastAsia="ko-KR"/>
        </w:rPr>
        <w:t xml:space="preserve">indicated </w:t>
      </w:r>
      <w:r w:rsidRPr="002464EF">
        <w:rPr>
          <w:rFonts w:eastAsia="Batang"/>
          <w:sz w:val="22"/>
          <w:szCs w:val="22"/>
          <w:lang w:val="en-US" w:eastAsia="ko-KR"/>
        </w:rPr>
        <w:t xml:space="preserve">by </w:t>
      </w:r>
      <w:r>
        <w:rPr>
          <w:rFonts w:eastAsia="Batang"/>
          <w:sz w:val="22"/>
          <w:szCs w:val="22"/>
          <w:lang w:val="en-US" w:eastAsia="ko-KR"/>
        </w:rPr>
        <w:t xml:space="preserve">the </w:t>
      </w:r>
      <w:r w:rsidRPr="002464EF">
        <w:rPr>
          <w:rFonts w:eastAsia="Batang"/>
          <w:sz w:val="22"/>
          <w:szCs w:val="22"/>
          <w:lang w:val="en-US" w:eastAsia="ko-KR"/>
        </w:rPr>
        <w:t xml:space="preserve">gNB </w:t>
      </w:r>
      <w:r>
        <w:rPr>
          <w:rFonts w:eastAsia="Batang"/>
          <w:sz w:val="22"/>
          <w:szCs w:val="22"/>
          <w:lang w:val="en-US" w:eastAsia="ko-KR"/>
        </w:rPr>
        <w:t xml:space="preserve">which includes SB0, SB1 and SB2 </w:t>
      </w:r>
      <w:r w:rsidRPr="002464EF">
        <w:rPr>
          <w:rFonts w:eastAsia="Batang"/>
          <w:sz w:val="22"/>
          <w:szCs w:val="22"/>
          <w:lang w:val="en-US" w:eastAsia="ko-KR"/>
        </w:rPr>
        <w:t>for monitoring PDCCH</w:t>
      </w:r>
      <w:r>
        <w:rPr>
          <w:rFonts w:eastAsia="Batang"/>
          <w:sz w:val="22"/>
          <w:szCs w:val="22"/>
          <w:lang w:val="en-US" w:eastAsia="ko-KR"/>
        </w:rPr>
        <w:t>.</w:t>
      </w:r>
    </w:p>
    <w:p w14:paraId="1A715324" w14:textId="77777777" w:rsidR="00F67F46" w:rsidRDefault="00F67F46" w:rsidP="00F67F46">
      <w:pPr>
        <w:rPr>
          <w:rFonts w:eastAsia="Batang"/>
          <w:sz w:val="22"/>
          <w:szCs w:val="22"/>
          <w:lang w:val="en-US" w:eastAsia="ko-KR"/>
        </w:rPr>
      </w:pPr>
    </w:p>
    <w:p w14:paraId="088F512A" w14:textId="77777777" w:rsidR="00F67F46" w:rsidRDefault="00F67F46" w:rsidP="004F0842">
      <w:pPr>
        <w:keepNext/>
        <w:spacing w:after="120"/>
        <w:jc w:val="center"/>
      </w:pPr>
      <w:r>
        <w:rPr>
          <w:rFonts w:eastAsia="Batang"/>
          <w:noProof/>
          <w:sz w:val="22"/>
          <w:szCs w:val="22"/>
          <w:lang w:val="en-US"/>
        </w:rPr>
        <w:drawing>
          <wp:inline distT="0" distB="0" distL="0" distR="0" wp14:anchorId="1FE1ADE6" wp14:editId="7C820433">
            <wp:extent cx="3526971" cy="2243477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838" cy="2258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297DDD" w14:textId="77777777" w:rsidR="00F67F46" w:rsidRPr="004F0842" w:rsidRDefault="00F67F46" w:rsidP="004F0842">
      <w:pPr>
        <w:pStyle w:val="Caption"/>
        <w:spacing w:after="120"/>
        <w:jc w:val="center"/>
        <w:rPr>
          <w:b/>
          <w:color w:val="000000" w:themeColor="text1"/>
          <w:sz w:val="22"/>
        </w:rPr>
      </w:pPr>
      <w:bookmarkStart w:id="2" w:name="_Ref4753635"/>
      <w:r w:rsidRPr="004F0842">
        <w:rPr>
          <w:b/>
          <w:i w:val="0"/>
          <w:color w:val="000000" w:themeColor="text1"/>
          <w:sz w:val="22"/>
        </w:rPr>
        <w:t xml:space="preserve">Figure </w:t>
      </w:r>
      <w:r w:rsidRPr="004F0842">
        <w:rPr>
          <w:b/>
          <w:i w:val="0"/>
          <w:color w:val="000000" w:themeColor="text1"/>
          <w:sz w:val="22"/>
        </w:rPr>
        <w:fldChar w:fldCharType="begin"/>
      </w:r>
      <w:r w:rsidRPr="004F0842">
        <w:rPr>
          <w:b/>
          <w:i w:val="0"/>
          <w:color w:val="000000" w:themeColor="text1"/>
          <w:sz w:val="22"/>
        </w:rPr>
        <w:instrText xml:space="preserve"> SEQ Figure \* ARABIC </w:instrText>
      </w:r>
      <w:r w:rsidRPr="004F0842">
        <w:rPr>
          <w:b/>
          <w:i w:val="0"/>
          <w:color w:val="000000" w:themeColor="text1"/>
          <w:sz w:val="22"/>
        </w:rPr>
        <w:fldChar w:fldCharType="separate"/>
      </w:r>
      <w:r w:rsidRPr="004F0842">
        <w:rPr>
          <w:b/>
          <w:i w:val="0"/>
          <w:noProof/>
          <w:color w:val="000000" w:themeColor="text1"/>
          <w:sz w:val="22"/>
        </w:rPr>
        <w:t>1</w:t>
      </w:r>
      <w:r w:rsidRPr="004F0842">
        <w:rPr>
          <w:b/>
          <w:i w:val="0"/>
          <w:color w:val="000000" w:themeColor="text1"/>
          <w:sz w:val="22"/>
        </w:rPr>
        <w:fldChar w:fldCharType="end"/>
      </w:r>
      <w:bookmarkEnd w:id="2"/>
      <w:r w:rsidRPr="004F0842">
        <w:rPr>
          <w:b/>
          <w:i w:val="0"/>
          <w:color w:val="000000" w:themeColor="text1"/>
          <w:sz w:val="22"/>
        </w:rPr>
        <w:t xml:space="preserve"> Explicit indication of 20MHz sub-bands within </w:t>
      </w:r>
      <w:proofErr w:type="spellStart"/>
      <w:r w:rsidRPr="004F0842">
        <w:rPr>
          <w:b/>
          <w:i w:val="0"/>
          <w:color w:val="000000" w:themeColor="text1"/>
          <w:sz w:val="22"/>
        </w:rPr>
        <w:t>gNB’s</w:t>
      </w:r>
      <w:proofErr w:type="spellEnd"/>
      <w:r w:rsidRPr="004F0842">
        <w:rPr>
          <w:b/>
          <w:i w:val="0"/>
          <w:color w:val="000000" w:themeColor="text1"/>
          <w:sz w:val="22"/>
        </w:rPr>
        <w:t xml:space="preserve"> COT</w:t>
      </w:r>
    </w:p>
    <w:p w14:paraId="3BCE7DAC" w14:textId="77777777" w:rsidR="00F67F46" w:rsidRDefault="00F67F46" w:rsidP="00F67F46">
      <w:pPr>
        <w:rPr>
          <w:rFonts w:eastAsia="Batang"/>
          <w:sz w:val="22"/>
          <w:szCs w:val="22"/>
          <w:lang w:val="en-US" w:eastAsia="ko-KR"/>
        </w:rPr>
      </w:pPr>
    </w:p>
    <w:p w14:paraId="7BB80905" w14:textId="5BE1D1E5" w:rsidR="00F67F46" w:rsidRPr="00280E6B" w:rsidRDefault="00F67F46" w:rsidP="004F0842">
      <w:pPr>
        <w:pStyle w:val="Heading3"/>
        <w:numPr>
          <w:ilvl w:val="1"/>
          <w:numId w:val="37"/>
        </w:numPr>
        <w:spacing w:after="120"/>
        <w:ind w:left="450" w:hanging="450"/>
        <w:rPr>
          <w:rFonts w:ascii="Arial" w:hAnsi="Arial"/>
        </w:rPr>
      </w:pPr>
      <w:r w:rsidRPr="00280E6B">
        <w:rPr>
          <w:rFonts w:ascii="Arial" w:hAnsi="Arial"/>
        </w:rPr>
        <w:t xml:space="preserve">Implicit Indication of 20MHz sub-bands within </w:t>
      </w:r>
      <w:proofErr w:type="spellStart"/>
      <w:r w:rsidRPr="00280E6B">
        <w:rPr>
          <w:rFonts w:ascii="Arial" w:hAnsi="Arial"/>
        </w:rPr>
        <w:t>gNB’s</w:t>
      </w:r>
      <w:proofErr w:type="spellEnd"/>
      <w:r w:rsidRPr="00280E6B">
        <w:rPr>
          <w:rFonts w:ascii="Arial" w:hAnsi="Arial"/>
        </w:rPr>
        <w:t xml:space="preserve"> COT</w:t>
      </w:r>
    </w:p>
    <w:p w14:paraId="5E3F0757" w14:textId="77777777" w:rsidR="00F67F46" w:rsidRPr="002464EF" w:rsidRDefault="00F67F46" w:rsidP="004F0842">
      <w:pPr>
        <w:autoSpaceDE w:val="0"/>
        <w:autoSpaceDN w:val="0"/>
        <w:adjustRightInd w:val="0"/>
        <w:spacing w:after="120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>The UE may i</w:t>
      </w:r>
      <w:r w:rsidRPr="002464EF">
        <w:rPr>
          <w:rFonts w:eastAsia="Batang"/>
          <w:sz w:val="22"/>
          <w:szCs w:val="22"/>
          <w:lang w:val="en-US" w:eastAsia="ko-KR"/>
        </w:rPr>
        <w:t>mplicit</w:t>
      </w:r>
      <w:r>
        <w:rPr>
          <w:rFonts w:eastAsia="Batang"/>
          <w:sz w:val="22"/>
          <w:szCs w:val="22"/>
          <w:lang w:val="en-US" w:eastAsia="ko-KR"/>
        </w:rPr>
        <w:t xml:space="preserve">ly derive knowledge about the </w:t>
      </w:r>
      <w:r w:rsidRPr="002464EF">
        <w:rPr>
          <w:rFonts w:eastAsia="Batang"/>
          <w:sz w:val="22"/>
          <w:szCs w:val="22"/>
          <w:lang w:val="en-US" w:eastAsia="ko-KR"/>
        </w:rPr>
        <w:t>sub</w:t>
      </w:r>
      <w:r>
        <w:rPr>
          <w:rFonts w:eastAsia="Batang"/>
          <w:sz w:val="22"/>
          <w:szCs w:val="22"/>
          <w:lang w:val="en-US" w:eastAsia="ko-KR"/>
        </w:rPr>
        <w:t>-</w:t>
      </w:r>
      <w:r w:rsidRPr="002464EF">
        <w:rPr>
          <w:rFonts w:eastAsia="Batang"/>
          <w:sz w:val="22"/>
          <w:szCs w:val="22"/>
          <w:lang w:val="en-US" w:eastAsia="ko-KR"/>
        </w:rPr>
        <w:t>band</w:t>
      </w:r>
      <w:r>
        <w:rPr>
          <w:rFonts w:eastAsia="Batang"/>
          <w:sz w:val="22"/>
          <w:szCs w:val="22"/>
          <w:lang w:val="en-US" w:eastAsia="ko-KR"/>
        </w:rPr>
        <w:t xml:space="preserve">s within the gNB’s COT. </w:t>
      </w:r>
      <w:r w:rsidRPr="002464EF">
        <w:rPr>
          <w:rFonts w:eastAsia="Batang"/>
          <w:sz w:val="22"/>
          <w:szCs w:val="22"/>
          <w:lang w:val="en-US" w:eastAsia="ko-KR"/>
        </w:rPr>
        <w:t xml:space="preserve"> For example, </w:t>
      </w:r>
      <w:r>
        <w:rPr>
          <w:rFonts w:eastAsia="Batang"/>
          <w:sz w:val="22"/>
          <w:szCs w:val="22"/>
          <w:lang w:val="en-US" w:eastAsia="ko-KR"/>
        </w:rPr>
        <w:t xml:space="preserve">as shown </w:t>
      </w:r>
      <w:r w:rsidRPr="002464EF">
        <w:rPr>
          <w:rFonts w:eastAsia="Batang"/>
          <w:sz w:val="22"/>
          <w:szCs w:val="22"/>
          <w:lang w:val="en-US" w:eastAsia="ko-KR"/>
        </w:rPr>
        <w:t xml:space="preserve">in </w:t>
      </w:r>
      <w:r w:rsidRPr="002464EF">
        <w:rPr>
          <w:rFonts w:eastAsia="Batang"/>
          <w:sz w:val="22"/>
          <w:szCs w:val="22"/>
          <w:lang w:val="en-US" w:eastAsia="ko-KR"/>
        </w:rPr>
        <w:fldChar w:fldCharType="begin"/>
      </w:r>
      <w:r w:rsidRPr="002464EF">
        <w:rPr>
          <w:rFonts w:eastAsia="Batang"/>
          <w:sz w:val="22"/>
          <w:szCs w:val="22"/>
          <w:lang w:val="en-US" w:eastAsia="ko-KR"/>
        </w:rPr>
        <w:instrText xml:space="preserve"> REF _Ref4664682 \h </w:instrText>
      </w:r>
      <w:r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Pr="002464EF">
        <w:rPr>
          <w:rFonts w:eastAsia="Batang"/>
          <w:sz w:val="22"/>
          <w:szCs w:val="22"/>
          <w:lang w:val="en-US" w:eastAsia="ko-KR"/>
        </w:rPr>
      </w:r>
      <w:r w:rsidRPr="002464EF">
        <w:rPr>
          <w:rFonts w:eastAsia="Batang"/>
          <w:sz w:val="22"/>
          <w:szCs w:val="22"/>
          <w:lang w:val="en-US" w:eastAsia="ko-KR"/>
        </w:rPr>
        <w:fldChar w:fldCharType="separate"/>
      </w:r>
      <w:r w:rsidRPr="00B11BCA">
        <w:rPr>
          <w:rFonts w:eastAsia="Batang"/>
          <w:sz w:val="22"/>
          <w:szCs w:val="22"/>
          <w:lang w:val="en-US" w:eastAsia="ko-KR"/>
        </w:rPr>
        <w:t>Figure 2</w:t>
      </w:r>
      <w:r w:rsidRPr="002464EF">
        <w:rPr>
          <w:rFonts w:eastAsia="Batang"/>
          <w:sz w:val="22"/>
          <w:szCs w:val="22"/>
          <w:lang w:val="en-US" w:eastAsia="ko-KR"/>
        </w:rPr>
        <w:fldChar w:fldCharType="end"/>
      </w:r>
      <w:r w:rsidRPr="002464EF">
        <w:rPr>
          <w:rFonts w:eastAsia="Batang"/>
          <w:sz w:val="22"/>
          <w:szCs w:val="22"/>
          <w:lang w:val="en-US" w:eastAsia="ko-KR"/>
        </w:rPr>
        <w:t xml:space="preserve">, the UE </w:t>
      </w:r>
      <w:r>
        <w:rPr>
          <w:rFonts w:eastAsia="Batang"/>
          <w:sz w:val="22"/>
          <w:szCs w:val="22"/>
          <w:lang w:val="en-US" w:eastAsia="ko-KR"/>
        </w:rPr>
        <w:t xml:space="preserve">may monitor its default BWP in </w:t>
      </w:r>
      <w:r w:rsidRPr="002464EF">
        <w:rPr>
          <w:rFonts w:eastAsia="Batang"/>
          <w:sz w:val="22"/>
          <w:szCs w:val="22"/>
          <w:lang w:val="en-US" w:eastAsia="ko-KR"/>
        </w:rPr>
        <w:t xml:space="preserve">SB1. </w:t>
      </w:r>
      <w:r>
        <w:rPr>
          <w:rFonts w:eastAsia="Batang"/>
          <w:sz w:val="22"/>
          <w:szCs w:val="22"/>
          <w:lang w:val="en-US" w:eastAsia="ko-KR"/>
        </w:rPr>
        <w:t xml:space="preserve">If it detects a DMRS or PDCCH from its serving gNB, it can infer that at least SB1 is in the gNB’s COT. Subsequently, the UE may infer the presence of other sub-bands from a DL or UL grant scheduled within that COT. In </w:t>
      </w:r>
      <w:r w:rsidRPr="002464EF">
        <w:rPr>
          <w:rFonts w:eastAsia="Batang"/>
          <w:sz w:val="22"/>
          <w:szCs w:val="22"/>
          <w:lang w:val="en-US" w:eastAsia="ko-KR"/>
        </w:rPr>
        <w:fldChar w:fldCharType="begin"/>
      </w:r>
      <w:r w:rsidRPr="002464EF">
        <w:rPr>
          <w:rFonts w:eastAsia="Batang"/>
          <w:sz w:val="22"/>
          <w:szCs w:val="22"/>
          <w:lang w:val="en-US" w:eastAsia="ko-KR"/>
        </w:rPr>
        <w:instrText xml:space="preserve"> REF _Ref4664682 \h </w:instrText>
      </w:r>
      <w:r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Pr="002464EF">
        <w:rPr>
          <w:rFonts w:eastAsia="Batang"/>
          <w:sz w:val="22"/>
          <w:szCs w:val="22"/>
          <w:lang w:val="en-US" w:eastAsia="ko-KR"/>
        </w:rPr>
      </w:r>
      <w:r w:rsidRPr="002464EF">
        <w:rPr>
          <w:rFonts w:eastAsia="Batang"/>
          <w:sz w:val="22"/>
          <w:szCs w:val="22"/>
          <w:lang w:val="en-US" w:eastAsia="ko-KR"/>
        </w:rPr>
        <w:fldChar w:fldCharType="separate"/>
      </w:r>
      <w:r w:rsidRPr="00B11BCA">
        <w:rPr>
          <w:rFonts w:eastAsia="Batang"/>
          <w:sz w:val="22"/>
          <w:szCs w:val="22"/>
          <w:lang w:val="en-US" w:eastAsia="ko-KR"/>
        </w:rPr>
        <w:t>Figure 2</w:t>
      </w:r>
      <w:r w:rsidRPr="002464EF">
        <w:rPr>
          <w:rFonts w:eastAsia="Batang"/>
          <w:sz w:val="22"/>
          <w:szCs w:val="22"/>
          <w:lang w:val="en-US" w:eastAsia="ko-KR"/>
        </w:rPr>
        <w:fldChar w:fldCharType="end"/>
      </w:r>
      <w:r w:rsidRPr="002464EF">
        <w:rPr>
          <w:rFonts w:eastAsia="Batang"/>
          <w:sz w:val="22"/>
          <w:szCs w:val="22"/>
          <w:lang w:val="en-US" w:eastAsia="ko-KR"/>
        </w:rPr>
        <w:t>,</w:t>
      </w:r>
      <w:r>
        <w:rPr>
          <w:rFonts w:eastAsia="Batang"/>
          <w:sz w:val="22"/>
          <w:szCs w:val="22"/>
          <w:lang w:val="en-US" w:eastAsia="ko-KR"/>
        </w:rPr>
        <w:t xml:space="preserve"> a DCI on SB1 indicates a DL grant across SB0 and SB1. On receiving this, the UE infers that SB0 is also within the gNB’s </w:t>
      </w:r>
      <w:proofErr w:type="gramStart"/>
      <w:r>
        <w:rPr>
          <w:rFonts w:eastAsia="Batang"/>
          <w:sz w:val="22"/>
          <w:szCs w:val="22"/>
          <w:lang w:val="en-US" w:eastAsia="ko-KR"/>
        </w:rPr>
        <w:t>COT</w:t>
      </w:r>
      <w:proofErr w:type="gramEnd"/>
      <w:r>
        <w:rPr>
          <w:rFonts w:eastAsia="Batang"/>
          <w:sz w:val="22"/>
          <w:szCs w:val="22"/>
          <w:lang w:val="en-US" w:eastAsia="ko-KR"/>
        </w:rPr>
        <w:t xml:space="preserve"> but the UE cannot make assumptions on the availability of SB2 and SB3 even if they are acquired by the gNB. </w:t>
      </w:r>
      <w:r w:rsidRPr="002464EF">
        <w:rPr>
          <w:rFonts w:eastAsia="Batang"/>
          <w:sz w:val="22"/>
          <w:szCs w:val="22"/>
          <w:lang w:val="en-US" w:eastAsia="ko-KR"/>
        </w:rPr>
        <w:t xml:space="preserve">  </w:t>
      </w:r>
    </w:p>
    <w:p w14:paraId="33097EA1" w14:textId="77777777" w:rsidR="00F67F46" w:rsidRDefault="00F67F46" w:rsidP="004F0842">
      <w:pPr>
        <w:keepNext/>
        <w:spacing w:after="120"/>
        <w:jc w:val="center"/>
      </w:pPr>
      <w:r>
        <w:rPr>
          <w:noProof/>
          <w:lang w:val="en-US"/>
        </w:rPr>
        <w:drawing>
          <wp:inline distT="0" distB="0" distL="0" distR="0" wp14:anchorId="374AECBD" wp14:editId="28CC98ED">
            <wp:extent cx="4144488" cy="2399274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664" cy="24069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4BC128" w14:textId="77777777" w:rsidR="00F67F46" w:rsidRPr="004F0842" w:rsidRDefault="00F67F46" w:rsidP="004F0842">
      <w:pPr>
        <w:pStyle w:val="Caption"/>
        <w:spacing w:after="120"/>
        <w:jc w:val="center"/>
        <w:rPr>
          <w:b/>
          <w:i w:val="0"/>
          <w:sz w:val="22"/>
        </w:rPr>
      </w:pPr>
      <w:bookmarkStart w:id="3" w:name="_Ref4664682"/>
      <w:r w:rsidRPr="004F0842">
        <w:rPr>
          <w:b/>
          <w:i w:val="0"/>
          <w:color w:val="000000" w:themeColor="text1"/>
          <w:sz w:val="22"/>
        </w:rPr>
        <w:t xml:space="preserve">Figure </w:t>
      </w:r>
      <w:r w:rsidRPr="004F0842">
        <w:rPr>
          <w:b/>
          <w:i w:val="0"/>
          <w:color w:val="000000" w:themeColor="text1"/>
          <w:sz w:val="22"/>
        </w:rPr>
        <w:fldChar w:fldCharType="begin"/>
      </w:r>
      <w:r w:rsidRPr="004F0842">
        <w:rPr>
          <w:b/>
          <w:i w:val="0"/>
          <w:color w:val="000000" w:themeColor="text1"/>
          <w:sz w:val="22"/>
        </w:rPr>
        <w:instrText xml:space="preserve"> SEQ Figure \* ARABIC </w:instrText>
      </w:r>
      <w:r w:rsidRPr="004F0842">
        <w:rPr>
          <w:b/>
          <w:i w:val="0"/>
          <w:color w:val="000000" w:themeColor="text1"/>
          <w:sz w:val="22"/>
        </w:rPr>
        <w:fldChar w:fldCharType="separate"/>
      </w:r>
      <w:r w:rsidRPr="004F0842">
        <w:rPr>
          <w:b/>
          <w:i w:val="0"/>
          <w:noProof/>
          <w:color w:val="000000" w:themeColor="text1"/>
          <w:sz w:val="22"/>
        </w:rPr>
        <w:t>2</w:t>
      </w:r>
      <w:r w:rsidRPr="004F0842">
        <w:rPr>
          <w:b/>
          <w:i w:val="0"/>
          <w:color w:val="000000" w:themeColor="text1"/>
          <w:sz w:val="22"/>
        </w:rPr>
        <w:fldChar w:fldCharType="end"/>
      </w:r>
      <w:bookmarkEnd w:id="3"/>
      <w:r w:rsidRPr="004F0842">
        <w:rPr>
          <w:b/>
          <w:i w:val="0"/>
          <w:color w:val="000000" w:themeColor="text1"/>
          <w:sz w:val="22"/>
        </w:rPr>
        <w:t xml:space="preserve"> Implicit indication of 20MHz sub-bands within </w:t>
      </w:r>
      <w:proofErr w:type="spellStart"/>
      <w:r w:rsidRPr="004F0842">
        <w:rPr>
          <w:b/>
          <w:i w:val="0"/>
          <w:color w:val="000000" w:themeColor="text1"/>
          <w:sz w:val="22"/>
        </w:rPr>
        <w:t>gNB’s</w:t>
      </w:r>
      <w:proofErr w:type="spellEnd"/>
      <w:r w:rsidRPr="004F0842">
        <w:rPr>
          <w:b/>
          <w:i w:val="0"/>
          <w:color w:val="000000" w:themeColor="text1"/>
          <w:sz w:val="22"/>
        </w:rPr>
        <w:t xml:space="preserve"> COT</w:t>
      </w:r>
    </w:p>
    <w:p w14:paraId="0B3DC6C5" w14:textId="77777777" w:rsidR="00F67F46" w:rsidRPr="002464EF" w:rsidRDefault="00F67F46" w:rsidP="004F0842">
      <w:pPr>
        <w:autoSpaceDE w:val="0"/>
        <w:autoSpaceDN w:val="0"/>
        <w:adjustRightInd w:val="0"/>
        <w:spacing w:after="120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Considering that the gNB </w:t>
      </w:r>
      <w:proofErr w:type="gramStart"/>
      <w:r>
        <w:rPr>
          <w:rFonts w:eastAsia="Batang"/>
          <w:sz w:val="22"/>
          <w:szCs w:val="22"/>
          <w:lang w:val="en-US" w:eastAsia="ko-KR"/>
        </w:rPr>
        <w:t>has to</w:t>
      </w:r>
      <w:proofErr w:type="gramEnd"/>
      <w:r>
        <w:rPr>
          <w:rFonts w:eastAsia="Batang"/>
          <w:sz w:val="22"/>
          <w:szCs w:val="22"/>
          <w:lang w:val="en-US" w:eastAsia="ko-KR"/>
        </w:rPr>
        <w:t xml:space="preserve"> supports UEs with different DRX ON durations, it may be beneficial to support both explicit and implicit indications of the sub-bands as it gives more flexibility to the gNB in scheduling the indication.</w:t>
      </w:r>
    </w:p>
    <w:p w14:paraId="5BFF1F9F" w14:textId="77777777" w:rsidR="00F67F46" w:rsidRDefault="00F67F46" w:rsidP="004F0842">
      <w:pPr>
        <w:autoSpaceDE w:val="0"/>
        <w:autoSpaceDN w:val="0"/>
        <w:adjustRightInd w:val="0"/>
        <w:spacing w:after="120"/>
        <w:rPr>
          <w:rFonts w:eastAsia="SimSun"/>
          <w:b/>
          <w:i/>
          <w:sz w:val="22"/>
          <w:szCs w:val="22"/>
          <w:lang w:val="en-US" w:eastAsia="zh-CN"/>
        </w:rPr>
      </w:pPr>
      <w:r w:rsidRPr="008E5F35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>1</w:t>
      </w:r>
      <w:r w:rsidRPr="008E5F35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="SimSun"/>
          <w:b/>
          <w:i/>
          <w:sz w:val="22"/>
          <w:szCs w:val="22"/>
          <w:lang w:val="en-US" w:eastAsia="zh-CN"/>
        </w:rPr>
        <w:t>I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>t may be beneficial to support both explicit and implicit indication</w:t>
      </w:r>
      <w:r>
        <w:rPr>
          <w:rFonts w:eastAsia="SimSun"/>
          <w:b/>
          <w:i/>
          <w:sz w:val="22"/>
          <w:szCs w:val="22"/>
          <w:lang w:val="en-US" w:eastAsia="zh-CN"/>
        </w:rPr>
        <w:t>s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of the </w:t>
      </w:r>
      <w:r>
        <w:rPr>
          <w:rFonts w:eastAsia="SimSun"/>
          <w:b/>
          <w:i/>
          <w:sz w:val="22"/>
          <w:szCs w:val="22"/>
          <w:lang w:val="en-US" w:eastAsia="zh-CN"/>
        </w:rPr>
        <w:t>sub-band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s as it gives more </w:t>
      </w:r>
      <w:r w:rsidRPr="00523FF4">
        <w:rPr>
          <w:rFonts w:eastAsia="SimSun"/>
          <w:b/>
          <w:i/>
          <w:sz w:val="22"/>
          <w:szCs w:val="22"/>
          <w:lang w:val="en-US" w:eastAsia="zh-CN"/>
        </w:rPr>
        <w:t>flexibility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to the gNB in scheduling the indication.</w:t>
      </w:r>
    </w:p>
    <w:p w14:paraId="656D0F78" w14:textId="77777777" w:rsidR="00F67F46" w:rsidRDefault="00F67F46" w:rsidP="00F67F46">
      <w:pPr>
        <w:keepNext/>
        <w:spacing w:after="120"/>
      </w:pPr>
    </w:p>
    <w:p w14:paraId="23F76056" w14:textId="77777777" w:rsidR="00F67F46" w:rsidRPr="004C6FF9" w:rsidRDefault="00F67F46" w:rsidP="004F0842">
      <w:pPr>
        <w:pStyle w:val="Heading2"/>
        <w:numPr>
          <w:ilvl w:val="0"/>
          <w:numId w:val="37"/>
        </w:numPr>
        <w:spacing w:after="120"/>
        <w:ind w:left="360"/>
      </w:pPr>
      <w:r>
        <w:t>CORESET configuration for wideband operation</w:t>
      </w:r>
    </w:p>
    <w:p w14:paraId="643792BD" w14:textId="77777777" w:rsidR="00F67F46" w:rsidRDefault="00F67F46" w:rsidP="004F0842">
      <w:pPr>
        <w:autoSpaceDE w:val="0"/>
        <w:autoSpaceDN w:val="0"/>
        <w:adjustRightInd w:val="0"/>
        <w:spacing w:after="120"/>
        <w:rPr>
          <w:rFonts w:eastAsia="Batang"/>
          <w:sz w:val="22"/>
          <w:szCs w:val="22"/>
          <w:lang w:val="en-US" w:eastAsia="ko-KR"/>
        </w:rPr>
      </w:pPr>
      <w:r w:rsidRPr="00B11BCA">
        <w:rPr>
          <w:rFonts w:eastAsia="Batang"/>
          <w:sz w:val="22"/>
          <w:szCs w:val="22"/>
          <w:lang w:val="en-US" w:eastAsia="ko-KR"/>
        </w:rPr>
        <w:t xml:space="preserve">As the </w:t>
      </w:r>
      <w:r>
        <w:rPr>
          <w:rFonts w:eastAsia="Batang"/>
          <w:sz w:val="22"/>
          <w:szCs w:val="22"/>
          <w:lang w:val="en-US" w:eastAsia="ko-KR"/>
        </w:rPr>
        <w:t>sub-band</w:t>
      </w:r>
      <w:r w:rsidRPr="00B11BCA">
        <w:rPr>
          <w:rFonts w:eastAsia="Batang"/>
          <w:sz w:val="22"/>
          <w:szCs w:val="22"/>
          <w:lang w:val="en-US" w:eastAsia="ko-KR"/>
        </w:rPr>
        <w:t>s in a gNB’s COT can change</w:t>
      </w:r>
      <w:r>
        <w:rPr>
          <w:rFonts w:eastAsia="Batang"/>
          <w:sz w:val="22"/>
          <w:szCs w:val="22"/>
          <w:lang w:val="en-US" w:eastAsia="ko-KR"/>
        </w:rPr>
        <w:t xml:space="preserve"> dynamically</w:t>
      </w:r>
      <w:r w:rsidRPr="00B11BCA">
        <w:rPr>
          <w:rFonts w:eastAsia="Batang"/>
          <w:sz w:val="22"/>
          <w:szCs w:val="22"/>
          <w:lang w:val="en-US" w:eastAsia="ko-KR"/>
        </w:rPr>
        <w:t xml:space="preserve"> in every channel access</w:t>
      </w:r>
      <w:r>
        <w:rPr>
          <w:rFonts w:eastAsia="Batang"/>
          <w:sz w:val="22"/>
          <w:szCs w:val="22"/>
          <w:lang w:val="en-US" w:eastAsia="ko-KR"/>
        </w:rPr>
        <w:t xml:space="preserve"> attempt</w:t>
      </w:r>
      <w:r w:rsidRPr="00B11BCA">
        <w:rPr>
          <w:rFonts w:eastAsia="Batang"/>
          <w:sz w:val="22"/>
          <w:szCs w:val="22"/>
          <w:lang w:val="en-US" w:eastAsia="ko-KR"/>
        </w:rPr>
        <w:t xml:space="preserve">, it is necessary to examine the impact of availability of </w:t>
      </w:r>
      <w:r>
        <w:rPr>
          <w:rFonts w:eastAsia="Batang"/>
          <w:sz w:val="22"/>
          <w:szCs w:val="22"/>
          <w:lang w:val="en-US" w:eastAsia="ko-KR"/>
        </w:rPr>
        <w:t>sub-band</w:t>
      </w:r>
      <w:r w:rsidRPr="00B11BCA">
        <w:rPr>
          <w:rFonts w:eastAsia="Batang"/>
          <w:sz w:val="22"/>
          <w:szCs w:val="22"/>
          <w:lang w:val="en-US" w:eastAsia="ko-KR"/>
        </w:rPr>
        <w:t>s on CORESET monitoring.</w:t>
      </w:r>
      <w:r>
        <w:rPr>
          <w:rFonts w:eastAsia="Batang"/>
          <w:sz w:val="22"/>
          <w:szCs w:val="22"/>
          <w:lang w:val="en-US" w:eastAsia="ko-KR"/>
        </w:rPr>
        <w:t xml:space="preserve"> For example, in NR Rel. 15, a CORESET is configured with respect to a DL BWP. If a CORESET is configured across multiple sub-bands and some of the sub-bands are not available due to LBT failure, we must provide a way to enable PDCCH detection on the available sub-bands. </w:t>
      </w:r>
    </w:p>
    <w:p w14:paraId="43055226" w14:textId="77777777" w:rsidR="00F67F46" w:rsidRDefault="00F67F46" w:rsidP="004F0842">
      <w:pPr>
        <w:autoSpaceDE w:val="0"/>
        <w:autoSpaceDN w:val="0"/>
        <w:adjustRightInd w:val="0"/>
        <w:spacing w:after="120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One possible solution is to confine a CORESET within one LBT sub-band. But if this sub-band is not available then the configured CORESET cannot be transmitted. </w:t>
      </w:r>
      <w:proofErr w:type="gramStart"/>
      <w:r>
        <w:rPr>
          <w:rFonts w:eastAsia="Batang"/>
          <w:sz w:val="22"/>
          <w:szCs w:val="22"/>
          <w:lang w:val="en-US" w:eastAsia="ko-KR"/>
        </w:rPr>
        <w:t>So</w:t>
      </w:r>
      <w:proofErr w:type="gramEnd"/>
      <w:r>
        <w:rPr>
          <w:rFonts w:eastAsia="Batang"/>
          <w:sz w:val="22"/>
          <w:szCs w:val="22"/>
          <w:lang w:val="en-US" w:eastAsia="ko-KR"/>
        </w:rPr>
        <w:t xml:space="preserve"> it may be beneficial to assign CORESETs to a UE to be confined in more than one sub-band. However, NR Rel. 15 limits the number of configured CORESETs to 3 within the BWP. We must study how </w:t>
      </w:r>
      <w:proofErr w:type="gramStart"/>
      <w:r>
        <w:rPr>
          <w:rFonts w:eastAsia="Batang"/>
          <w:sz w:val="22"/>
          <w:szCs w:val="22"/>
          <w:lang w:val="en-US" w:eastAsia="ko-KR"/>
        </w:rPr>
        <w:t>sufficient number of</w:t>
      </w:r>
      <w:proofErr w:type="gramEnd"/>
      <w:r>
        <w:rPr>
          <w:rFonts w:eastAsia="Batang"/>
          <w:sz w:val="22"/>
          <w:szCs w:val="22"/>
          <w:lang w:val="en-US" w:eastAsia="ko-KR"/>
        </w:rPr>
        <w:t xml:space="preserve"> CORESETs can be assigned so that a UE can benefit from wideband operation and whether the number of CORESETs required should be relaxed.</w:t>
      </w:r>
    </w:p>
    <w:p w14:paraId="3E2D4E73" w14:textId="77777777" w:rsidR="00F67F46" w:rsidRDefault="00F67F46" w:rsidP="004F0842">
      <w:pPr>
        <w:autoSpaceDE w:val="0"/>
        <w:autoSpaceDN w:val="0"/>
        <w:adjustRightInd w:val="0"/>
        <w:spacing w:after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>Observation</w:t>
      </w:r>
      <w:r w:rsidRPr="008E5F35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sz w:val="22"/>
          <w:szCs w:val="22"/>
          <w:lang w:val="en-US" w:eastAsia="zh-CN"/>
        </w:rPr>
        <w:t>1</w:t>
      </w:r>
      <w:r w:rsidRPr="008E5F35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="SimSun"/>
          <w:b/>
          <w:i/>
          <w:sz w:val="22"/>
          <w:szCs w:val="22"/>
          <w:lang w:val="en-US" w:eastAsia="zh-CN"/>
        </w:rPr>
        <w:t>I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>t is beneficial to assign CORESET</w:t>
      </w:r>
      <w:r>
        <w:rPr>
          <w:rFonts w:eastAsia="SimSun"/>
          <w:b/>
          <w:i/>
          <w:sz w:val="22"/>
          <w:szCs w:val="22"/>
          <w:lang w:val="en-US" w:eastAsia="zh-CN"/>
        </w:rPr>
        <w:t>s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to a UE in </w:t>
      </w:r>
      <w:r>
        <w:rPr>
          <w:rFonts w:eastAsia="SimSun"/>
          <w:b/>
          <w:i/>
          <w:sz w:val="22"/>
          <w:szCs w:val="22"/>
          <w:lang w:val="en-US" w:eastAsia="zh-CN"/>
        </w:rPr>
        <w:t>multiple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sub-band</w:t>
      </w:r>
      <w:r>
        <w:rPr>
          <w:rFonts w:eastAsia="SimSun"/>
          <w:b/>
          <w:i/>
          <w:sz w:val="22"/>
          <w:szCs w:val="22"/>
          <w:lang w:val="en-US" w:eastAsia="zh-CN"/>
        </w:rPr>
        <w:t>s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so that the UE can receiv</w:t>
      </w:r>
      <w:r>
        <w:rPr>
          <w:rFonts w:eastAsia="SimSun"/>
          <w:b/>
          <w:i/>
          <w:sz w:val="22"/>
          <w:szCs w:val="22"/>
          <w:lang w:val="en-US" w:eastAsia="zh-CN"/>
        </w:rPr>
        <w:t>e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control signal from at least one sub-band if another is not available.</w:t>
      </w:r>
      <w:r w:rsidRPr="008F5D4C" w:rsidDel="00E876FF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Del="00E876FF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</w:p>
    <w:p w14:paraId="6B277907" w14:textId="77777777" w:rsidR="00F67F46" w:rsidRDefault="00F67F46" w:rsidP="004F0842">
      <w:pPr>
        <w:autoSpaceDE w:val="0"/>
        <w:autoSpaceDN w:val="0"/>
        <w:adjustRightInd w:val="0"/>
        <w:spacing w:after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>Proposal 2: S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tudy how </w:t>
      </w:r>
      <w:proofErr w:type="gramStart"/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sufficient </w:t>
      </w:r>
      <w:r>
        <w:rPr>
          <w:rFonts w:eastAsia="SimSun"/>
          <w:b/>
          <w:i/>
          <w:sz w:val="22"/>
          <w:szCs w:val="22"/>
          <w:lang w:val="en-US" w:eastAsia="zh-CN"/>
        </w:rPr>
        <w:t>number of</w:t>
      </w:r>
      <w:proofErr w:type="gramEnd"/>
      <w:r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>CORESETs can be assigned so that a UE can benefit from wideband operation</w:t>
      </w:r>
      <w:r>
        <w:rPr>
          <w:rFonts w:eastAsia="SimSun"/>
          <w:b/>
          <w:i/>
          <w:sz w:val="22"/>
          <w:szCs w:val="22"/>
          <w:lang w:val="en-US" w:eastAsia="zh-CN"/>
        </w:rPr>
        <w:t>.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</w:p>
    <w:p w14:paraId="0E59BC6F" w14:textId="77777777" w:rsidR="00F67F46" w:rsidRPr="00B11BCA" w:rsidRDefault="00F67F46" w:rsidP="004F0842">
      <w:pPr>
        <w:autoSpaceDE w:val="0"/>
        <w:autoSpaceDN w:val="0"/>
        <w:adjustRightInd w:val="0"/>
        <w:spacing w:after="120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For special CORESETs such as CORESET 0 and beam failure recovery (BFR) CORESET, NR Rel.15 supports only one configuration per BWP. We must study the impact on non-availability of these CORESETs due to LBT failure for their respective sub-bands, especially for SA operation. If there are negative impacts, we may consider ways to study how these CORESETs can be transmitted on other available sub-bands in a COT as shown in </w:t>
      </w:r>
      <w:r>
        <w:rPr>
          <w:rFonts w:eastAsia="Batang"/>
          <w:sz w:val="22"/>
          <w:szCs w:val="22"/>
          <w:lang w:val="en-US" w:eastAsia="ko-KR"/>
        </w:rPr>
        <w:fldChar w:fldCharType="begin"/>
      </w:r>
      <w:r>
        <w:rPr>
          <w:rFonts w:eastAsia="Batang"/>
          <w:sz w:val="22"/>
          <w:szCs w:val="22"/>
          <w:lang w:val="en-US" w:eastAsia="ko-KR"/>
        </w:rPr>
        <w:instrText xml:space="preserve"> REF _Ref4677116 \h  \* MERGEFORMAT </w:instrText>
      </w:r>
      <w:r>
        <w:rPr>
          <w:rFonts w:eastAsia="Batang"/>
          <w:sz w:val="22"/>
          <w:szCs w:val="22"/>
          <w:lang w:val="en-US" w:eastAsia="ko-KR"/>
        </w:rPr>
      </w:r>
      <w:r>
        <w:rPr>
          <w:rFonts w:eastAsia="Batang"/>
          <w:sz w:val="22"/>
          <w:szCs w:val="22"/>
          <w:lang w:val="en-US" w:eastAsia="ko-KR"/>
        </w:rPr>
        <w:fldChar w:fldCharType="separate"/>
      </w:r>
      <w:r w:rsidRPr="00B11BCA">
        <w:rPr>
          <w:rFonts w:eastAsia="Batang"/>
          <w:sz w:val="22"/>
          <w:szCs w:val="22"/>
          <w:lang w:val="en-US" w:eastAsia="ko-KR"/>
        </w:rPr>
        <w:t>Figure 3</w:t>
      </w:r>
      <w:r>
        <w:rPr>
          <w:rFonts w:eastAsia="Batang"/>
          <w:sz w:val="22"/>
          <w:szCs w:val="22"/>
          <w:lang w:val="en-US" w:eastAsia="ko-KR"/>
        </w:rPr>
        <w:fldChar w:fldCharType="end"/>
      </w:r>
      <w:r>
        <w:rPr>
          <w:rFonts w:eastAsia="Batang"/>
          <w:sz w:val="22"/>
          <w:szCs w:val="22"/>
          <w:lang w:val="en-US" w:eastAsia="ko-KR"/>
        </w:rPr>
        <w:t>.</w:t>
      </w:r>
    </w:p>
    <w:p w14:paraId="239EB9DB" w14:textId="77777777" w:rsidR="00F67F46" w:rsidRDefault="00F67F46" w:rsidP="00F67F46">
      <w:pPr>
        <w:autoSpaceDE w:val="0"/>
        <w:autoSpaceDN w:val="0"/>
        <w:adjustRightInd w:val="0"/>
        <w:spacing w:after="120"/>
        <w:rPr>
          <w:rFonts w:eastAsia="Batang"/>
          <w:sz w:val="22"/>
          <w:szCs w:val="22"/>
          <w:lang w:val="en-US" w:eastAsia="ko-KR"/>
        </w:rPr>
      </w:pPr>
      <w:r w:rsidDel="009C2C74">
        <w:rPr>
          <w:rStyle w:val="CommentReference"/>
          <w:rFonts w:ascii="Arial" w:hAnsi="Arial"/>
        </w:rPr>
        <w:t xml:space="preserve"> </w:t>
      </w:r>
    </w:p>
    <w:p w14:paraId="1B4CBDA2" w14:textId="4315DFA2" w:rsidR="00F67F46" w:rsidRDefault="00F67F46" w:rsidP="00F67F46">
      <w:pPr>
        <w:keepNext/>
        <w:autoSpaceDE w:val="0"/>
        <w:autoSpaceDN w:val="0"/>
        <w:adjustRightInd w:val="0"/>
        <w:spacing w:after="120"/>
        <w:jc w:val="center"/>
      </w:pPr>
      <w:r>
        <w:rPr>
          <w:rFonts w:eastAsia="Batang"/>
          <w:noProof/>
          <w:sz w:val="22"/>
          <w:szCs w:val="22"/>
          <w:lang w:val="en-US"/>
        </w:rPr>
        <w:drawing>
          <wp:inline distT="0" distB="0" distL="0" distR="0" wp14:anchorId="6136C47E" wp14:editId="464E40B9">
            <wp:extent cx="3530213" cy="274320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544" cy="27512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312F4E" w14:textId="77777777" w:rsidR="00280E6B" w:rsidRDefault="00280E6B" w:rsidP="00F67F46">
      <w:pPr>
        <w:keepNext/>
        <w:autoSpaceDE w:val="0"/>
        <w:autoSpaceDN w:val="0"/>
        <w:adjustRightInd w:val="0"/>
        <w:spacing w:after="120"/>
        <w:jc w:val="center"/>
      </w:pPr>
    </w:p>
    <w:p w14:paraId="6A13B6BB" w14:textId="233F5E1A" w:rsidR="00F67F46" w:rsidRPr="00280E6B" w:rsidRDefault="00F67F46" w:rsidP="00F67F46">
      <w:pPr>
        <w:pStyle w:val="Caption"/>
        <w:jc w:val="center"/>
        <w:rPr>
          <w:b/>
          <w:i w:val="0"/>
          <w:color w:val="000000" w:themeColor="text1"/>
          <w:sz w:val="22"/>
          <w:szCs w:val="22"/>
        </w:rPr>
      </w:pPr>
      <w:bookmarkStart w:id="4" w:name="_Ref4677116"/>
      <w:r w:rsidRPr="00280E6B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280E6B">
        <w:rPr>
          <w:b/>
          <w:i w:val="0"/>
          <w:color w:val="000000" w:themeColor="text1"/>
          <w:sz w:val="22"/>
          <w:szCs w:val="22"/>
        </w:rPr>
        <w:fldChar w:fldCharType="begin"/>
      </w:r>
      <w:r w:rsidRPr="00280E6B">
        <w:rPr>
          <w:b/>
          <w:i w:val="0"/>
          <w:color w:val="000000" w:themeColor="text1"/>
          <w:sz w:val="22"/>
          <w:szCs w:val="22"/>
        </w:rPr>
        <w:instrText xml:space="preserve"> SEQ Figure \* ARABIC </w:instrText>
      </w:r>
      <w:r w:rsidRPr="00280E6B">
        <w:rPr>
          <w:b/>
          <w:i w:val="0"/>
          <w:color w:val="000000" w:themeColor="text1"/>
          <w:sz w:val="22"/>
          <w:szCs w:val="22"/>
        </w:rPr>
        <w:fldChar w:fldCharType="separate"/>
      </w:r>
      <w:r w:rsidRPr="00280E6B">
        <w:rPr>
          <w:b/>
          <w:i w:val="0"/>
          <w:noProof/>
          <w:color w:val="000000" w:themeColor="text1"/>
          <w:sz w:val="22"/>
          <w:szCs w:val="22"/>
        </w:rPr>
        <w:t>3</w:t>
      </w:r>
      <w:r w:rsidRPr="00280E6B">
        <w:rPr>
          <w:b/>
          <w:i w:val="0"/>
          <w:color w:val="000000" w:themeColor="text1"/>
          <w:sz w:val="22"/>
          <w:szCs w:val="22"/>
        </w:rPr>
        <w:fldChar w:fldCharType="end"/>
      </w:r>
      <w:bookmarkEnd w:id="4"/>
      <w:r w:rsidRPr="00280E6B">
        <w:rPr>
          <w:b/>
          <w:i w:val="0"/>
          <w:color w:val="000000" w:themeColor="text1"/>
          <w:sz w:val="22"/>
          <w:szCs w:val="22"/>
        </w:rPr>
        <w:t xml:space="preserve"> Use the available sub-bands to carry the CORESETs confined within unavailable sub-band </w:t>
      </w:r>
    </w:p>
    <w:p w14:paraId="11561DB2" w14:textId="77777777" w:rsidR="00F67F46" w:rsidRPr="00280E6B" w:rsidRDefault="00F67F46" w:rsidP="00F67F46">
      <w:pPr>
        <w:autoSpaceDE w:val="0"/>
        <w:autoSpaceDN w:val="0"/>
        <w:adjustRightInd w:val="0"/>
        <w:spacing w:after="120"/>
        <w:rPr>
          <w:rFonts w:eastAsia="SimSun"/>
          <w:b/>
          <w:i/>
          <w:sz w:val="22"/>
          <w:szCs w:val="22"/>
          <w:lang w:val="en-US" w:eastAsia="zh-CN"/>
        </w:rPr>
      </w:pPr>
      <w:r w:rsidRPr="00280E6B">
        <w:rPr>
          <w:rFonts w:eastAsia="SimSun"/>
          <w:b/>
          <w:i/>
          <w:sz w:val="22"/>
          <w:szCs w:val="22"/>
          <w:lang w:val="en-US" w:eastAsia="zh-CN"/>
        </w:rPr>
        <w:t>Proposal 3: NR-U should study the impacts of channel non-availability on special CORESETs such as CORESET0 and BFR-CORESET.</w:t>
      </w:r>
    </w:p>
    <w:p w14:paraId="2FBDEF83" w14:textId="77777777" w:rsidR="00F67F46" w:rsidRPr="00846BCE" w:rsidRDefault="00F67F46" w:rsidP="00F67F46">
      <w:pPr>
        <w:rPr>
          <w:rFonts w:eastAsia="SimSun"/>
          <w:lang w:val="en-US"/>
        </w:rPr>
      </w:pPr>
    </w:p>
    <w:p w14:paraId="249A30C2" w14:textId="77777777" w:rsidR="00F67F46" w:rsidRPr="00751FA3" w:rsidRDefault="00F67F46" w:rsidP="00F67F46">
      <w:pPr>
        <w:rPr>
          <w:rFonts w:eastAsia="SimSun"/>
        </w:rPr>
      </w:pPr>
    </w:p>
    <w:p w14:paraId="4A4D56D8" w14:textId="77777777" w:rsidR="00F67F46" w:rsidRPr="00751FA3" w:rsidRDefault="00F67F46" w:rsidP="00280E6B">
      <w:pPr>
        <w:pStyle w:val="Heading2"/>
        <w:numPr>
          <w:ilvl w:val="0"/>
          <w:numId w:val="37"/>
        </w:numPr>
        <w:spacing w:after="120"/>
        <w:ind w:left="360"/>
      </w:pPr>
      <w:r w:rsidRPr="00751FA3">
        <w:t xml:space="preserve">Conclusion </w:t>
      </w:r>
    </w:p>
    <w:p w14:paraId="14098A8B" w14:textId="77777777" w:rsidR="00F67F46" w:rsidRPr="008E5F35" w:rsidRDefault="00F67F46" w:rsidP="00280E6B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8E5F35">
        <w:rPr>
          <w:rFonts w:eastAsia="Batang"/>
          <w:sz w:val="22"/>
          <w:szCs w:val="22"/>
          <w:lang w:val="en-US" w:eastAsia="ko-KR"/>
        </w:rPr>
        <w:t>In this contribution, we have the following observation</w:t>
      </w:r>
      <w:r>
        <w:rPr>
          <w:rFonts w:eastAsia="Batang"/>
          <w:sz w:val="22"/>
          <w:szCs w:val="22"/>
          <w:lang w:val="en-US" w:eastAsia="ko-KR"/>
        </w:rPr>
        <w:t xml:space="preserve"> and proposals</w:t>
      </w:r>
      <w:r w:rsidRPr="008E5F35">
        <w:rPr>
          <w:rFonts w:eastAsia="Batang"/>
          <w:sz w:val="22"/>
          <w:szCs w:val="22"/>
          <w:lang w:val="en-US" w:eastAsia="ko-KR"/>
        </w:rPr>
        <w:t xml:space="preserve">: </w:t>
      </w:r>
    </w:p>
    <w:p w14:paraId="4D14A374" w14:textId="77777777" w:rsidR="00F67F46" w:rsidRDefault="00F67F46" w:rsidP="00280E6B">
      <w:pPr>
        <w:autoSpaceDE w:val="0"/>
        <w:autoSpaceDN w:val="0"/>
        <w:adjustRightInd w:val="0"/>
        <w:spacing w:after="120"/>
        <w:rPr>
          <w:rFonts w:eastAsia="SimSun"/>
          <w:b/>
          <w:i/>
          <w:sz w:val="22"/>
          <w:szCs w:val="22"/>
          <w:lang w:val="en-US" w:eastAsia="zh-CN"/>
        </w:rPr>
      </w:pPr>
      <w:r w:rsidRPr="008E5F35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>1</w:t>
      </w:r>
      <w:r w:rsidRPr="008E5F35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="SimSun"/>
          <w:b/>
          <w:i/>
          <w:sz w:val="22"/>
          <w:szCs w:val="22"/>
          <w:lang w:val="en-US" w:eastAsia="zh-CN"/>
        </w:rPr>
        <w:t>I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>t may be beneficial to support both explicit and implicit indication</w:t>
      </w:r>
      <w:r>
        <w:rPr>
          <w:rFonts w:eastAsia="SimSun"/>
          <w:b/>
          <w:i/>
          <w:sz w:val="22"/>
          <w:szCs w:val="22"/>
          <w:lang w:val="en-US" w:eastAsia="zh-CN"/>
        </w:rPr>
        <w:t>s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of the </w:t>
      </w:r>
      <w:r>
        <w:rPr>
          <w:rFonts w:eastAsia="SimSun"/>
          <w:b/>
          <w:i/>
          <w:sz w:val="22"/>
          <w:szCs w:val="22"/>
          <w:lang w:val="en-US" w:eastAsia="zh-CN"/>
        </w:rPr>
        <w:t>sub-band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s as it gives more </w:t>
      </w:r>
      <w:r w:rsidRPr="00523FF4">
        <w:rPr>
          <w:rFonts w:eastAsia="SimSun"/>
          <w:b/>
          <w:i/>
          <w:sz w:val="22"/>
          <w:szCs w:val="22"/>
          <w:lang w:val="en-US" w:eastAsia="zh-CN"/>
        </w:rPr>
        <w:t>flexibility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to the gNB in scheduling the indication.</w:t>
      </w:r>
    </w:p>
    <w:p w14:paraId="2BCF7262" w14:textId="77777777" w:rsidR="00F67F46" w:rsidRDefault="00F67F46" w:rsidP="00280E6B">
      <w:pPr>
        <w:autoSpaceDE w:val="0"/>
        <w:autoSpaceDN w:val="0"/>
        <w:adjustRightInd w:val="0"/>
        <w:spacing w:after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t>Observation</w:t>
      </w:r>
      <w:r w:rsidRPr="008E5F35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sz w:val="22"/>
          <w:szCs w:val="22"/>
          <w:lang w:val="en-US" w:eastAsia="zh-CN"/>
        </w:rPr>
        <w:t>1</w:t>
      </w:r>
      <w:r w:rsidRPr="008E5F35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="SimSun"/>
          <w:b/>
          <w:i/>
          <w:sz w:val="22"/>
          <w:szCs w:val="22"/>
          <w:lang w:val="en-US" w:eastAsia="zh-CN"/>
        </w:rPr>
        <w:t>I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>t is beneficial to assign CORESET</w:t>
      </w:r>
      <w:r>
        <w:rPr>
          <w:rFonts w:eastAsia="SimSun"/>
          <w:b/>
          <w:i/>
          <w:sz w:val="22"/>
          <w:szCs w:val="22"/>
          <w:lang w:val="en-US" w:eastAsia="zh-CN"/>
        </w:rPr>
        <w:t>s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to a UE in </w:t>
      </w:r>
      <w:r>
        <w:rPr>
          <w:rFonts w:eastAsia="SimSun"/>
          <w:b/>
          <w:i/>
          <w:sz w:val="22"/>
          <w:szCs w:val="22"/>
          <w:lang w:val="en-US" w:eastAsia="zh-CN"/>
        </w:rPr>
        <w:t>multiple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sub-band</w:t>
      </w:r>
      <w:r>
        <w:rPr>
          <w:rFonts w:eastAsia="SimSun"/>
          <w:b/>
          <w:i/>
          <w:sz w:val="22"/>
          <w:szCs w:val="22"/>
          <w:lang w:val="en-US" w:eastAsia="zh-CN"/>
        </w:rPr>
        <w:t>s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so that the UE can receiv</w:t>
      </w:r>
      <w:r>
        <w:rPr>
          <w:rFonts w:eastAsia="SimSun"/>
          <w:b/>
          <w:i/>
          <w:sz w:val="22"/>
          <w:szCs w:val="22"/>
          <w:lang w:val="en-US" w:eastAsia="zh-CN"/>
        </w:rPr>
        <w:t>e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control signal from at least one sub-band if another is not available.</w:t>
      </w:r>
      <w:r w:rsidRPr="008F5D4C" w:rsidDel="00E876FF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Del="00E876FF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</w:p>
    <w:p w14:paraId="5063D9E4" w14:textId="77777777" w:rsidR="00F67F46" w:rsidRDefault="00F67F46" w:rsidP="00280E6B">
      <w:pPr>
        <w:autoSpaceDE w:val="0"/>
        <w:autoSpaceDN w:val="0"/>
        <w:adjustRightInd w:val="0"/>
        <w:spacing w:after="120"/>
        <w:rPr>
          <w:rFonts w:eastAsia="SimSun"/>
          <w:b/>
          <w:i/>
          <w:sz w:val="22"/>
          <w:szCs w:val="22"/>
          <w:lang w:val="en-US" w:eastAsia="zh-CN"/>
        </w:rPr>
      </w:pPr>
      <w:r>
        <w:rPr>
          <w:rFonts w:eastAsia="SimSun"/>
          <w:b/>
          <w:i/>
          <w:sz w:val="22"/>
          <w:szCs w:val="22"/>
          <w:lang w:val="en-US" w:eastAsia="zh-CN"/>
        </w:rPr>
        <w:lastRenderedPageBreak/>
        <w:t>Proposal 2: S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tudy how </w:t>
      </w:r>
      <w:proofErr w:type="gramStart"/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sufficient </w:t>
      </w:r>
      <w:r>
        <w:rPr>
          <w:rFonts w:eastAsia="SimSun"/>
          <w:b/>
          <w:i/>
          <w:sz w:val="22"/>
          <w:szCs w:val="22"/>
          <w:lang w:val="en-US" w:eastAsia="zh-CN"/>
        </w:rPr>
        <w:t>number of</w:t>
      </w:r>
      <w:proofErr w:type="gramEnd"/>
      <w:r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>CORESETs can be assigned so that a UE can benefit from wideband operation</w:t>
      </w:r>
      <w:r>
        <w:rPr>
          <w:rFonts w:eastAsia="SimSun"/>
          <w:b/>
          <w:i/>
          <w:sz w:val="22"/>
          <w:szCs w:val="22"/>
          <w:lang w:val="en-US" w:eastAsia="zh-CN"/>
        </w:rPr>
        <w:t>.</w:t>
      </w:r>
      <w:r w:rsidRPr="00B11BCA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</w:p>
    <w:p w14:paraId="21AAD3D3" w14:textId="77777777" w:rsidR="00F67F46" w:rsidRDefault="00F67F46" w:rsidP="00280E6B">
      <w:pPr>
        <w:autoSpaceDE w:val="0"/>
        <w:autoSpaceDN w:val="0"/>
        <w:adjustRightInd w:val="0"/>
        <w:spacing w:after="120"/>
        <w:rPr>
          <w:rFonts w:eastAsia="SimSun"/>
          <w:b/>
          <w:i/>
          <w:sz w:val="22"/>
          <w:szCs w:val="22"/>
          <w:lang w:val="en-US" w:eastAsia="zh-CN"/>
        </w:rPr>
      </w:pPr>
      <w:r w:rsidRPr="008E5F35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>3</w:t>
      </w:r>
      <w:r w:rsidRPr="008E5F35">
        <w:rPr>
          <w:rFonts w:eastAsia="SimSun"/>
          <w:b/>
          <w:i/>
          <w:sz w:val="22"/>
          <w:szCs w:val="22"/>
          <w:lang w:val="en-US" w:eastAsia="zh-CN"/>
        </w:rPr>
        <w:t>: NR-U should study</w:t>
      </w:r>
      <w:r>
        <w:rPr>
          <w:rFonts w:eastAsia="SimSun"/>
          <w:b/>
          <w:i/>
          <w:sz w:val="22"/>
          <w:szCs w:val="22"/>
          <w:lang w:val="en-US" w:eastAsia="zh-CN"/>
        </w:rPr>
        <w:t xml:space="preserve"> the impacts of channel non-availability on special CORESETs such as CORESET0 and BFR-CORESET.</w:t>
      </w:r>
    </w:p>
    <w:p w14:paraId="318D10E2" w14:textId="77777777" w:rsidR="00F67F46" w:rsidRPr="00B11BCA" w:rsidRDefault="00F67F46" w:rsidP="00F67F46">
      <w:pPr>
        <w:spacing w:after="120"/>
        <w:jc w:val="both"/>
        <w:rPr>
          <w:b/>
          <w:lang w:val="en-US"/>
        </w:rPr>
      </w:pPr>
    </w:p>
    <w:p w14:paraId="0BCD6FAB" w14:textId="77777777" w:rsidR="00F67F46" w:rsidRPr="00B06EFF" w:rsidRDefault="00F67F46" w:rsidP="00F67F46">
      <w:pPr>
        <w:spacing w:after="120"/>
        <w:jc w:val="both"/>
        <w:rPr>
          <w:b/>
          <w:sz w:val="28"/>
          <w:szCs w:val="28"/>
        </w:rPr>
      </w:pPr>
      <w:r w:rsidRPr="00B06EFF">
        <w:rPr>
          <w:b/>
          <w:sz w:val="28"/>
          <w:szCs w:val="28"/>
        </w:rPr>
        <w:t>4. References</w:t>
      </w:r>
    </w:p>
    <w:p w14:paraId="4E72A99C" w14:textId="1FCA257B" w:rsidR="00F67F46" w:rsidRPr="00280E6B" w:rsidRDefault="00F67F46" w:rsidP="0072619C">
      <w:pPr>
        <w:pStyle w:val="iReference"/>
        <w:numPr>
          <w:ilvl w:val="0"/>
          <w:numId w:val="0"/>
        </w:numPr>
        <w:spacing w:after="120"/>
        <w:jc w:val="both"/>
        <w:rPr>
          <w:lang w:val="en-GB" w:eastAsia="zh-TW"/>
        </w:rPr>
      </w:pPr>
      <w:bookmarkStart w:id="5" w:name="_Ref466016400"/>
      <w:bookmarkStart w:id="6" w:name="_Ref481762365"/>
      <w:bookmarkStart w:id="7" w:name="_Ref494714909"/>
      <w:bookmarkStart w:id="8" w:name="_Ref513795525"/>
      <w:bookmarkStart w:id="9" w:name="_Ref7697636"/>
      <w:bookmarkStart w:id="10" w:name="_Ref449465801"/>
      <w:bookmarkStart w:id="11" w:name="_Ref471288964"/>
      <w:r w:rsidRPr="00280E6B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Chairman’s Notes, 3GPP TSG RAN WG1 Meeting #96 Bis, </w:t>
      </w:r>
      <w:bookmarkEnd w:id="5"/>
      <w:bookmarkEnd w:id="6"/>
      <w:r w:rsidRPr="00280E6B">
        <w:rPr>
          <w:rFonts w:ascii="Times New Roman" w:eastAsia="PMingLiU" w:hAnsi="Times New Roman" w:cs="Times New Roman"/>
          <w:color w:val="000000" w:themeColor="text1"/>
          <w:sz w:val="22"/>
        </w:rPr>
        <w:t xml:space="preserve">Xi’an, China, </w:t>
      </w:r>
      <w:bookmarkEnd w:id="7"/>
      <w:r w:rsidRPr="00280E6B">
        <w:rPr>
          <w:rFonts w:ascii="Times New Roman" w:eastAsia="PMingLiU" w:hAnsi="Times New Roman" w:cs="Times New Roman"/>
          <w:color w:val="000000" w:themeColor="text1"/>
          <w:sz w:val="22"/>
        </w:rPr>
        <w:t>April 201</w:t>
      </w:r>
      <w:bookmarkEnd w:id="8"/>
      <w:r w:rsidRPr="00280E6B">
        <w:rPr>
          <w:rFonts w:ascii="Times New Roman" w:eastAsia="PMingLiU" w:hAnsi="Times New Roman" w:cs="Times New Roman"/>
          <w:color w:val="000000" w:themeColor="text1"/>
          <w:sz w:val="22"/>
        </w:rPr>
        <w:t>9</w:t>
      </w:r>
      <w:bookmarkEnd w:id="9"/>
      <w:r w:rsidR="00280E6B" w:rsidRPr="00280E6B">
        <w:rPr>
          <w:rFonts w:ascii="Times New Roman" w:eastAsia="PMingLiU" w:hAnsi="Times New Roman" w:cs="Times New Roman"/>
          <w:color w:val="000000" w:themeColor="text1"/>
          <w:sz w:val="22"/>
        </w:rPr>
        <w:t>.</w:t>
      </w:r>
      <w:bookmarkEnd w:id="10"/>
      <w:bookmarkEnd w:id="11"/>
    </w:p>
    <w:p w14:paraId="24C7345F" w14:textId="1B1997A2" w:rsidR="00E36916" w:rsidRPr="00770E80" w:rsidRDefault="00E36916" w:rsidP="00F67F46">
      <w:pPr>
        <w:tabs>
          <w:tab w:val="left" w:pos="720"/>
        </w:tabs>
        <w:rPr>
          <w:sz w:val="22"/>
          <w:szCs w:val="22"/>
        </w:rPr>
      </w:pPr>
    </w:p>
    <w:sectPr w:rsidR="00E36916" w:rsidRPr="00770E80"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CBFC3" w14:textId="77777777" w:rsidR="000C6751" w:rsidRDefault="000C6751">
      <w:r>
        <w:separator/>
      </w:r>
    </w:p>
  </w:endnote>
  <w:endnote w:type="continuationSeparator" w:id="0">
    <w:p w14:paraId="566842A6" w14:textId="77777777" w:rsidR="000C6751" w:rsidRDefault="000C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7403A03" w:rsidR="00FD3503" w:rsidRDefault="00FD35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72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BAAE4CC" w14:textId="77777777" w:rsidR="00FD3503" w:rsidRDefault="00FD35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5617B422" w:rsidR="00FD3503" w:rsidRDefault="00FD35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7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D3503" w:rsidRDefault="00FD35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E105D" w14:textId="77777777" w:rsidR="000C6751" w:rsidRDefault="000C6751">
      <w:r>
        <w:separator/>
      </w:r>
    </w:p>
  </w:footnote>
  <w:footnote w:type="continuationSeparator" w:id="0">
    <w:p w14:paraId="1386C86E" w14:textId="77777777" w:rsidR="000C6751" w:rsidRDefault="000C6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F0302"/>
    <w:multiLevelType w:val="hybridMultilevel"/>
    <w:tmpl w:val="0150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2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C87D22"/>
    <w:multiLevelType w:val="multilevel"/>
    <w:tmpl w:val="D018B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9223B"/>
    <w:multiLevelType w:val="hybridMultilevel"/>
    <w:tmpl w:val="522A7506"/>
    <w:lvl w:ilvl="0" w:tplc="0972D288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756C6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23A34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137A61"/>
    <w:multiLevelType w:val="multilevel"/>
    <w:tmpl w:val="126653A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C03A1E"/>
    <w:multiLevelType w:val="hybridMultilevel"/>
    <w:tmpl w:val="6380A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FD0995"/>
    <w:multiLevelType w:val="hybridMultilevel"/>
    <w:tmpl w:val="EE5CDA1C"/>
    <w:lvl w:ilvl="0" w:tplc="1EC4CD40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4" w15:restartNumberingAfterBreak="0">
    <w:nsid w:val="6F6959A4"/>
    <w:multiLevelType w:val="hybridMultilevel"/>
    <w:tmpl w:val="BC081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6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1"/>
  </w:num>
  <w:num w:numId="2">
    <w:abstractNumId w:val="23"/>
  </w:num>
  <w:num w:numId="3">
    <w:abstractNumId w:val="15"/>
  </w:num>
  <w:num w:numId="4">
    <w:abstractNumId w:val="8"/>
  </w:num>
  <w:num w:numId="5">
    <w:abstractNumId w:val="4"/>
  </w:num>
  <w:num w:numId="6">
    <w:abstractNumId w:val="33"/>
  </w:num>
  <w:num w:numId="7">
    <w:abstractNumId w:val="36"/>
  </w:num>
  <w:num w:numId="8">
    <w:abstractNumId w:val="12"/>
  </w:num>
  <w:num w:numId="9">
    <w:abstractNumId w:val="6"/>
  </w:num>
  <w:num w:numId="10">
    <w:abstractNumId w:val="19"/>
  </w:num>
  <w:num w:numId="11">
    <w:abstractNumId w:val="16"/>
  </w:num>
  <w:num w:numId="12">
    <w:abstractNumId w:val="18"/>
  </w:num>
  <w:num w:numId="13">
    <w:abstractNumId w:val="22"/>
  </w:num>
  <w:num w:numId="14">
    <w:abstractNumId w:val="29"/>
  </w:num>
  <w:num w:numId="15">
    <w:abstractNumId w:val="0"/>
  </w:num>
  <w:num w:numId="16">
    <w:abstractNumId w:val="26"/>
  </w:num>
  <w:num w:numId="17">
    <w:abstractNumId w:val="1"/>
  </w:num>
  <w:num w:numId="18">
    <w:abstractNumId w:val="7"/>
  </w:num>
  <w:num w:numId="19">
    <w:abstractNumId w:val="35"/>
  </w:num>
  <w:num w:numId="20">
    <w:abstractNumId w:val="30"/>
  </w:num>
  <w:num w:numId="21">
    <w:abstractNumId w:val="9"/>
  </w:num>
  <w:num w:numId="22">
    <w:abstractNumId w:val="11"/>
  </w:num>
  <w:num w:numId="23">
    <w:abstractNumId w:val="14"/>
  </w:num>
  <w:num w:numId="24">
    <w:abstractNumId w:val="25"/>
  </w:num>
  <w:num w:numId="25">
    <w:abstractNumId w:val="34"/>
  </w:num>
  <w:num w:numId="26">
    <w:abstractNumId w:val="21"/>
  </w:num>
  <w:num w:numId="27">
    <w:abstractNumId w:val="32"/>
  </w:num>
  <w:num w:numId="28">
    <w:abstractNumId w:val="20"/>
  </w:num>
  <w:num w:numId="29">
    <w:abstractNumId w:val="17"/>
  </w:num>
  <w:num w:numId="30">
    <w:abstractNumId w:val="28"/>
  </w:num>
  <w:num w:numId="31">
    <w:abstractNumId w:val="2"/>
  </w:num>
  <w:num w:numId="32">
    <w:abstractNumId w:val="13"/>
  </w:num>
  <w:num w:numId="33">
    <w:abstractNumId w:val="1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4">
    <w:abstractNumId w:val="3"/>
  </w:num>
  <w:num w:numId="35">
    <w:abstractNumId w:val="27"/>
  </w:num>
  <w:num w:numId="36">
    <w:abstractNumId w:val="10"/>
  </w:num>
  <w:num w:numId="37">
    <w:abstractNumId w:val="24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639"/>
    <w:rsid w:val="0000527F"/>
    <w:rsid w:val="000104C8"/>
    <w:rsid w:val="0001366B"/>
    <w:rsid w:val="00022E5D"/>
    <w:rsid w:val="000319FD"/>
    <w:rsid w:val="00053E0E"/>
    <w:rsid w:val="000550E1"/>
    <w:rsid w:val="0005577C"/>
    <w:rsid w:val="0006095E"/>
    <w:rsid w:val="00062DF5"/>
    <w:rsid w:val="00065F7D"/>
    <w:rsid w:val="00066B51"/>
    <w:rsid w:val="000674FE"/>
    <w:rsid w:val="00073F85"/>
    <w:rsid w:val="00091003"/>
    <w:rsid w:val="000950C5"/>
    <w:rsid w:val="000955F8"/>
    <w:rsid w:val="000A26C4"/>
    <w:rsid w:val="000B3FB5"/>
    <w:rsid w:val="000C40EF"/>
    <w:rsid w:val="000C6751"/>
    <w:rsid w:val="000D00F4"/>
    <w:rsid w:val="000D27A6"/>
    <w:rsid w:val="000D37D3"/>
    <w:rsid w:val="000F2AFF"/>
    <w:rsid w:val="000F421F"/>
    <w:rsid w:val="00101070"/>
    <w:rsid w:val="0013672F"/>
    <w:rsid w:val="00140681"/>
    <w:rsid w:val="00153B57"/>
    <w:rsid w:val="00172677"/>
    <w:rsid w:val="00185133"/>
    <w:rsid w:val="00187541"/>
    <w:rsid w:val="001A5BE4"/>
    <w:rsid w:val="001B03EA"/>
    <w:rsid w:val="001B2C52"/>
    <w:rsid w:val="001E18D6"/>
    <w:rsid w:val="001E3155"/>
    <w:rsid w:val="001E3B88"/>
    <w:rsid w:val="001F4117"/>
    <w:rsid w:val="002119E3"/>
    <w:rsid w:val="0021262E"/>
    <w:rsid w:val="00214FB9"/>
    <w:rsid w:val="00231627"/>
    <w:rsid w:val="00231AEA"/>
    <w:rsid w:val="002372D7"/>
    <w:rsid w:val="00245C69"/>
    <w:rsid w:val="0025363F"/>
    <w:rsid w:val="00263E95"/>
    <w:rsid w:val="00266C98"/>
    <w:rsid w:val="00275989"/>
    <w:rsid w:val="00280E6B"/>
    <w:rsid w:val="002B3C03"/>
    <w:rsid w:val="002B4189"/>
    <w:rsid w:val="002B728D"/>
    <w:rsid w:val="002D40BC"/>
    <w:rsid w:val="002F2971"/>
    <w:rsid w:val="002F4A9B"/>
    <w:rsid w:val="00311110"/>
    <w:rsid w:val="00313332"/>
    <w:rsid w:val="00322338"/>
    <w:rsid w:val="003252F1"/>
    <w:rsid w:val="00335638"/>
    <w:rsid w:val="00342A22"/>
    <w:rsid w:val="0034698C"/>
    <w:rsid w:val="00352982"/>
    <w:rsid w:val="003567E2"/>
    <w:rsid w:val="00377439"/>
    <w:rsid w:val="003B6C54"/>
    <w:rsid w:val="003C6CD9"/>
    <w:rsid w:val="003D77C4"/>
    <w:rsid w:val="003E1C7C"/>
    <w:rsid w:val="003E3C09"/>
    <w:rsid w:val="003F4847"/>
    <w:rsid w:val="0040602C"/>
    <w:rsid w:val="004214CF"/>
    <w:rsid w:val="004224C0"/>
    <w:rsid w:val="00424E3F"/>
    <w:rsid w:val="00427F95"/>
    <w:rsid w:val="00431779"/>
    <w:rsid w:val="0043276F"/>
    <w:rsid w:val="004453C1"/>
    <w:rsid w:val="00447234"/>
    <w:rsid w:val="004607C3"/>
    <w:rsid w:val="004778AF"/>
    <w:rsid w:val="00482389"/>
    <w:rsid w:val="004835C7"/>
    <w:rsid w:val="00483A74"/>
    <w:rsid w:val="00485C27"/>
    <w:rsid w:val="004A3FAE"/>
    <w:rsid w:val="004B3B97"/>
    <w:rsid w:val="004B547B"/>
    <w:rsid w:val="004C301F"/>
    <w:rsid w:val="004C38CC"/>
    <w:rsid w:val="004D6A99"/>
    <w:rsid w:val="004E2930"/>
    <w:rsid w:val="004E2EEE"/>
    <w:rsid w:val="004E6528"/>
    <w:rsid w:val="004F0842"/>
    <w:rsid w:val="005072FC"/>
    <w:rsid w:val="0053076A"/>
    <w:rsid w:val="00546B64"/>
    <w:rsid w:val="00554E84"/>
    <w:rsid w:val="00557B02"/>
    <w:rsid w:val="00570178"/>
    <w:rsid w:val="00580667"/>
    <w:rsid w:val="00591A33"/>
    <w:rsid w:val="005A05BE"/>
    <w:rsid w:val="005A1FAE"/>
    <w:rsid w:val="005A2572"/>
    <w:rsid w:val="005A43FF"/>
    <w:rsid w:val="005B2076"/>
    <w:rsid w:val="005B28BD"/>
    <w:rsid w:val="005B3314"/>
    <w:rsid w:val="005B4701"/>
    <w:rsid w:val="005C3384"/>
    <w:rsid w:val="005D0334"/>
    <w:rsid w:val="005D20F1"/>
    <w:rsid w:val="005D2D51"/>
    <w:rsid w:val="005D4BE2"/>
    <w:rsid w:val="005E1B36"/>
    <w:rsid w:val="005E7B83"/>
    <w:rsid w:val="005F2C48"/>
    <w:rsid w:val="005F318B"/>
    <w:rsid w:val="00602F21"/>
    <w:rsid w:val="0061417F"/>
    <w:rsid w:val="00614D21"/>
    <w:rsid w:val="006204C2"/>
    <w:rsid w:val="0062449A"/>
    <w:rsid w:val="00645A3D"/>
    <w:rsid w:val="0064615E"/>
    <w:rsid w:val="00665941"/>
    <w:rsid w:val="006733DB"/>
    <w:rsid w:val="006758DE"/>
    <w:rsid w:val="00677A39"/>
    <w:rsid w:val="0069390B"/>
    <w:rsid w:val="00695505"/>
    <w:rsid w:val="006B1113"/>
    <w:rsid w:val="006B6D77"/>
    <w:rsid w:val="006E4D85"/>
    <w:rsid w:val="006F55A6"/>
    <w:rsid w:val="006F73F9"/>
    <w:rsid w:val="00715EF9"/>
    <w:rsid w:val="0072141F"/>
    <w:rsid w:val="00721DA7"/>
    <w:rsid w:val="00724391"/>
    <w:rsid w:val="00727C17"/>
    <w:rsid w:val="007371AC"/>
    <w:rsid w:val="0075483A"/>
    <w:rsid w:val="00770E80"/>
    <w:rsid w:val="00790C82"/>
    <w:rsid w:val="00795985"/>
    <w:rsid w:val="0079648D"/>
    <w:rsid w:val="007A11D7"/>
    <w:rsid w:val="007A3330"/>
    <w:rsid w:val="007B2090"/>
    <w:rsid w:val="007B5072"/>
    <w:rsid w:val="007C6943"/>
    <w:rsid w:val="007E3CA1"/>
    <w:rsid w:val="00801B7D"/>
    <w:rsid w:val="00804AC2"/>
    <w:rsid w:val="008127C1"/>
    <w:rsid w:val="008254B6"/>
    <w:rsid w:val="00832094"/>
    <w:rsid w:val="00833404"/>
    <w:rsid w:val="00834051"/>
    <w:rsid w:val="00835027"/>
    <w:rsid w:val="00837728"/>
    <w:rsid w:val="00842B97"/>
    <w:rsid w:val="00844F96"/>
    <w:rsid w:val="00861449"/>
    <w:rsid w:val="00876989"/>
    <w:rsid w:val="008873A5"/>
    <w:rsid w:val="008911D1"/>
    <w:rsid w:val="0089215D"/>
    <w:rsid w:val="008A2089"/>
    <w:rsid w:val="008B2885"/>
    <w:rsid w:val="008C1CCF"/>
    <w:rsid w:val="008C3773"/>
    <w:rsid w:val="008D4CEC"/>
    <w:rsid w:val="008E4BDE"/>
    <w:rsid w:val="00914FD3"/>
    <w:rsid w:val="00940ED3"/>
    <w:rsid w:val="00946429"/>
    <w:rsid w:val="0095582D"/>
    <w:rsid w:val="00957C45"/>
    <w:rsid w:val="00980D88"/>
    <w:rsid w:val="009962C7"/>
    <w:rsid w:val="009A4F65"/>
    <w:rsid w:val="009B2E97"/>
    <w:rsid w:val="009C552F"/>
    <w:rsid w:val="009D5348"/>
    <w:rsid w:val="009E1249"/>
    <w:rsid w:val="009E25D3"/>
    <w:rsid w:val="00A2299C"/>
    <w:rsid w:val="00A23578"/>
    <w:rsid w:val="00A23793"/>
    <w:rsid w:val="00A237E1"/>
    <w:rsid w:val="00A361F7"/>
    <w:rsid w:val="00A46CBA"/>
    <w:rsid w:val="00A50949"/>
    <w:rsid w:val="00A55592"/>
    <w:rsid w:val="00A83382"/>
    <w:rsid w:val="00A84753"/>
    <w:rsid w:val="00A91310"/>
    <w:rsid w:val="00A921DF"/>
    <w:rsid w:val="00A92725"/>
    <w:rsid w:val="00A97A32"/>
    <w:rsid w:val="00A97DE8"/>
    <w:rsid w:val="00AA39C3"/>
    <w:rsid w:val="00AB36E6"/>
    <w:rsid w:val="00AB4813"/>
    <w:rsid w:val="00AE1547"/>
    <w:rsid w:val="00AE4A3B"/>
    <w:rsid w:val="00AF0FC0"/>
    <w:rsid w:val="00B0381A"/>
    <w:rsid w:val="00B0429F"/>
    <w:rsid w:val="00B15573"/>
    <w:rsid w:val="00B2125D"/>
    <w:rsid w:val="00B243A9"/>
    <w:rsid w:val="00B25943"/>
    <w:rsid w:val="00B25D14"/>
    <w:rsid w:val="00B329B4"/>
    <w:rsid w:val="00B373B9"/>
    <w:rsid w:val="00B67BB0"/>
    <w:rsid w:val="00B77F6C"/>
    <w:rsid w:val="00B81A88"/>
    <w:rsid w:val="00B87ADF"/>
    <w:rsid w:val="00B91EAF"/>
    <w:rsid w:val="00B94E45"/>
    <w:rsid w:val="00BA2E58"/>
    <w:rsid w:val="00BA4C37"/>
    <w:rsid w:val="00BA784D"/>
    <w:rsid w:val="00BB5E8F"/>
    <w:rsid w:val="00BE169E"/>
    <w:rsid w:val="00BE67A0"/>
    <w:rsid w:val="00C43C21"/>
    <w:rsid w:val="00C5571A"/>
    <w:rsid w:val="00C57B73"/>
    <w:rsid w:val="00C71D9A"/>
    <w:rsid w:val="00C71F3C"/>
    <w:rsid w:val="00C946E7"/>
    <w:rsid w:val="00CA2985"/>
    <w:rsid w:val="00CA63AC"/>
    <w:rsid w:val="00CD0EC6"/>
    <w:rsid w:val="00CD77C0"/>
    <w:rsid w:val="00CE3A48"/>
    <w:rsid w:val="00CE58D7"/>
    <w:rsid w:val="00D011A3"/>
    <w:rsid w:val="00D10DF3"/>
    <w:rsid w:val="00D16F81"/>
    <w:rsid w:val="00D224B7"/>
    <w:rsid w:val="00D22657"/>
    <w:rsid w:val="00D26F3E"/>
    <w:rsid w:val="00D303B9"/>
    <w:rsid w:val="00D37558"/>
    <w:rsid w:val="00D649A6"/>
    <w:rsid w:val="00D6552D"/>
    <w:rsid w:val="00D8210A"/>
    <w:rsid w:val="00D84FF1"/>
    <w:rsid w:val="00D86BCC"/>
    <w:rsid w:val="00D90ABB"/>
    <w:rsid w:val="00D92C9C"/>
    <w:rsid w:val="00DA1039"/>
    <w:rsid w:val="00DB15C1"/>
    <w:rsid w:val="00DC044B"/>
    <w:rsid w:val="00DC4457"/>
    <w:rsid w:val="00DD63B9"/>
    <w:rsid w:val="00E0498C"/>
    <w:rsid w:val="00E31EB1"/>
    <w:rsid w:val="00E34FE4"/>
    <w:rsid w:val="00E36916"/>
    <w:rsid w:val="00E44CC6"/>
    <w:rsid w:val="00E51B20"/>
    <w:rsid w:val="00E61CDA"/>
    <w:rsid w:val="00E676E7"/>
    <w:rsid w:val="00E80548"/>
    <w:rsid w:val="00E8262A"/>
    <w:rsid w:val="00E85DED"/>
    <w:rsid w:val="00EA29BE"/>
    <w:rsid w:val="00EA50F2"/>
    <w:rsid w:val="00EA5108"/>
    <w:rsid w:val="00EB7CDB"/>
    <w:rsid w:val="00ED218B"/>
    <w:rsid w:val="00ED2F30"/>
    <w:rsid w:val="00EF1127"/>
    <w:rsid w:val="00EF142E"/>
    <w:rsid w:val="00EF4360"/>
    <w:rsid w:val="00F04F45"/>
    <w:rsid w:val="00F306D3"/>
    <w:rsid w:val="00F34A34"/>
    <w:rsid w:val="00F35FDC"/>
    <w:rsid w:val="00F44FBF"/>
    <w:rsid w:val="00F6026A"/>
    <w:rsid w:val="00F61E44"/>
    <w:rsid w:val="00F67F46"/>
    <w:rsid w:val="00F72B40"/>
    <w:rsid w:val="00F80282"/>
    <w:rsid w:val="00F87D63"/>
    <w:rsid w:val="00FB71E8"/>
    <w:rsid w:val="00FB7946"/>
    <w:rsid w:val="00FC0AF0"/>
    <w:rsid w:val="00FC1337"/>
    <w:rsid w:val="00FC73F7"/>
    <w:rsid w:val="00FD3503"/>
    <w:rsid w:val="00FD58A3"/>
    <w:rsid w:val="00FF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8873A5"/>
    <w:pPr>
      <w:keepNext/>
      <w:numPr>
        <w:numId w:val="27"/>
      </w:numPr>
      <w:spacing w:after="240"/>
      <w:ind w:left="360" w:right="288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873A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50949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B160CC-087D-41A1-8BC6-2618E8D57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C69B1A-6FC3-4BBB-9F05-DA7E8EB83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1163</Words>
  <Characters>5922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Qing Li</cp:lastModifiedBy>
  <cp:revision>2</cp:revision>
  <cp:lastPrinted>2002-04-23T07:10:00Z</cp:lastPrinted>
  <dcterms:created xsi:type="dcterms:W3CDTF">2019-05-04T04:34:00Z</dcterms:created>
  <dcterms:modified xsi:type="dcterms:W3CDTF">2019-05-04T04:34:00Z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